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14DE1">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盘锦市投资促进中心202</w:t>
      </w:r>
      <w:r>
        <w:rPr>
          <w:rFonts w:ascii="方正小标宋_GBK" w:hAnsi="方正小标宋_GBK" w:eastAsia="方正小标宋_GBK" w:cs="方正小标宋_GBK"/>
          <w:bCs/>
          <w:sz w:val="44"/>
          <w:szCs w:val="44"/>
        </w:rPr>
        <w:t>4</w:t>
      </w:r>
      <w:r>
        <w:rPr>
          <w:rFonts w:hint="eastAsia" w:ascii="方正小标宋_GBK" w:hAnsi="方正小标宋_GBK" w:eastAsia="方正小标宋_GBK" w:cs="方正小标宋_GBK"/>
          <w:bCs/>
          <w:sz w:val="44"/>
          <w:szCs w:val="44"/>
        </w:rPr>
        <w:t>年度部门预算</w:t>
      </w:r>
    </w:p>
    <w:p w14:paraId="36FB5990">
      <w:pPr>
        <w:spacing w:line="600" w:lineRule="exact"/>
        <w:jc w:val="center"/>
        <w:rPr>
          <w:bCs/>
          <w:sz w:val="44"/>
          <w:szCs w:val="44"/>
          <w:u w:val="single"/>
        </w:rPr>
      </w:pPr>
    </w:p>
    <w:p w14:paraId="080FE95F">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478BE5DB">
      <w:pPr>
        <w:spacing w:line="600" w:lineRule="exact"/>
        <w:rPr>
          <w:rFonts w:ascii="黑体" w:hAnsi="黑体" w:eastAsia="黑体" w:cs="黑体"/>
          <w:bCs/>
          <w:sz w:val="32"/>
          <w:szCs w:val="32"/>
          <w:u w:val="single"/>
        </w:rPr>
      </w:pPr>
    </w:p>
    <w:p w14:paraId="2F358D78">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盘锦市投资促进中心部门概况</w:t>
      </w:r>
    </w:p>
    <w:p w14:paraId="1C91F76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074D1FF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00FD1B35">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58C9E277">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盘锦市投资促进中心2024年度部门预算公开表</w:t>
      </w:r>
    </w:p>
    <w:p w14:paraId="090A5D7E">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年度收支预算总表</w:t>
      </w:r>
    </w:p>
    <w:p w14:paraId="5A1E3E2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年度收入预算总表</w:t>
      </w:r>
    </w:p>
    <w:p w14:paraId="0041FEA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年度支出预算总表</w:t>
      </w:r>
    </w:p>
    <w:p w14:paraId="774E730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年度财政拨款收支预算总表</w:t>
      </w:r>
    </w:p>
    <w:p w14:paraId="7598F65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年度一般公共预算支出表</w:t>
      </w:r>
    </w:p>
    <w:p w14:paraId="5D31142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年度一般公共预算基本支出表</w:t>
      </w:r>
    </w:p>
    <w:p w14:paraId="39ACA75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度一般公共预算“三公”经费支出表</w:t>
      </w:r>
    </w:p>
    <w:p w14:paraId="51D9F58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年度政府性基金预算支出表</w:t>
      </w:r>
    </w:p>
    <w:p w14:paraId="709C5E4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年度综合预算项目支出表</w:t>
      </w:r>
    </w:p>
    <w:p w14:paraId="68353FE1">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ascii="仿宋" w:hAnsi="仿宋" w:eastAsia="仿宋" w:cs="仿宋"/>
          <w:sz w:val="32"/>
          <w:szCs w:val="32"/>
        </w:rPr>
        <w:t>4</w:t>
      </w:r>
      <w:r>
        <w:rPr>
          <w:rFonts w:hint="eastAsia" w:ascii="仿宋" w:hAnsi="仿宋" w:eastAsia="仿宋" w:cs="仿宋"/>
          <w:sz w:val="32"/>
          <w:szCs w:val="32"/>
        </w:rPr>
        <w:t>年度部门（单位）整体绩效目标表</w:t>
      </w:r>
    </w:p>
    <w:p w14:paraId="23CE2593">
      <w:pPr>
        <w:spacing w:line="600" w:lineRule="exact"/>
        <w:ind w:firstLine="480" w:firstLineChars="150"/>
        <w:rPr>
          <w:rFonts w:ascii="仿宋" w:hAnsi="仿宋" w:eastAsia="仿宋" w:cs="仿宋"/>
          <w:sz w:val="32"/>
          <w:szCs w:val="32"/>
        </w:rPr>
      </w:pPr>
      <w:r>
        <w:rPr>
          <w:rFonts w:hint="eastAsia" w:ascii="仿宋" w:hAnsi="仿宋" w:eastAsia="仿宋" w:cs="仿宋"/>
          <w:sz w:val="32"/>
          <w:szCs w:val="32"/>
        </w:rPr>
        <w:t>十一、202</w:t>
      </w:r>
      <w:r>
        <w:rPr>
          <w:rFonts w:ascii="仿宋" w:hAnsi="仿宋" w:eastAsia="仿宋" w:cs="仿宋"/>
          <w:sz w:val="32"/>
          <w:szCs w:val="32"/>
        </w:rPr>
        <w:t>4</w:t>
      </w:r>
      <w:r>
        <w:rPr>
          <w:rFonts w:hint="eastAsia" w:ascii="仿宋" w:hAnsi="仿宋" w:eastAsia="仿宋" w:cs="仿宋"/>
          <w:sz w:val="32"/>
          <w:szCs w:val="32"/>
        </w:rPr>
        <w:t>年度部门预算项目（政策）绩效目标表</w:t>
      </w:r>
    </w:p>
    <w:p w14:paraId="176A4F41">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盘锦市投资促进中心202</w:t>
      </w:r>
      <w:r>
        <w:rPr>
          <w:rFonts w:ascii="黑体" w:hAnsi="黑体" w:eastAsia="黑体"/>
          <w:sz w:val="32"/>
          <w:szCs w:val="32"/>
        </w:rPr>
        <w:t>4</w:t>
      </w:r>
      <w:r>
        <w:rPr>
          <w:rFonts w:hint="eastAsia" w:ascii="黑体" w:hAnsi="黑体" w:eastAsia="黑体"/>
          <w:sz w:val="32"/>
          <w:szCs w:val="32"/>
        </w:rPr>
        <w:t>年度部门预算情况说明</w:t>
      </w:r>
    </w:p>
    <w:p w14:paraId="3EAACE1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026E29D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9B5744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73163F7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267B334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6402782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3B5AE9F7">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3E9485A0">
      <w:pPr>
        <w:spacing w:line="600" w:lineRule="exact"/>
        <w:jc w:val="both"/>
        <w:rPr>
          <w:rFonts w:ascii="方正小标宋_GBK" w:hAnsi="方正小标宋_GBK" w:eastAsia="方正小标宋_GBK" w:cs="方正小标宋_GBK"/>
          <w:bCs/>
          <w:sz w:val="44"/>
          <w:szCs w:val="44"/>
          <w:u w:val="single"/>
        </w:rPr>
      </w:pPr>
    </w:p>
    <w:p w14:paraId="224AD2BE">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0B69FF83">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w:t>
      </w:r>
      <w:r>
        <w:rPr>
          <w:rFonts w:hint="eastAsia" w:eastAsia="方正小标宋_GBK" w:cs="方正小标宋_GBK" w:asciiTheme="minorHAnsi" w:hAnsiTheme="minorHAnsi"/>
          <w:bCs/>
          <w:sz w:val="44"/>
          <w:szCs w:val="44"/>
        </w:rPr>
        <w:t>投资促进</w:t>
      </w:r>
      <w:r>
        <w:rPr>
          <w:rFonts w:hint="eastAsia" w:ascii="方正小标宋_GBK" w:hAnsi="方正小标宋_GBK" w:eastAsia="方正小标宋_GBK" w:cs="方正小标宋_GBK"/>
          <w:bCs/>
          <w:sz w:val="44"/>
          <w:szCs w:val="44"/>
        </w:rPr>
        <w:t>中心部门概况</w:t>
      </w:r>
    </w:p>
    <w:p w14:paraId="211E5021">
      <w:pPr>
        <w:spacing w:line="600" w:lineRule="exact"/>
        <w:jc w:val="left"/>
        <w:rPr>
          <w:rFonts w:ascii="方正小标宋_GBK" w:hAnsi="方正小标宋_GBK" w:eastAsia="方正小标宋_GBK" w:cs="方正小标宋_GBK"/>
          <w:bCs/>
          <w:sz w:val="44"/>
          <w:szCs w:val="44"/>
        </w:rPr>
      </w:pPr>
    </w:p>
    <w:p w14:paraId="77D70FC3">
      <w:pPr>
        <w:numPr>
          <w:ilvl w:val="0"/>
          <w:numId w:val="0"/>
        </w:numPr>
        <w:spacing w:line="600" w:lineRule="exact"/>
        <w:ind w:firstLine="640" w:firstLineChars="200"/>
        <w:jc w:val="left"/>
        <w:rPr>
          <w:rFonts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主要职责</w:t>
      </w:r>
    </w:p>
    <w:p w14:paraId="131E09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（一）负责承担全市招商引资、投资促进日常工作，贯彻执行全市对外开放、投资促进方针政策，拟定全市招商引资、投资促进发展战略、中长期规划和政策措施。</w:t>
      </w:r>
    </w:p>
    <w:p w14:paraId="56D3299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负责研究境内外投资促进政策和发展趋势，提出产业和区域招商引资和政策建议，对政策落实情况及实际操作中遇到的问题进行跟踪调查并及时向有关部门反映企业诉求。承担专题调研、方案起草、产业招商政策咨询答复和客商考察协调服务工作。</w:t>
      </w:r>
    </w:p>
    <w:p w14:paraId="2ED8170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（三）负责与境内外政府机构、商协组织、世界500强、中国500强、民企500强、行业领军企业、隐形冠军企业科研机构、高校院所等联系沟通，推动招商引资合作，构建全球投资促进网络。</w:t>
      </w:r>
    </w:p>
    <w:p w14:paraId="0835A5BB">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（四）负责研究国家及省、市关于吸引外资的法律法规和政策，面向欧美、日韩、台港澳等重点国家和地区开展外资招商活动。负责境内外商务代表处和政府经济顾问的日常管理、联系工作。</w:t>
      </w:r>
    </w:p>
    <w:p w14:paraId="016376D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（五）负责指导县区、园区、和市直部门招商引资工作、推进招商引资工作体制机制、方式方法创新。</w:t>
      </w:r>
    </w:p>
    <w:p w14:paraId="0BDC395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（六）负责全市招商引资信息收集、管理、完善全市投资信息、在谈在建项目、对外合作载体、产业专家智库。负责全市投资环境、投资政策宣传推介工作。</w:t>
      </w:r>
    </w:p>
    <w:p w14:paraId="59AE65E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（七）负责全市重点招商引资项目包装、洽谈、协调、督导，承担签约项目跟踪、服务工作。</w:t>
      </w:r>
    </w:p>
    <w:p w14:paraId="01C244B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负责商贸物流领域基础性、前瞻性、战略性问题和相关政策的研判分析工作，参与全市商贸物流产业有关政策、发展规划等文件的制定，提出合理化建议。负责推进全市商贸流通体系建设工作，承担商贸物流供应链、信用评价体系建设工作，为加快全市物流基地平台建设和引进、实施重大商贸物流项目提供服务保障。承担旧货流通、再生资源回收利用、楼宇经济等行业以及肉菜追溯体系建设等相关事务性工作。</w:t>
      </w:r>
    </w:p>
    <w:p w14:paraId="6E277C47">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（九）承担市商务局安排的其他任务。</w:t>
      </w:r>
    </w:p>
    <w:p w14:paraId="24420A6A">
      <w:pPr>
        <w:numPr>
          <w:ilvl w:val="0"/>
          <w:numId w:val="1"/>
        </w:numPr>
        <w:spacing w:line="600" w:lineRule="exact"/>
        <w:ind w:firstLine="640" w:firstLineChars="200"/>
        <w:jc w:val="left"/>
        <w:rPr>
          <w:rFonts w:ascii="黑体" w:eastAsia="黑体"/>
          <w:sz w:val="32"/>
          <w:szCs w:val="32"/>
        </w:rPr>
      </w:pPr>
      <w:r>
        <w:rPr>
          <w:rFonts w:ascii="黑体" w:eastAsia="黑体"/>
          <w:sz w:val="32"/>
          <w:szCs w:val="32"/>
        </w:rPr>
        <w:t>机构设置</w:t>
      </w:r>
    </w:p>
    <w:p w14:paraId="14F15358">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482242D3">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(一)综合科</w:t>
      </w:r>
    </w:p>
    <w:p w14:paraId="677FF549">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会务、机要、保密、信息、档案、财务、资产、信访、文字综合、统计、后勤保障等工作;负责机构编制、人事管理、离退休老干部服务等工作。配合市商务局做好重要事项绩效考核评价及督查督办等工作。</w:t>
      </w:r>
    </w:p>
    <w:p w14:paraId="0D7A7D9E">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(二)石化及精细化工招商科</w:t>
      </w:r>
    </w:p>
    <w:p w14:paraId="3A637655">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对国家及省、市石化及新材料、新医药及精细化工等相关产业政策和产业发展方向的研判分析，参与产业招商有关政策、发展规划等文件的制定，提出合理化建议。编制产业招商总体计划和年度计划，承担产业招商专题调研工作，包装产业招商项目，负责对外宣传推介有关工作。负责招商投资咨询和考察服务工作，负责产业招商项目洽谈，收集整理更新国内外知名企业信息，建立产业链招商图谱、项目信息库、企业信息库。组织参加国家及省、市主办的各类专题招商活动，承办专题招商活动。协助有关部门做好安商工作。</w:t>
      </w:r>
    </w:p>
    <w:p w14:paraId="7FEC4049">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(三)粮食集散及农产品精深加工招商科</w:t>
      </w:r>
    </w:p>
    <w:p w14:paraId="5590E557">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承担对国家及省、市粮食集散及农产品精深加工等相关产业政策和产业发展方向的研判分析，参与产业招商有关政策、发展规划等文件的制定，提出合理化建议。编制产业招</w:t>
      </w:r>
    </w:p>
    <w:p w14:paraId="5B302CF3">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商总体计划和年度计划，包装产业招商项目，承担产业招商专题调研工作，负责对外宣传推介有关工作。负责招商投资咨询和考察服务工作，负责产业招商项目洽谈。收集整理更新国内外知名企业信息，建立产业链招商图谱、项目信息库、企业信息库。组织参加国家及省、市主办的各类专题招商活动，承办专题招商活动。协助有关部门做好安商工作。</w:t>
      </w:r>
    </w:p>
    <w:p w14:paraId="7D8AE4B7">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(四)高新技术及光学电子招商科</w:t>
      </w:r>
    </w:p>
    <w:p w14:paraId="0916B78B">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承担对国家及省、市高新技术及光学电子、数字经济、北斗等相关产业政策和产业发展方向的研判分析，参与产业招商有关政策、发展规划等文件的制定，提出合理化建议。</w:t>
      </w:r>
    </w:p>
    <w:p w14:paraId="67324133">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承担高校科研院所、高新技术企业的招引对接，推动科技成</w:t>
      </w:r>
    </w:p>
    <w:p w14:paraId="132286DD">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果在本市转化落地。编制产业招商总体计划和年度计划，包</w:t>
      </w:r>
    </w:p>
    <w:p w14:paraId="3133F3EC">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装产业招商项目，承担高新技术产业招商专题调研工作，负</w:t>
      </w:r>
    </w:p>
    <w:p w14:paraId="49CD87D2">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责对外宣传推介有关工作。负责高新技术产业招商投资咨询</w:t>
      </w:r>
    </w:p>
    <w:p w14:paraId="69CC2C1A">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和高校科研院所、高新技术企业考察服务工作，负责产业招</w:t>
      </w:r>
    </w:p>
    <w:p w14:paraId="50EF2CB8">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商项目洽谈。收集整理更新国内外知名院所、企业信息，建</w:t>
      </w:r>
    </w:p>
    <w:p w14:paraId="73606AA0">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立院所、企业信息库。组织参加国家及省、市主办的各类专</w:t>
      </w:r>
    </w:p>
    <w:p w14:paraId="3DC46F80">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题招商活动，承办专题招商活动。协助有关部门做好安商工作。</w:t>
      </w:r>
    </w:p>
    <w:p w14:paraId="43DFA423">
      <w:pPr>
        <w:spacing w:line="600" w:lineRule="exact"/>
        <w:ind w:firstLine="640" w:firstLineChars="200"/>
        <w:jc w:val="left"/>
        <w:rPr>
          <w:rFonts w:eastAsia="仿宋_GB2312" w:cs="仿宋_GB2312" w:asciiTheme="minorHAnsi" w:hAnsiTheme="minorHAnsi"/>
          <w:sz w:val="32"/>
          <w:szCs w:val="32"/>
        </w:rPr>
      </w:pPr>
      <w:r>
        <w:rPr>
          <w:rFonts w:hint="eastAsia" w:ascii="仿宋_GB2312" w:hAnsi="仿宋_GB2312" w:eastAsia="仿宋_GB2312" w:cs="仿宋_GB2312"/>
          <w:sz w:val="32"/>
          <w:szCs w:val="32"/>
        </w:rPr>
        <w:t>(五)新能源及先进装备制造招商科</w:t>
      </w:r>
    </w:p>
    <w:p w14:paraId="52D0740F">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承担对国家及省、市新能源及先进装备制造等相关产业政策和产业发展方向的研判分析，参与产业招商有关政策、</w:t>
      </w:r>
    </w:p>
    <w:p w14:paraId="7A61639C">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发展规划等文件的制定，提出合理化建议。编制产业招商总体计划和年度计划，包装产业招商项目，承担产业招商专题调研工作，承担产业招商优惠政策的研判分析，负责对外宣传推介有关工作。负责产业招商投资咨询和考察服务工作，负责产业招商项目洽谈，收集整理更新国内外知名企业信息，建立产业链招商图谱、项目信息库、企业信息库。组织参加国家及省、市主办的各类专题招商活动，承办专题招商活动。协助有关部门做好安商工作。</w:t>
      </w:r>
    </w:p>
    <w:p w14:paraId="1A7875FA">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(六)现代服务业招商科</w:t>
      </w:r>
    </w:p>
    <w:p w14:paraId="5CC50810">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对国家及省、市现代服务业、康养、金融商贸、物流等相关政策、产业发展方向的研判分析，参与产业招商有关政策、发展规划等文件的制定，提出合理化建议。编制全市生产型服务业和生活型服务业招商总体计划和年度计划，包装产业招商项目，承担产业招商专题调研工作，承担产业招商优惠政策的研判分析，负责对外宣传推介有关工作。负责产业招商投资咨询和考察服务工作，负责产业招商项目洽谈。收集整理更新国内外知名企业信息，建立产业链招商图谱、项目信息库、企业信息库。承担楼宇经济等事务性工作。组织参加国家及省、市主办的各类专题招商活动，承办专题招商活动。协助有关部门做好安商工作。</w:t>
      </w:r>
    </w:p>
    <w:p w14:paraId="23A17B44">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(七)外资和驻点招商科</w:t>
      </w:r>
    </w:p>
    <w:p w14:paraId="1585B408">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研究分析欧美、日韩及东南亚、台港澳等国家和地区经</w:t>
      </w:r>
    </w:p>
    <w:p w14:paraId="756A0EE8">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济发展趋势、产业结构调整动态及跨国公司对外投资动向等工作，编制外资招商引资工作计划、发展规划，组织全市对上述国家和地区的招商引资活动，做好上述国家、地区客商来盘投资考察的接待协调工作、投资项目的跟踪落实工作。负责编制年度工作计划;负责投资促进年度目标任务的分解、评价工作。负责招商引资项目调研、大项目调度工作。负责招商引资数据统计和分析工作;负责起草招商专报、督查通报、投资信息等材料。负责协调、服务境内外商务代表处和政府经济顾问的日常联系和管理，负责各驻点招商活动的筹划、组织、联络及项目跟踪落实等工作。</w:t>
      </w:r>
    </w:p>
    <w:p w14:paraId="6F36C5F1">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(八)商贸物流发展科</w:t>
      </w:r>
    </w:p>
    <w:p w14:paraId="6E3BBC8C">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商贸流通领域节能降耗及肉菜追溯体系建设等事务性工作;承担推动再生资源行业绿色化、循环化、协同化、高值化、专业化、集群化发展，做好再生资源回收企业服务工作;承担推进全市商贸流通体系建设工作，承担商贸物流供应链、信用评价体系建设工作，为加快全市物流基地平台建设、实施重大商贸物流项目提供服务保障。</w:t>
      </w:r>
    </w:p>
    <w:p w14:paraId="03AB7E8D">
      <w:pPr>
        <w:spacing w:line="600" w:lineRule="exact"/>
        <w:ind w:firstLine="640" w:firstLineChars="200"/>
        <w:jc w:val="left"/>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、人员编制和领导职数</w:t>
      </w:r>
    </w:p>
    <w:p w14:paraId="44600F88">
      <w:pPr>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盘锦市投资促进中心人员编制为64名，其中，财政全部补助人员编制57名，经费自理人员编制7名;人员编制结构为:管理人员编制34名，专业技术人员编制27名，工勤人员编制3名。盘锦市投资促进中心单位领导职数4名，其中：主任职数1名（县处级），副主任职数3名（副县处级）；内设机构领导职数19名，其中：正职8名（正科级），副职11名（副科级）</w:t>
      </w:r>
    </w:p>
    <w:p w14:paraId="492ECBE9">
      <w:pPr>
        <w:spacing w:line="600" w:lineRule="exact"/>
        <w:ind w:firstLine="640" w:firstLineChars="200"/>
        <w:jc w:val="left"/>
        <w:rPr>
          <w:rFonts w:ascii="黑体" w:eastAsia="黑体"/>
          <w:sz w:val="32"/>
          <w:szCs w:val="32"/>
        </w:rPr>
      </w:pPr>
      <w:r>
        <w:rPr>
          <w:rFonts w:hint="eastAsia" w:ascii="黑体" w:eastAsia="黑体"/>
          <w:sz w:val="32"/>
          <w:szCs w:val="32"/>
          <w:lang w:val="en-US" w:eastAsia="zh-CN"/>
        </w:rPr>
        <w:t>四</w:t>
      </w:r>
      <w:r>
        <w:rPr>
          <w:rFonts w:hint="eastAsia" w:ascii="黑体" w:eastAsia="黑体"/>
          <w:sz w:val="32"/>
          <w:szCs w:val="32"/>
        </w:rPr>
        <w:t>、部门预算单位构成</w:t>
      </w:r>
    </w:p>
    <w:p w14:paraId="4A499BAD">
      <w:pPr>
        <w:spacing w:line="360" w:lineRule="auto"/>
        <w:ind w:firstLine="624" w:firstLineChars="195"/>
        <w:rPr>
          <w:rFonts w:ascii="仿宋_GB2312" w:eastAsia="仿宋"/>
          <w:sz w:val="32"/>
          <w:szCs w:val="32"/>
          <w:highlight w:val="none"/>
        </w:rPr>
      </w:pPr>
      <w:r>
        <w:rPr>
          <w:rFonts w:hint="eastAsia" w:ascii="仿宋" w:hAnsi="仿宋" w:eastAsia="仿宋" w:cs="仿宋"/>
          <w:sz w:val="32"/>
          <w:highlight w:val="none"/>
        </w:rPr>
        <w:t>纳入盘锦市投资促进中心2024年度部门预算编制范围的预算单位为：盘锦市投资促进中心一户单位。</w:t>
      </w:r>
    </w:p>
    <w:p w14:paraId="718CD9F5">
      <w:pPr>
        <w:spacing w:line="600" w:lineRule="exact"/>
        <w:rPr>
          <w:rFonts w:ascii="仿宋_GB2312" w:hAnsi="仿宋_GB2312" w:eastAsia="仿宋_GB2312" w:cs="仿宋_GB2312"/>
          <w:sz w:val="32"/>
        </w:rPr>
      </w:pPr>
    </w:p>
    <w:p w14:paraId="531DEAD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7CECEB16">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盘锦市投资促进中心2024年度部门预算</w:t>
      </w:r>
    </w:p>
    <w:p w14:paraId="1B23232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公开表</w:t>
      </w:r>
    </w:p>
    <w:p w14:paraId="74C904E0">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07650D0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一、2024年度收支预算总表</w:t>
      </w:r>
    </w:p>
    <w:p w14:paraId="769F67B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二、2024年度收入预算总表</w:t>
      </w:r>
    </w:p>
    <w:p w14:paraId="010D8F6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三、2024年度支出预算总表</w:t>
      </w:r>
    </w:p>
    <w:p w14:paraId="682F394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四、2024年度财政拨款收支预算总表</w:t>
      </w:r>
    </w:p>
    <w:p w14:paraId="2AF3BD4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五、2024年度一般公共预算支出表</w:t>
      </w:r>
    </w:p>
    <w:p w14:paraId="6A02626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六、2024年度一般公共预算基本支出表</w:t>
      </w:r>
    </w:p>
    <w:p w14:paraId="6987DA2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七、2024度一般公共预算“三公”经费支出表</w:t>
      </w:r>
    </w:p>
    <w:p w14:paraId="1D10F770">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八、2024年度政府性基金预算支出表</w:t>
      </w:r>
    </w:p>
    <w:p w14:paraId="055D635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九、2024年度综合预算项目支出表</w:t>
      </w:r>
    </w:p>
    <w:p w14:paraId="5113212D">
      <w:pPr>
        <w:spacing w:line="60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2024年度部门（单位）整体绩效目标表</w:t>
      </w:r>
    </w:p>
    <w:p w14:paraId="5810DD9C">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十一、2024年度部门预算项目（政策）绩效目标表</w:t>
      </w:r>
    </w:p>
    <w:p w14:paraId="575628C3">
      <w:pPr>
        <w:spacing w:line="600" w:lineRule="exact"/>
        <w:jc w:val="center"/>
        <w:rPr>
          <w:rFonts w:ascii="宋体" w:hAnsi="宋体"/>
          <w:b/>
          <w:sz w:val="44"/>
          <w:szCs w:val="44"/>
        </w:rPr>
      </w:pPr>
    </w:p>
    <w:p w14:paraId="67BD112C">
      <w:pPr>
        <w:spacing w:line="600" w:lineRule="exact"/>
        <w:jc w:val="center"/>
        <w:rPr>
          <w:rFonts w:ascii="方正小标宋_GBK" w:hAnsi="方正小标宋_GBK" w:eastAsia="方正小标宋_GBK" w:cs="方正小标宋_GBK"/>
          <w:bCs/>
          <w:sz w:val="44"/>
          <w:szCs w:val="44"/>
        </w:rPr>
      </w:pPr>
    </w:p>
    <w:p w14:paraId="7C8CE58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15850786">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盘锦市投资促进中心2024年度部门预算</w:t>
      </w:r>
    </w:p>
    <w:p w14:paraId="5FB286A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情况说明</w:t>
      </w:r>
    </w:p>
    <w:p w14:paraId="7C17D159">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2305782B">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按照综合预算的原则，2024年盘锦市投资促进中心所有收入和支出均纳入部门预算管理。其中：</w:t>
      </w:r>
    </w:p>
    <w:p w14:paraId="2D2AAD32">
      <w:pPr>
        <w:numPr>
          <w:ilvl w:val="0"/>
          <w:numId w:val="2"/>
        </w:numPr>
        <w:spacing w:line="600" w:lineRule="exact"/>
        <w:ind w:firstLine="624" w:firstLineChars="195"/>
        <w:rPr>
          <w:rFonts w:ascii="楷体" w:hAnsi="楷体" w:eastAsia="楷体" w:cs="楷体"/>
          <w:sz w:val="32"/>
        </w:rPr>
      </w:pPr>
      <w:r>
        <w:rPr>
          <w:rFonts w:hint="eastAsia" w:ascii="楷体" w:hAnsi="楷体" w:eastAsia="楷体" w:cs="楷体"/>
          <w:sz w:val="32"/>
        </w:rPr>
        <w:t>收入预算543.75万元，包括：</w:t>
      </w:r>
    </w:p>
    <w:p w14:paraId="2F087B9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1.一般公共预算收入543.75万元；</w:t>
      </w:r>
    </w:p>
    <w:p w14:paraId="3F1C3A7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2.政府性基金预算收入0万元；</w:t>
      </w:r>
    </w:p>
    <w:p w14:paraId="6FEF62D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3.国有资本经营预算收入0万元；</w:t>
      </w:r>
    </w:p>
    <w:p w14:paraId="4A8BAE4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14:paraId="06D809D1">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5.事业收入0万元；</w:t>
      </w:r>
    </w:p>
    <w:p w14:paraId="7443A7B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6.事业单位经营收入0万元；</w:t>
      </w:r>
    </w:p>
    <w:p w14:paraId="0080B7C0">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7.上级补助收入0万元；</w:t>
      </w:r>
    </w:p>
    <w:p w14:paraId="16C90E1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8.附属单位上缴收入0万元；</w:t>
      </w:r>
    </w:p>
    <w:p w14:paraId="3384FFB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9.其他收入0万元；</w:t>
      </w:r>
    </w:p>
    <w:p w14:paraId="3602F99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10.上年结转0万元。</w:t>
      </w:r>
    </w:p>
    <w:p w14:paraId="6755FB08">
      <w:pPr>
        <w:spacing w:line="600" w:lineRule="exact"/>
        <w:ind w:firstLine="624" w:firstLineChars="195"/>
        <w:rPr>
          <w:rFonts w:ascii="楷体" w:hAnsi="楷体" w:eastAsia="楷体" w:cs="楷体"/>
          <w:sz w:val="32"/>
        </w:rPr>
      </w:pPr>
      <w:r>
        <w:rPr>
          <w:rFonts w:hint="eastAsia" w:ascii="楷体" w:hAnsi="楷体" w:eastAsia="楷体" w:cs="楷体"/>
          <w:sz w:val="32"/>
        </w:rPr>
        <w:t>（二）支出预算543.75万元，包括：</w:t>
      </w:r>
    </w:p>
    <w:p w14:paraId="7B84ECD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1.基本支出518.85万元。</w:t>
      </w:r>
    </w:p>
    <w:p w14:paraId="0CB7319E">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2.项目支出24.90万元。</w:t>
      </w:r>
    </w:p>
    <w:p w14:paraId="60A6E21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支出预算中，政府采购支出0万元，债务支出0万元，政府购买服务支出0万元。</w:t>
      </w:r>
    </w:p>
    <w:p w14:paraId="3C844E4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2024预算同上年比较，收入减少22.09万元，同比下降3.90%；支出减少22.09万元，同比下降3.90%。减少主要原因是人员调出及项目预算金额减少。</w:t>
      </w:r>
    </w:p>
    <w:p w14:paraId="3B952641">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1C17137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2024年度“三公”经费预算支出安排8万元，比2023年度减少2万元，下降20%，主要是公务用车运行维护费减少。</w:t>
      </w:r>
    </w:p>
    <w:p w14:paraId="714877A8">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其中：</w:t>
      </w:r>
    </w:p>
    <w:p w14:paraId="1DE45ED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1.因公出国（境）费0万元，与 2023年度相比持平，无增减变动，主要是本单位2023、2024年均无因公出国预算安排。</w:t>
      </w:r>
    </w:p>
    <w:p w14:paraId="2D94A34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2.公务接待费0万元，与2023年度相比持平，无增减变动，主要是本单位2023、2024年均无公务接待预算安排。</w:t>
      </w:r>
    </w:p>
    <w:p w14:paraId="10292D44">
      <w:pPr>
        <w:spacing w:line="600" w:lineRule="exact"/>
        <w:ind w:firstLine="624" w:firstLineChars="195"/>
        <w:rPr>
          <w:rFonts w:eastAsia="仿宋_GB2312" w:cs="仿宋_GB2312" w:asciiTheme="minorHAnsi" w:hAnsiTheme="minorHAnsi"/>
          <w:sz w:val="32"/>
        </w:rPr>
      </w:pPr>
      <w:r>
        <w:rPr>
          <w:rFonts w:hint="eastAsia" w:ascii="仿宋_GB2312" w:hAnsi="仿宋_GB2312" w:eastAsia="仿宋_GB2312" w:cs="仿宋_GB2312"/>
          <w:sz w:val="32"/>
        </w:rPr>
        <w:t>3.公务用车购置及运行维护费8万元，与2023年度减少2万元，下降20.0%，主要是公务用车运行维护费减少。其中，公务用车购置费0万元，与2023年持平，无增减变动，主要是2023、2024年均为公务用车购置预算安排；公务用车运行维护费8万元，较2023年减少2万元，下降20%，主要是盘锦市投资促进中心机构改革</w:t>
      </w:r>
      <w:r>
        <w:rPr>
          <w:rFonts w:hint="eastAsia" w:eastAsia="仿宋_GB2312" w:cs="仿宋_GB2312" w:asciiTheme="minorHAnsi" w:hAnsiTheme="minorHAnsi"/>
          <w:sz w:val="32"/>
        </w:rPr>
        <w:t>变成商务局下属事业，单位</w:t>
      </w:r>
      <w:r>
        <w:rPr>
          <w:rFonts w:hint="eastAsia" w:ascii="仿宋_GB2312" w:hAnsi="仿宋_GB2312" w:eastAsia="仿宋_GB2312" w:cs="仿宋_GB2312"/>
          <w:sz w:val="32"/>
        </w:rPr>
        <w:t>公务用车运行维护费减少。</w:t>
      </w:r>
    </w:p>
    <w:p w14:paraId="7C4F5FB3">
      <w:pPr>
        <w:spacing w:line="600" w:lineRule="exact"/>
        <w:ind w:firstLine="624" w:firstLineChars="195"/>
        <w:rPr>
          <w:rFonts w:ascii="黑体" w:hAnsi="黑体" w:eastAsia="黑体"/>
          <w:sz w:val="32"/>
          <w:szCs w:val="32"/>
        </w:rPr>
      </w:pPr>
      <w:r>
        <w:rPr>
          <w:rFonts w:hint="eastAsia" w:ascii="黑体" w:hAnsi="黑体" w:eastAsia="黑体"/>
          <w:sz w:val="32"/>
          <w:szCs w:val="32"/>
        </w:rPr>
        <w:t>三、机关运行经费预算安排使用情况说明</w:t>
      </w:r>
    </w:p>
    <w:p w14:paraId="460827D4">
      <w:pPr>
        <w:spacing w:line="360" w:lineRule="auto"/>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2024年机关运行经费预算安排58.99万元，比上预算减少20.47万元，下降25.76%，主要原因是严格执行厉行节约八项规定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压缩一般性支出，牢固树立“过</w:t>
      </w:r>
      <w:bookmarkStart w:id="3" w:name="_GoBack"/>
      <w:bookmarkEnd w:id="3"/>
      <w:r>
        <w:rPr>
          <w:rFonts w:hint="eastAsia" w:ascii="仿宋_GB2312" w:hAnsi="仿宋_GB2312" w:eastAsia="仿宋_GB2312" w:cs="仿宋_GB2312"/>
          <w:sz w:val="32"/>
        </w:rPr>
        <w:t>紧日子”的思想。主要包括：办公费9.96万元、印刷费0.9万元、邮电费1.26万元、培训费2万元、工会经费5.67万元、办公经费19.94万元、</w:t>
      </w:r>
      <w:r>
        <w:rPr>
          <w:rFonts w:hint="eastAsia" w:ascii="仿宋" w:hAnsi="仿宋" w:eastAsia="仿宋" w:cs="仿宋"/>
          <w:sz w:val="32"/>
        </w:rPr>
        <w:t>其他商品服务支出3.61万元、维修（护）费2.70万元、劳务费2.97万元，公务用车维护费8万元，其他交通费1.98万元。</w:t>
      </w:r>
    </w:p>
    <w:p w14:paraId="67272EF1">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3FD7A83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2024年安排政府采购预算0万元，政府购买服务预算0万元。</w:t>
      </w:r>
    </w:p>
    <w:p w14:paraId="54777023">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2D31043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截至2023年12月31日，盘锦市商贸物流基地建设服务中心部门资产总额 863467.08元，其中，流动资产97248.94元，非流动资产766218.14元。固定资产中共有车辆2辆（一般公务用车2辆，其他用车0辆），价值512838.85元。</w:t>
      </w:r>
    </w:p>
    <w:p w14:paraId="53AD9DB0">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1E974D6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商贸物流基地建设服务中心2024年应编制绩效目标的项目共2个，实际编制绩效目标的项目共2个，涉及资金24.9万元，编制绩效目标的项目覆盖率（实际编制绩效目标的项目/应编制绩效目标的项目）为100%。</w:t>
      </w:r>
    </w:p>
    <w:p w14:paraId="4449BC22">
      <w:pPr>
        <w:spacing w:line="600" w:lineRule="exact"/>
        <w:jc w:val="center"/>
        <w:rPr>
          <w:rFonts w:ascii="仿宋_GB2312" w:hAnsi="仿宋_GB2312" w:eastAsia="仿宋_GB2312" w:cs="仿宋_GB2312"/>
          <w:sz w:val="32"/>
          <w:szCs w:val="32"/>
        </w:rPr>
      </w:pPr>
    </w:p>
    <w:p w14:paraId="6055A21B">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065839EB">
      <w:pPr>
        <w:spacing w:line="600" w:lineRule="exact"/>
        <w:jc w:val="center"/>
        <w:rPr>
          <w:rFonts w:ascii="黑体" w:eastAsia="黑体"/>
          <w:sz w:val="36"/>
          <w:szCs w:val="36"/>
        </w:rPr>
      </w:pPr>
    </w:p>
    <w:p w14:paraId="43173222">
      <w:pPr>
        <w:spacing w:line="540" w:lineRule="exact"/>
        <w:ind w:firstLine="643" w:firstLineChars="200"/>
        <w:rPr>
          <w:rFonts w:ascii="仿宋" w:hAnsi="仿宋" w:eastAsia="仿宋"/>
          <w:sz w:val="32"/>
          <w:szCs w:val="32"/>
        </w:rPr>
      </w:pPr>
      <w:r>
        <w:rPr>
          <w:rFonts w:hint="eastAsia" w:ascii="仿宋" w:hAnsi="仿宋" w:eastAsia="仿宋"/>
          <w:b/>
          <w:sz w:val="32"/>
          <w:szCs w:val="32"/>
        </w:rPr>
        <w:t>1.财政拨款收入：</w:t>
      </w:r>
      <w:r>
        <w:rPr>
          <w:rFonts w:hint="eastAsia" w:ascii="仿宋" w:hAnsi="仿宋" w:eastAsia="仿宋"/>
          <w:sz w:val="32"/>
          <w:szCs w:val="32"/>
        </w:rPr>
        <w:t>指单位从同级财政部门取得的财政预算资金。</w:t>
      </w:r>
    </w:p>
    <w:p w14:paraId="098448CE">
      <w:pPr>
        <w:spacing w:line="540" w:lineRule="exact"/>
        <w:ind w:firstLine="643" w:firstLineChars="200"/>
        <w:rPr>
          <w:rFonts w:ascii="仿宋" w:hAnsi="仿宋" w:eastAsia="仿宋"/>
          <w:sz w:val="32"/>
          <w:szCs w:val="32"/>
        </w:rPr>
      </w:pPr>
      <w:r>
        <w:rPr>
          <w:rFonts w:hint="eastAsia" w:ascii="仿宋" w:hAnsi="仿宋" w:eastAsia="仿宋"/>
          <w:b/>
          <w:sz w:val="32"/>
          <w:szCs w:val="32"/>
        </w:rPr>
        <w:t>2.上级补助收入：</w:t>
      </w:r>
      <w:r>
        <w:rPr>
          <w:rFonts w:hint="eastAsia" w:ascii="仿宋" w:hAnsi="仿宋" w:eastAsia="仿宋"/>
          <w:sz w:val="32"/>
          <w:szCs w:val="32"/>
        </w:rPr>
        <w:t>指单位从主管部门和上级单位取得的非财政性补助收入。</w:t>
      </w:r>
    </w:p>
    <w:p w14:paraId="11588A74">
      <w:pPr>
        <w:spacing w:line="540" w:lineRule="exact"/>
        <w:ind w:firstLine="643" w:firstLineChars="200"/>
        <w:rPr>
          <w:rFonts w:ascii="仿宋" w:hAnsi="仿宋" w:eastAsia="仿宋"/>
          <w:sz w:val="32"/>
          <w:szCs w:val="32"/>
        </w:rPr>
      </w:pPr>
      <w:r>
        <w:rPr>
          <w:rFonts w:hint="eastAsia" w:ascii="仿宋" w:hAnsi="仿宋" w:eastAsia="仿宋"/>
          <w:b/>
          <w:sz w:val="32"/>
          <w:szCs w:val="32"/>
        </w:rPr>
        <w:t>3.事业收入：</w:t>
      </w:r>
      <w:r>
        <w:rPr>
          <w:rFonts w:hint="eastAsia" w:ascii="仿宋" w:hAnsi="仿宋" w:eastAsia="仿宋"/>
          <w:sz w:val="32"/>
          <w:szCs w:val="32"/>
        </w:rPr>
        <w:t>指事业单位开展专业业务活动及辅助活动所取得的收入。</w:t>
      </w:r>
    </w:p>
    <w:p w14:paraId="1AA821CF">
      <w:pPr>
        <w:spacing w:line="540" w:lineRule="exact"/>
        <w:ind w:firstLine="643" w:firstLineChars="200"/>
        <w:rPr>
          <w:rFonts w:ascii="仿宋" w:hAnsi="仿宋" w:eastAsia="仿宋"/>
          <w:sz w:val="32"/>
          <w:szCs w:val="32"/>
        </w:rPr>
      </w:pPr>
      <w:r>
        <w:rPr>
          <w:rFonts w:hint="eastAsia" w:ascii="仿宋" w:hAnsi="仿宋" w:eastAsia="仿宋"/>
          <w:b/>
          <w:sz w:val="32"/>
          <w:szCs w:val="32"/>
        </w:rPr>
        <w:t>4.经营收入：</w:t>
      </w:r>
      <w:r>
        <w:rPr>
          <w:rFonts w:hint="eastAsia" w:ascii="仿宋" w:hAnsi="仿宋" w:eastAsia="仿宋"/>
          <w:sz w:val="32"/>
          <w:szCs w:val="32"/>
        </w:rPr>
        <w:t>指事业单位在专业业务活动及辅助活动之外开展非独立核算经营活动取得的收入。</w:t>
      </w:r>
    </w:p>
    <w:p w14:paraId="6D4A8B27">
      <w:pPr>
        <w:spacing w:line="540" w:lineRule="exact"/>
        <w:ind w:firstLine="643" w:firstLineChars="200"/>
        <w:rPr>
          <w:rFonts w:ascii="仿宋" w:hAnsi="仿宋" w:eastAsia="仿宋"/>
          <w:sz w:val="32"/>
          <w:szCs w:val="32"/>
        </w:rPr>
      </w:pPr>
      <w:r>
        <w:rPr>
          <w:rFonts w:hint="eastAsia" w:ascii="仿宋" w:hAnsi="仿宋" w:eastAsia="仿宋"/>
          <w:b/>
          <w:sz w:val="32"/>
          <w:szCs w:val="32"/>
        </w:rPr>
        <w:t>5.附属单位上缴收入：</w:t>
      </w:r>
      <w:r>
        <w:rPr>
          <w:rFonts w:hint="eastAsia" w:ascii="仿宋" w:hAnsi="仿宋" w:eastAsia="仿宋"/>
          <w:sz w:val="32"/>
          <w:szCs w:val="32"/>
        </w:rPr>
        <w:t>指单位附属的独立核算单位按照规定上缴的收入。</w:t>
      </w:r>
    </w:p>
    <w:p w14:paraId="6C8ECAF4">
      <w:pPr>
        <w:spacing w:line="540" w:lineRule="exact"/>
        <w:ind w:firstLine="643" w:firstLineChars="200"/>
        <w:rPr>
          <w:rFonts w:ascii="仿宋" w:hAnsi="仿宋" w:eastAsia="仿宋"/>
          <w:sz w:val="32"/>
          <w:szCs w:val="32"/>
        </w:rPr>
      </w:pPr>
      <w:r>
        <w:rPr>
          <w:rFonts w:hint="eastAsia" w:ascii="仿宋" w:hAnsi="仿宋" w:eastAsia="仿宋"/>
          <w:b/>
          <w:sz w:val="32"/>
          <w:szCs w:val="32"/>
        </w:rPr>
        <w:t>6.其他收入：</w:t>
      </w:r>
      <w:r>
        <w:rPr>
          <w:rFonts w:hint="eastAsia" w:ascii="仿宋" w:hAnsi="仿宋" w:eastAsia="仿宋"/>
          <w:sz w:val="32"/>
          <w:szCs w:val="32"/>
        </w:rPr>
        <w:t>指除上述“财政拨款收入”、</w:t>
      </w:r>
      <w:r>
        <w:rPr>
          <w:rFonts w:hint="eastAsia" w:ascii="仿宋" w:hAnsi="仿宋" w:eastAsia="仿宋"/>
          <w:b/>
          <w:sz w:val="32"/>
          <w:szCs w:val="32"/>
        </w:rPr>
        <w:t xml:space="preserve"> </w:t>
      </w:r>
      <w:r>
        <w:rPr>
          <w:rFonts w:hint="eastAsia" w:ascii="仿宋" w:hAnsi="仿宋" w:eastAsia="仿宋"/>
          <w:sz w:val="32"/>
          <w:szCs w:val="32"/>
        </w:rPr>
        <w:t>“上级补助收入”、“事业收入”、“经营收入”、“附属单位上缴收入”等以外的收入。</w:t>
      </w:r>
    </w:p>
    <w:p w14:paraId="65594EA0">
      <w:pPr>
        <w:spacing w:line="540" w:lineRule="exact"/>
        <w:ind w:firstLine="643" w:firstLineChars="200"/>
        <w:rPr>
          <w:rFonts w:ascii="仿宋" w:hAnsi="仿宋" w:eastAsia="仿宋"/>
          <w:sz w:val="32"/>
          <w:szCs w:val="32"/>
        </w:rPr>
      </w:pPr>
      <w:r>
        <w:rPr>
          <w:rFonts w:hint="eastAsia" w:ascii="仿宋" w:hAnsi="仿宋" w:eastAsia="仿宋"/>
          <w:b/>
          <w:sz w:val="32"/>
          <w:szCs w:val="32"/>
        </w:rPr>
        <w:t>7.使用非财政拨款结余：</w:t>
      </w:r>
      <w:r>
        <w:rPr>
          <w:rFonts w:hint="eastAsia" w:ascii="仿宋" w:hAnsi="仿宋" w:eastAsia="仿宋"/>
          <w:sz w:val="32"/>
          <w:szCs w:val="32"/>
        </w:rPr>
        <w:t>指事业单位按照预算管理要求使用非财政拨款结余弥补收支差额的金额。</w:t>
      </w:r>
    </w:p>
    <w:p w14:paraId="493FD09F">
      <w:pPr>
        <w:spacing w:line="540" w:lineRule="exact"/>
        <w:ind w:firstLine="643" w:firstLineChars="200"/>
        <w:rPr>
          <w:rFonts w:ascii="仿宋" w:hAnsi="仿宋" w:eastAsia="仿宋"/>
          <w:b/>
          <w:sz w:val="32"/>
          <w:szCs w:val="32"/>
        </w:rPr>
      </w:pPr>
    </w:p>
    <w:p w14:paraId="6D2A06CB">
      <w:pPr>
        <w:spacing w:line="540" w:lineRule="exact"/>
        <w:ind w:firstLine="643" w:firstLineChars="200"/>
        <w:rPr>
          <w:rFonts w:ascii="仿宋" w:hAnsi="仿宋" w:eastAsia="仿宋"/>
          <w:sz w:val="32"/>
          <w:szCs w:val="32"/>
        </w:rPr>
      </w:pPr>
      <w:r>
        <w:rPr>
          <w:rFonts w:hint="eastAsia" w:ascii="仿宋" w:hAnsi="仿宋" w:eastAsia="仿宋"/>
          <w:b/>
          <w:sz w:val="32"/>
          <w:szCs w:val="32"/>
        </w:rPr>
        <w:t>8.上年结转和结余：</w:t>
      </w:r>
      <w:r>
        <w:rPr>
          <w:rFonts w:hint="eastAsia" w:ascii="仿宋" w:hAnsi="仿宋" w:eastAsia="仿宋"/>
          <w:sz w:val="32"/>
          <w:szCs w:val="32"/>
        </w:rPr>
        <w:t>指以前年度尚未完成、结转到本年按有关规定继续使用的资金。</w:t>
      </w:r>
    </w:p>
    <w:p w14:paraId="478D9BB7">
      <w:pPr>
        <w:spacing w:line="540" w:lineRule="exact"/>
        <w:ind w:firstLine="643" w:firstLineChars="200"/>
        <w:rPr>
          <w:rFonts w:ascii="仿宋" w:hAnsi="仿宋" w:eastAsia="仿宋"/>
          <w:sz w:val="32"/>
          <w:szCs w:val="32"/>
        </w:rPr>
      </w:pPr>
      <w:r>
        <w:rPr>
          <w:rFonts w:hint="eastAsia" w:ascii="仿宋" w:hAnsi="仿宋" w:eastAsia="仿宋"/>
          <w:b/>
          <w:sz w:val="32"/>
          <w:szCs w:val="32"/>
        </w:rPr>
        <w:t>9.基本支出：</w:t>
      </w:r>
      <w:r>
        <w:rPr>
          <w:rFonts w:hint="eastAsia" w:ascii="仿宋" w:hAnsi="仿宋" w:eastAsia="仿宋"/>
          <w:sz w:val="32"/>
          <w:szCs w:val="32"/>
        </w:rPr>
        <w:t>指保障机构正常运转、完成日常工作任务而发生的人员支出和公用支出。</w:t>
      </w:r>
    </w:p>
    <w:p w14:paraId="63F10A29">
      <w:pPr>
        <w:spacing w:line="540" w:lineRule="exact"/>
        <w:ind w:firstLine="643" w:firstLineChars="200"/>
        <w:rPr>
          <w:rFonts w:ascii="仿宋" w:hAnsi="仿宋" w:eastAsia="仿宋"/>
          <w:sz w:val="32"/>
          <w:szCs w:val="32"/>
        </w:rPr>
      </w:pPr>
      <w:r>
        <w:rPr>
          <w:rFonts w:hint="eastAsia" w:ascii="仿宋" w:hAnsi="仿宋" w:eastAsia="仿宋"/>
          <w:b/>
          <w:sz w:val="32"/>
          <w:szCs w:val="32"/>
        </w:rPr>
        <w:t>10.项目支出：</w:t>
      </w:r>
      <w:r>
        <w:rPr>
          <w:rFonts w:hint="eastAsia" w:ascii="仿宋" w:hAnsi="仿宋" w:eastAsia="仿宋"/>
          <w:sz w:val="32"/>
          <w:szCs w:val="32"/>
        </w:rPr>
        <w:t>指在基本支出之外为完成特定行政任务和事业发展目标所发生的支出。</w:t>
      </w:r>
    </w:p>
    <w:p w14:paraId="593A0F8C">
      <w:pPr>
        <w:spacing w:line="540" w:lineRule="exact"/>
        <w:ind w:firstLine="643" w:firstLineChars="200"/>
        <w:rPr>
          <w:rFonts w:ascii="仿宋" w:hAnsi="仿宋" w:eastAsia="仿宋"/>
          <w:sz w:val="32"/>
          <w:szCs w:val="32"/>
        </w:rPr>
      </w:pPr>
      <w:r>
        <w:rPr>
          <w:rFonts w:hint="eastAsia" w:ascii="仿宋" w:hAnsi="仿宋" w:eastAsia="仿宋"/>
          <w:b/>
          <w:sz w:val="32"/>
          <w:szCs w:val="32"/>
        </w:rPr>
        <w:t>11.上缴上级支出：</w:t>
      </w:r>
      <w:r>
        <w:rPr>
          <w:rFonts w:hint="eastAsia" w:ascii="仿宋" w:hAnsi="仿宋" w:eastAsia="仿宋"/>
          <w:sz w:val="32"/>
          <w:szCs w:val="32"/>
        </w:rPr>
        <w:t>指事业单位按照财政部门和主管部门的规定上缴上级单位的支出。</w:t>
      </w:r>
    </w:p>
    <w:p w14:paraId="54FDF230">
      <w:pPr>
        <w:spacing w:line="540" w:lineRule="exact"/>
        <w:ind w:firstLine="643" w:firstLineChars="200"/>
        <w:rPr>
          <w:rFonts w:ascii="仿宋" w:hAnsi="仿宋" w:eastAsia="仿宋"/>
          <w:sz w:val="32"/>
          <w:szCs w:val="32"/>
        </w:rPr>
      </w:pPr>
      <w:r>
        <w:rPr>
          <w:rFonts w:hint="eastAsia" w:ascii="仿宋" w:hAnsi="仿宋" w:eastAsia="仿宋"/>
          <w:b/>
          <w:sz w:val="32"/>
          <w:szCs w:val="32"/>
        </w:rPr>
        <w:t>12.经营支出：</w:t>
      </w:r>
      <w:r>
        <w:rPr>
          <w:rFonts w:hint="eastAsia" w:ascii="仿宋" w:hAnsi="仿宋" w:eastAsia="仿宋"/>
          <w:sz w:val="32"/>
          <w:szCs w:val="32"/>
        </w:rPr>
        <w:t>指事业单位在专业活动及辅助活动之外开展非独立核算经营活动发生的支出。</w:t>
      </w:r>
    </w:p>
    <w:p w14:paraId="0199AE82">
      <w:pPr>
        <w:spacing w:line="540" w:lineRule="exact"/>
        <w:ind w:firstLine="643" w:firstLineChars="200"/>
        <w:rPr>
          <w:rFonts w:ascii="仿宋" w:hAnsi="仿宋" w:eastAsia="仿宋"/>
          <w:b/>
          <w:sz w:val="32"/>
          <w:szCs w:val="32"/>
        </w:rPr>
      </w:pPr>
      <w:r>
        <w:rPr>
          <w:rFonts w:hint="eastAsia" w:ascii="仿宋" w:hAnsi="仿宋" w:eastAsia="仿宋"/>
          <w:b/>
          <w:sz w:val="32"/>
          <w:szCs w:val="32"/>
        </w:rPr>
        <w:t>13.对附属单位补助支出：</w:t>
      </w:r>
      <w:r>
        <w:rPr>
          <w:rFonts w:hint="eastAsia" w:ascii="仿宋" w:hAnsi="仿宋" w:eastAsia="仿宋"/>
          <w:sz w:val="32"/>
          <w:szCs w:val="32"/>
        </w:rPr>
        <w:t>指事业单位用财政补助收入之外的收入对附属单位补助发生的支出。</w:t>
      </w:r>
    </w:p>
    <w:p w14:paraId="0345753B">
      <w:pPr>
        <w:spacing w:line="540" w:lineRule="exact"/>
        <w:ind w:firstLine="643" w:firstLineChars="200"/>
        <w:rPr>
          <w:rFonts w:ascii="仿宋" w:hAnsi="仿宋" w:eastAsia="仿宋"/>
          <w:sz w:val="32"/>
          <w:szCs w:val="32"/>
        </w:rPr>
      </w:pPr>
      <w:r>
        <w:rPr>
          <w:rFonts w:hint="eastAsia" w:ascii="仿宋" w:hAnsi="仿宋" w:eastAsia="仿宋"/>
          <w:b/>
          <w:sz w:val="32"/>
          <w:szCs w:val="32"/>
        </w:rPr>
        <w:t>14.“三公”经费：</w:t>
      </w:r>
      <w:r>
        <w:rPr>
          <w:rFonts w:hint="eastAsia" w:ascii="仿宋" w:hAnsi="仿宋" w:eastAsia="仿宋"/>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C002AE1">
      <w:pPr>
        <w:spacing w:line="540" w:lineRule="exact"/>
        <w:ind w:firstLine="643" w:firstLineChars="200"/>
        <w:rPr>
          <w:rFonts w:ascii="仿宋" w:hAnsi="仿宋" w:eastAsia="仿宋"/>
          <w:sz w:val="32"/>
          <w:szCs w:val="32"/>
        </w:rPr>
      </w:pPr>
      <w:r>
        <w:rPr>
          <w:rFonts w:hint="eastAsia" w:ascii="仿宋" w:hAnsi="仿宋" w:eastAsia="仿宋"/>
          <w:b/>
          <w:bCs/>
          <w:sz w:val="32"/>
          <w:szCs w:val="32"/>
        </w:rPr>
        <w:t>15.机关运行经费：</w:t>
      </w:r>
      <w:r>
        <w:rPr>
          <w:rFonts w:hint="eastAsia" w:ascii="仿宋" w:hAnsi="仿宋" w:eastAsia="仿宋"/>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F9836D1">
      <w:pPr>
        <w:spacing w:line="540" w:lineRule="exact"/>
        <w:ind w:firstLine="643" w:firstLineChars="200"/>
        <w:rPr>
          <w:rFonts w:ascii="仿宋" w:hAnsi="仿宋" w:eastAsia="仿宋"/>
          <w:sz w:val="32"/>
          <w:szCs w:val="32"/>
        </w:rPr>
      </w:pPr>
      <w:r>
        <w:rPr>
          <w:rFonts w:hint="eastAsia" w:ascii="仿宋" w:hAnsi="仿宋" w:eastAsia="仿宋"/>
          <w:b/>
          <w:sz w:val="32"/>
          <w:szCs w:val="32"/>
        </w:rPr>
        <w:t>16.一般公共服务支出（类）商贸事务（款）事业运行（项）：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0C0F79AF">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17</w:t>
      </w:r>
      <w:r>
        <w:rPr>
          <w:rFonts w:hint="eastAsia" w:ascii="仿宋" w:hAnsi="仿宋" w:eastAsia="仿宋" w:cs="黑体"/>
          <w:b/>
          <w:bCs/>
          <w:sz w:val="32"/>
          <w:szCs w:val="32"/>
        </w:rPr>
        <w:t>.</w:t>
      </w:r>
      <w:bookmarkStart w:id="0" w:name="_Hlk83134263"/>
      <w:r>
        <w:rPr>
          <w:rFonts w:hint="eastAsia" w:ascii="仿宋" w:hAnsi="仿宋" w:eastAsia="仿宋" w:cs="黑体"/>
          <w:b/>
          <w:bCs/>
          <w:sz w:val="32"/>
          <w:szCs w:val="32"/>
        </w:rPr>
        <w:t>社会保障和就业支出（类）行政事业单位养老支出（款）事业单位离退休（项）</w:t>
      </w:r>
      <w:bookmarkEnd w:id="0"/>
      <w:r>
        <w:rPr>
          <w:rFonts w:hint="eastAsia" w:ascii="仿宋" w:hAnsi="仿宋" w:eastAsia="仿宋" w:cs="黑体"/>
          <w:b/>
          <w:bCs/>
          <w:sz w:val="32"/>
          <w:szCs w:val="32"/>
        </w:rPr>
        <w:t>：</w:t>
      </w:r>
      <w:r>
        <w:rPr>
          <w:rFonts w:hint="eastAsia" w:ascii="仿宋" w:hAnsi="仿宋" w:eastAsia="仿宋" w:cs="黑体"/>
          <w:sz w:val="32"/>
          <w:szCs w:val="32"/>
        </w:rPr>
        <w:t>反映事业单位开支的离退休经费。</w:t>
      </w:r>
    </w:p>
    <w:p w14:paraId="3E7AA003">
      <w:pPr>
        <w:spacing w:line="540" w:lineRule="exact"/>
        <w:ind w:firstLine="643" w:firstLineChars="200"/>
        <w:rPr>
          <w:rFonts w:ascii="仿宋" w:hAnsi="仿宋" w:eastAsia="仿宋"/>
          <w:sz w:val="32"/>
          <w:szCs w:val="32"/>
        </w:rPr>
      </w:pPr>
      <w:r>
        <w:rPr>
          <w:rFonts w:ascii="仿宋" w:hAnsi="仿宋" w:eastAsia="仿宋" w:cs="黑体"/>
          <w:b/>
          <w:bCs/>
          <w:sz w:val="32"/>
          <w:szCs w:val="32"/>
        </w:rPr>
        <w:t>18</w:t>
      </w:r>
      <w:r>
        <w:rPr>
          <w:rFonts w:hint="eastAsia" w:ascii="仿宋" w:hAnsi="仿宋" w:eastAsia="仿宋" w:cs="黑体"/>
          <w:b/>
          <w:bCs/>
          <w:sz w:val="32"/>
          <w:szCs w:val="32"/>
        </w:rPr>
        <w:t>.社会保障和就业支出（类）行政事业单位养老支出（款）机关事业单位基本养老保险缴费支出（项）：</w:t>
      </w:r>
      <w:r>
        <w:rPr>
          <w:rFonts w:hint="eastAsia" w:ascii="仿宋" w:hAnsi="仿宋" w:eastAsia="仿宋" w:cs="黑体"/>
          <w:sz w:val="32"/>
          <w:szCs w:val="32"/>
        </w:rPr>
        <w:t>反映机关事业单位实施养老保险制度由单位缴纳的基本养老保险费支出。</w:t>
      </w:r>
    </w:p>
    <w:p w14:paraId="05566D05">
      <w:pPr>
        <w:spacing w:line="540" w:lineRule="exact"/>
        <w:ind w:firstLine="643" w:firstLineChars="200"/>
        <w:rPr>
          <w:rFonts w:ascii="仿宋" w:hAnsi="仿宋" w:eastAsia="仿宋" w:cs="黑体"/>
          <w:sz w:val="32"/>
          <w:szCs w:val="32"/>
        </w:rPr>
      </w:pPr>
      <w:r>
        <w:rPr>
          <w:rFonts w:ascii="仿宋" w:hAnsi="仿宋" w:eastAsia="仿宋" w:cs="黑体"/>
          <w:b/>
          <w:bCs/>
          <w:sz w:val="32"/>
          <w:szCs w:val="32"/>
        </w:rPr>
        <w:t>19</w:t>
      </w:r>
      <w:r>
        <w:rPr>
          <w:rFonts w:hint="eastAsia" w:ascii="仿宋" w:hAnsi="仿宋" w:eastAsia="仿宋" w:cs="黑体"/>
          <w:b/>
          <w:bCs/>
          <w:sz w:val="32"/>
          <w:szCs w:val="32"/>
        </w:rPr>
        <w:t>.社会保障和就业支出（类）行政事业单位养老支出（款）机关事业单位职业年金缴费支出（项）：</w:t>
      </w:r>
      <w:r>
        <w:rPr>
          <w:rFonts w:hint="eastAsia" w:ascii="仿宋" w:hAnsi="仿宋" w:eastAsia="仿宋" w:cs="黑体"/>
          <w:sz w:val="32"/>
          <w:szCs w:val="32"/>
        </w:rPr>
        <w:t>反映机关事业单位实施养老保险制度由单位实际缴纳的职业年金支出。</w:t>
      </w:r>
    </w:p>
    <w:p w14:paraId="7B46D0B4">
      <w:pPr>
        <w:spacing w:line="540" w:lineRule="exact"/>
        <w:ind w:firstLine="643" w:firstLineChars="200"/>
        <w:rPr>
          <w:rFonts w:ascii="仿宋" w:hAnsi="仿宋" w:eastAsia="仿宋" w:cs="黑体"/>
          <w:sz w:val="32"/>
          <w:szCs w:val="32"/>
        </w:rPr>
      </w:pPr>
      <w:r>
        <w:rPr>
          <w:rFonts w:ascii="仿宋" w:hAnsi="仿宋" w:eastAsia="仿宋" w:cs="黑体"/>
          <w:b/>
          <w:bCs/>
          <w:sz w:val="32"/>
          <w:szCs w:val="32"/>
        </w:rPr>
        <w:t>20</w:t>
      </w:r>
      <w:r>
        <w:rPr>
          <w:rFonts w:hint="eastAsia" w:ascii="仿宋" w:hAnsi="仿宋" w:eastAsia="仿宋" w:cs="黑体"/>
          <w:b/>
          <w:bCs/>
          <w:sz w:val="32"/>
          <w:szCs w:val="32"/>
        </w:rPr>
        <w:t>.社会保障和就业支出（类）抚恤（款）伤残抚恤（项）：</w:t>
      </w:r>
      <w:r>
        <w:rPr>
          <w:rFonts w:hint="eastAsia" w:ascii="仿宋" w:hAnsi="仿宋" w:eastAsia="仿宋" w:cs="黑体"/>
          <w:sz w:val="32"/>
          <w:szCs w:val="32"/>
        </w:rPr>
        <w:t>反映按规定用于伤残人员的抚恤金和按规定开支的各种伤残补助费。</w:t>
      </w:r>
    </w:p>
    <w:p w14:paraId="3D04A0EE">
      <w:pPr>
        <w:spacing w:line="540" w:lineRule="exact"/>
        <w:ind w:firstLine="643" w:firstLineChars="200"/>
        <w:rPr>
          <w:rFonts w:ascii="仿宋" w:hAnsi="仿宋" w:eastAsia="仿宋" w:cs="黑体"/>
          <w:sz w:val="32"/>
          <w:szCs w:val="32"/>
        </w:rPr>
      </w:pPr>
      <w:r>
        <w:rPr>
          <w:rFonts w:ascii="仿宋" w:hAnsi="仿宋" w:eastAsia="仿宋" w:cs="黑体"/>
          <w:b/>
          <w:bCs/>
          <w:sz w:val="32"/>
          <w:szCs w:val="32"/>
        </w:rPr>
        <w:t>21</w:t>
      </w:r>
      <w:r>
        <w:rPr>
          <w:rFonts w:hint="eastAsia" w:ascii="仿宋" w:hAnsi="仿宋" w:eastAsia="仿宋" w:cs="黑体"/>
          <w:b/>
          <w:bCs/>
          <w:sz w:val="32"/>
          <w:szCs w:val="32"/>
        </w:rPr>
        <w:t>.社会保障和就业支出（类）其他社会保障和就业支出（款）其他社会保障和就业支出（项）：</w:t>
      </w:r>
      <w:r>
        <w:rPr>
          <w:rFonts w:hint="eastAsia" w:ascii="仿宋" w:hAnsi="仿宋" w:eastAsia="仿宋" w:cs="黑体"/>
          <w:sz w:val="32"/>
          <w:szCs w:val="32"/>
        </w:rPr>
        <w:t>反映除上述项目以外其他用于社会保障和就业方面的支出。</w:t>
      </w:r>
    </w:p>
    <w:p w14:paraId="374683D5">
      <w:pPr>
        <w:autoSpaceDE w:val="0"/>
        <w:autoSpaceDN w:val="0"/>
        <w:adjustRightInd w:val="0"/>
        <w:spacing w:line="540" w:lineRule="exact"/>
        <w:ind w:firstLine="640"/>
        <w:jc w:val="left"/>
        <w:rPr>
          <w:rFonts w:ascii="仿宋" w:hAnsi="仿宋" w:eastAsia="仿宋" w:cs="黑体"/>
          <w:sz w:val="32"/>
          <w:szCs w:val="32"/>
        </w:rPr>
      </w:pPr>
      <w:r>
        <w:rPr>
          <w:rFonts w:hint="eastAsia" w:ascii="仿宋" w:hAnsi="仿宋" w:eastAsia="仿宋" w:cs="黑体"/>
          <w:b/>
          <w:bCs/>
          <w:sz w:val="32"/>
          <w:szCs w:val="32"/>
        </w:rPr>
        <w:t>2</w:t>
      </w:r>
      <w:r>
        <w:rPr>
          <w:rFonts w:ascii="仿宋" w:hAnsi="仿宋" w:eastAsia="仿宋" w:cs="黑体"/>
          <w:b/>
          <w:bCs/>
          <w:sz w:val="32"/>
          <w:szCs w:val="32"/>
        </w:rPr>
        <w:t>2</w:t>
      </w:r>
      <w:r>
        <w:rPr>
          <w:rFonts w:hint="eastAsia" w:ascii="仿宋" w:hAnsi="仿宋" w:eastAsia="仿宋" w:cs="黑体"/>
          <w:b/>
          <w:bCs/>
          <w:sz w:val="32"/>
          <w:szCs w:val="32"/>
        </w:rPr>
        <w:t>.卫生健康支出（类）</w:t>
      </w:r>
      <w:bookmarkStart w:id="1" w:name="_Hlk83135488"/>
      <w:r>
        <w:rPr>
          <w:rFonts w:hint="eastAsia" w:ascii="仿宋" w:hAnsi="仿宋" w:eastAsia="仿宋" w:cs="黑体"/>
          <w:b/>
          <w:bCs/>
          <w:sz w:val="32"/>
          <w:szCs w:val="32"/>
        </w:rPr>
        <w:t>行政事业单位医疗</w:t>
      </w:r>
      <w:bookmarkEnd w:id="1"/>
      <w:r>
        <w:rPr>
          <w:rFonts w:hint="eastAsia" w:ascii="仿宋" w:hAnsi="仿宋" w:eastAsia="仿宋" w:cs="黑体"/>
          <w:b/>
          <w:bCs/>
          <w:sz w:val="32"/>
          <w:szCs w:val="32"/>
        </w:rPr>
        <w:t>（款）事业单位医疗（项）：</w:t>
      </w:r>
      <w:r>
        <w:rPr>
          <w:rFonts w:hint="eastAsia" w:ascii="仿宋" w:hAnsi="仿宋" w:eastAsia="仿宋" w:cs="黑体"/>
          <w:sz w:val="32"/>
          <w:szCs w:val="32"/>
        </w:rPr>
        <w:t>反映财政部门安排的事业单位基本医疗保险缴费经费，未参加医疗保险的事业单位的公费医疗经费，按国家规定享受离休人员待遇的医疗经费。</w:t>
      </w:r>
    </w:p>
    <w:p w14:paraId="01D5B534">
      <w:pPr>
        <w:autoSpaceDE w:val="0"/>
        <w:autoSpaceDN w:val="0"/>
        <w:adjustRightInd w:val="0"/>
        <w:spacing w:line="540" w:lineRule="exact"/>
        <w:ind w:firstLine="640"/>
        <w:jc w:val="left"/>
        <w:rPr>
          <w:rFonts w:ascii="仿宋" w:hAnsi="仿宋" w:eastAsia="仿宋" w:cs="黑体"/>
          <w:sz w:val="32"/>
          <w:szCs w:val="32"/>
        </w:rPr>
      </w:pPr>
      <w:r>
        <w:rPr>
          <w:rFonts w:hint="eastAsia" w:ascii="仿宋" w:hAnsi="仿宋" w:eastAsia="仿宋" w:cs="黑体"/>
          <w:b/>
          <w:bCs/>
          <w:sz w:val="32"/>
          <w:szCs w:val="32"/>
        </w:rPr>
        <w:t>2</w:t>
      </w:r>
      <w:r>
        <w:rPr>
          <w:rFonts w:ascii="仿宋" w:hAnsi="仿宋" w:eastAsia="仿宋" w:cs="黑体"/>
          <w:b/>
          <w:bCs/>
          <w:sz w:val="32"/>
          <w:szCs w:val="32"/>
        </w:rPr>
        <w:t>3</w:t>
      </w:r>
      <w:r>
        <w:rPr>
          <w:rFonts w:hint="eastAsia" w:ascii="仿宋" w:hAnsi="仿宋" w:eastAsia="仿宋" w:cs="黑体"/>
          <w:b/>
          <w:bCs/>
          <w:sz w:val="32"/>
          <w:szCs w:val="32"/>
        </w:rPr>
        <w:t>. 卫生健康支出（类）行政事业单位医疗（款）其他行政事业单位医疗支出（项）：</w:t>
      </w:r>
      <w:r>
        <w:rPr>
          <w:rFonts w:hint="eastAsia" w:ascii="仿宋" w:hAnsi="仿宋" w:eastAsia="仿宋" w:cs="黑体"/>
          <w:sz w:val="32"/>
          <w:szCs w:val="32"/>
        </w:rPr>
        <w:t>反映除上述项目以外的其他用于行政事业单位医疗方面的支出。</w:t>
      </w:r>
      <w:bookmarkStart w:id="2" w:name="_Hlk83135859"/>
    </w:p>
    <w:p w14:paraId="3E642CA9">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24</w:t>
      </w:r>
      <w:r>
        <w:rPr>
          <w:rFonts w:hint="eastAsia" w:ascii="仿宋" w:hAnsi="仿宋" w:eastAsia="仿宋" w:cs="黑体"/>
          <w:b/>
          <w:bCs/>
          <w:sz w:val="32"/>
          <w:szCs w:val="32"/>
        </w:rPr>
        <w:t>.住房保障支出（类）住房改革支出（款）住房公积金（项）：</w:t>
      </w:r>
      <w:r>
        <w:rPr>
          <w:rFonts w:hint="eastAsia" w:ascii="仿宋" w:hAnsi="仿宋" w:eastAsia="仿宋" w:cs="黑体"/>
          <w:sz w:val="32"/>
          <w:szCs w:val="32"/>
        </w:rPr>
        <w:t>反映行政事业单位按人力资源和社会保障部、财政部规定的基本工资和津贴补贴以及规定比例为职工缴纳的住房公积金。</w:t>
      </w:r>
    </w:p>
    <w:bookmarkEnd w:id="2"/>
    <w:p w14:paraId="1DC45B9E">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25</w:t>
      </w:r>
      <w:r>
        <w:rPr>
          <w:rFonts w:hint="eastAsia" w:ascii="仿宋" w:hAnsi="仿宋" w:eastAsia="仿宋" w:cs="黑体"/>
          <w:b/>
          <w:bCs/>
          <w:sz w:val="32"/>
          <w:szCs w:val="32"/>
        </w:rPr>
        <w:t>.商业服务业（类）商业流通事务（款）事业运行（项）：</w:t>
      </w:r>
      <w:r>
        <w:rPr>
          <w:rFonts w:hint="eastAsia" w:ascii="仿宋" w:hAnsi="仿宋" w:eastAsia="仿宋" w:cs="黑体"/>
          <w:sz w:val="32"/>
          <w:szCs w:val="32"/>
        </w:rPr>
        <w:t>反映事业单位的基本支出，不包括行政单位（包括实行公务员管理的事业单位）后勤服务中心、医务室等附属事业单位。</w:t>
      </w:r>
    </w:p>
    <w:p w14:paraId="3DDB8207">
      <w:pPr>
        <w:autoSpaceDE w:val="0"/>
        <w:autoSpaceDN w:val="0"/>
        <w:adjustRightInd w:val="0"/>
        <w:spacing w:line="540" w:lineRule="exact"/>
        <w:ind w:firstLine="640"/>
        <w:jc w:val="left"/>
        <w:rPr>
          <w:rFonts w:ascii="仿宋" w:hAnsi="仿宋" w:eastAsia="仿宋" w:cs="黑体"/>
          <w:sz w:val="32"/>
          <w:szCs w:val="32"/>
        </w:rPr>
      </w:pPr>
      <w:r>
        <w:rPr>
          <w:rFonts w:ascii="仿宋" w:hAnsi="仿宋" w:eastAsia="仿宋" w:cs="黑体"/>
          <w:b/>
          <w:bCs/>
          <w:sz w:val="32"/>
          <w:szCs w:val="32"/>
        </w:rPr>
        <w:t>26</w:t>
      </w:r>
      <w:r>
        <w:rPr>
          <w:rFonts w:hint="eastAsia" w:ascii="仿宋" w:hAnsi="仿宋" w:eastAsia="仿宋" w:cs="黑体"/>
          <w:b/>
          <w:bCs/>
          <w:sz w:val="32"/>
          <w:szCs w:val="32"/>
        </w:rPr>
        <w:t>.商业服务业（类）商业流通事务（款）其他商业流通事务支出（项）：</w:t>
      </w:r>
      <w:r>
        <w:rPr>
          <w:rFonts w:hint="eastAsia" w:ascii="仿宋" w:hAnsi="仿宋" w:eastAsia="仿宋" w:cs="黑体"/>
          <w:sz w:val="32"/>
          <w:szCs w:val="32"/>
        </w:rPr>
        <w:t>反映其他商业服务业等支出中除上述项目以外的其他支出。</w:t>
      </w:r>
    </w:p>
    <w:p w14:paraId="3230BB40">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27.社会保障和就业支出（类）抚恤（款）死亡抚恤（项）：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1D82A47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28.工资福利支出：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6A380D2F">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29.商品和服务支出：</w:t>
      </w:r>
      <w:r>
        <w:rPr>
          <w:rFonts w:hint="eastAsia" w:ascii="仿宋" w:hAnsi="仿宋" w:eastAsia="仿宋"/>
          <w:sz w:val="32"/>
          <w:szCs w:val="32"/>
        </w:rPr>
        <w:t>反映单位购买商品和服务的支出，不包括用于购置固定资产、战略性和应急性物资储备等资本性支出。</w:t>
      </w:r>
    </w:p>
    <w:p w14:paraId="1472A84E">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30.对个人和家庭补助：</w:t>
      </w:r>
      <w:r>
        <w:rPr>
          <w:rFonts w:hint="eastAsia" w:ascii="仿宋" w:hAnsi="仿宋" w:eastAsia="仿宋"/>
          <w:sz w:val="32"/>
          <w:szCs w:val="32"/>
        </w:rPr>
        <w:t>反映政府用于对个人和家庭的补助支出。</w:t>
      </w:r>
    </w:p>
    <w:p w14:paraId="7E12C6AC">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31.资本性支出：</w:t>
      </w:r>
      <w:r>
        <w:rPr>
          <w:rFonts w:hint="eastAsia" w:ascii="仿宋" w:hAnsi="仿宋" w:eastAsia="仿宋"/>
          <w:sz w:val="32"/>
          <w:szCs w:val="32"/>
        </w:rPr>
        <w:t>反映各单位安排的资本性支出。切块由发展改革部门安排的基本建设支出不在此科目反映。</w:t>
      </w:r>
    </w:p>
    <w:p w14:paraId="1F29E14E">
      <w:pPr>
        <w:spacing w:line="540" w:lineRule="exact"/>
        <w:ind w:firstLine="643" w:firstLineChars="200"/>
        <w:rPr>
          <w:rFonts w:ascii="仿宋" w:hAnsi="仿宋" w:eastAsia="仿宋"/>
          <w:sz w:val="32"/>
          <w:szCs w:val="32"/>
          <w:highlight w:val="yellow"/>
        </w:rPr>
      </w:pPr>
      <w:r>
        <w:rPr>
          <w:rFonts w:hint="eastAsia" w:ascii="仿宋" w:hAnsi="仿宋" w:eastAsia="仿宋"/>
          <w:b/>
          <w:bCs/>
          <w:sz w:val="32"/>
          <w:szCs w:val="32"/>
        </w:rPr>
        <w:t>32.</w:t>
      </w:r>
      <w:r>
        <w:rPr>
          <w:rFonts w:hint="eastAsia" w:ascii="仿宋" w:hAnsi="仿宋" w:eastAsia="仿宋"/>
          <w:b/>
          <w:sz w:val="32"/>
          <w:szCs w:val="32"/>
        </w:rPr>
        <w:t>其他支出（类）其他支出（款）其他支出（项）</w:t>
      </w:r>
      <w:r>
        <w:rPr>
          <w:rFonts w:hint="eastAsia" w:ascii="仿宋" w:hAnsi="仿宋" w:eastAsia="仿宋"/>
          <w:sz w:val="32"/>
          <w:szCs w:val="32"/>
        </w:rPr>
        <w:t>反映除上述项目以外其他不能划分到具体功能科目的支出项目。</w:t>
      </w:r>
    </w:p>
    <w:p w14:paraId="6820EE2A">
      <w:pPr>
        <w:spacing w:line="540" w:lineRule="exact"/>
        <w:rPr>
          <w:rFonts w:ascii="仿宋" w:hAnsi="仿宋" w:eastAsia="仿宋"/>
          <w:b/>
          <w:sz w:val="36"/>
          <w:szCs w:val="36"/>
          <w:highlight w:val="yellow"/>
        </w:rPr>
      </w:pPr>
    </w:p>
    <w:p w14:paraId="7D092413">
      <w:pPr>
        <w:spacing w:line="600" w:lineRule="exact"/>
        <w:ind w:firstLine="640"/>
        <w:rPr>
          <w:rFonts w:ascii="仿宋_GB2312" w:hAnsi="仿宋_GB2312" w:eastAsia="仿宋_GB2312" w:cs="仿宋_GB2312"/>
          <w:bCs/>
          <w:sz w:val="32"/>
          <w:szCs w:val="32"/>
        </w:rPr>
      </w:pPr>
    </w:p>
    <w:p w14:paraId="0E2D4A85">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7B0B">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10</w:t>
    </w:r>
    <w:r>
      <w:fldChar w:fldCharType="end"/>
    </w:r>
  </w:p>
  <w:p w14:paraId="019394E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34294">
    <w:pPr>
      <w:pStyle w:val="3"/>
      <w:framePr w:wrap="around" w:vAnchor="text" w:hAnchor="margin" w:xAlign="center" w:y="1"/>
      <w:rPr>
        <w:rStyle w:val="7"/>
      </w:rPr>
    </w:pPr>
    <w:r>
      <w:fldChar w:fldCharType="begin"/>
    </w:r>
    <w:r>
      <w:rPr>
        <w:rStyle w:val="7"/>
      </w:rPr>
      <w:instrText xml:space="preserve">PAGE  </w:instrText>
    </w:r>
    <w:r>
      <w:fldChar w:fldCharType="end"/>
    </w:r>
  </w:p>
  <w:p w14:paraId="185BB21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DFjNWVmZTU0MWQxOTMxYjhjMzY0OGFlYWUzMTMifQ=="/>
  </w:docVars>
  <w:rsids>
    <w:rsidRoot w:val="00BE62AD"/>
    <w:rsid w:val="00017A6B"/>
    <w:rsid w:val="00031985"/>
    <w:rsid w:val="00032E9E"/>
    <w:rsid w:val="00060115"/>
    <w:rsid w:val="000658A3"/>
    <w:rsid w:val="00072B5D"/>
    <w:rsid w:val="00072D02"/>
    <w:rsid w:val="000931CC"/>
    <w:rsid w:val="000B0460"/>
    <w:rsid w:val="000B604D"/>
    <w:rsid w:val="000D22BA"/>
    <w:rsid w:val="000D240A"/>
    <w:rsid w:val="000E5340"/>
    <w:rsid w:val="000E7C7C"/>
    <w:rsid w:val="000F07CF"/>
    <w:rsid w:val="001032C2"/>
    <w:rsid w:val="00113395"/>
    <w:rsid w:val="00113C48"/>
    <w:rsid w:val="001461B8"/>
    <w:rsid w:val="00163ACD"/>
    <w:rsid w:val="00163B6F"/>
    <w:rsid w:val="00180B70"/>
    <w:rsid w:val="00197AF9"/>
    <w:rsid w:val="001A4CDE"/>
    <w:rsid w:val="001C6690"/>
    <w:rsid w:val="001F06E5"/>
    <w:rsid w:val="001F45ED"/>
    <w:rsid w:val="001F4827"/>
    <w:rsid w:val="00207D64"/>
    <w:rsid w:val="0022212D"/>
    <w:rsid w:val="00230727"/>
    <w:rsid w:val="00256356"/>
    <w:rsid w:val="00265D53"/>
    <w:rsid w:val="00270ADE"/>
    <w:rsid w:val="00272E78"/>
    <w:rsid w:val="00276D04"/>
    <w:rsid w:val="00276DD9"/>
    <w:rsid w:val="00285E78"/>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3F7EC1"/>
    <w:rsid w:val="004041E3"/>
    <w:rsid w:val="00411F62"/>
    <w:rsid w:val="00442917"/>
    <w:rsid w:val="00442B30"/>
    <w:rsid w:val="00455282"/>
    <w:rsid w:val="00456D37"/>
    <w:rsid w:val="00465980"/>
    <w:rsid w:val="00491686"/>
    <w:rsid w:val="0049340A"/>
    <w:rsid w:val="004967DD"/>
    <w:rsid w:val="004A23C9"/>
    <w:rsid w:val="004B0299"/>
    <w:rsid w:val="004B5006"/>
    <w:rsid w:val="004C1D9C"/>
    <w:rsid w:val="004D5C4B"/>
    <w:rsid w:val="004E79C5"/>
    <w:rsid w:val="004F2A87"/>
    <w:rsid w:val="0050710B"/>
    <w:rsid w:val="005116A6"/>
    <w:rsid w:val="00516564"/>
    <w:rsid w:val="00524803"/>
    <w:rsid w:val="00534C2B"/>
    <w:rsid w:val="00542628"/>
    <w:rsid w:val="00594B5D"/>
    <w:rsid w:val="005D24E8"/>
    <w:rsid w:val="005D57A0"/>
    <w:rsid w:val="005E2549"/>
    <w:rsid w:val="005E2EE3"/>
    <w:rsid w:val="005F6562"/>
    <w:rsid w:val="00604DF5"/>
    <w:rsid w:val="0060780F"/>
    <w:rsid w:val="00613F3D"/>
    <w:rsid w:val="00623F6C"/>
    <w:rsid w:val="00631CB0"/>
    <w:rsid w:val="00662644"/>
    <w:rsid w:val="00671A28"/>
    <w:rsid w:val="00691121"/>
    <w:rsid w:val="006A5211"/>
    <w:rsid w:val="006A684B"/>
    <w:rsid w:val="006C079E"/>
    <w:rsid w:val="006D7AEB"/>
    <w:rsid w:val="006E1403"/>
    <w:rsid w:val="006E2431"/>
    <w:rsid w:val="006E587F"/>
    <w:rsid w:val="00714DE0"/>
    <w:rsid w:val="00715FD2"/>
    <w:rsid w:val="00726A72"/>
    <w:rsid w:val="00750153"/>
    <w:rsid w:val="00760325"/>
    <w:rsid w:val="00780DF3"/>
    <w:rsid w:val="00791A0C"/>
    <w:rsid w:val="007A72CE"/>
    <w:rsid w:val="007C1C5D"/>
    <w:rsid w:val="007C48EF"/>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26CA3"/>
    <w:rsid w:val="00944D90"/>
    <w:rsid w:val="00947851"/>
    <w:rsid w:val="009529E2"/>
    <w:rsid w:val="00970091"/>
    <w:rsid w:val="00983AC8"/>
    <w:rsid w:val="009B79E2"/>
    <w:rsid w:val="009E4E30"/>
    <w:rsid w:val="009F7180"/>
    <w:rsid w:val="00A037EF"/>
    <w:rsid w:val="00A043D2"/>
    <w:rsid w:val="00A0483E"/>
    <w:rsid w:val="00A062B7"/>
    <w:rsid w:val="00A101A3"/>
    <w:rsid w:val="00A6362A"/>
    <w:rsid w:val="00A80804"/>
    <w:rsid w:val="00A95FF0"/>
    <w:rsid w:val="00AA125E"/>
    <w:rsid w:val="00AB4DD1"/>
    <w:rsid w:val="00AC2FAD"/>
    <w:rsid w:val="00AD5F20"/>
    <w:rsid w:val="00AE1C16"/>
    <w:rsid w:val="00AF006D"/>
    <w:rsid w:val="00AF3AD8"/>
    <w:rsid w:val="00AF3E3D"/>
    <w:rsid w:val="00B12888"/>
    <w:rsid w:val="00B22DEC"/>
    <w:rsid w:val="00B32C7B"/>
    <w:rsid w:val="00B34034"/>
    <w:rsid w:val="00B34B83"/>
    <w:rsid w:val="00B70A86"/>
    <w:rsid w:val="00B92D0F"/>
    <w:rsid w:val="00BB3AF8"/>
    <w:rsid w:val="00BC6FCC"/>
    <w:rsid w:val="00BD0675"/>
    <w:rsid w:val="00BE48AC"/>
    <w:rsid w:val="00BE4E88"/>
    <w:rsid w:val="00BE62AD"/>
    <w:rsid w:val="00BF04D3"/>
    <w:rsid w:val="00BF521D"/>
    <w:rsid w:val="00C00E7D"/>
    <w:rsid w:val="00C102DC"/>
    <w:rsid w:val="00C13C02"/>
    <w:rsid w:val="00C218E3"/>
    <w:rsid w:val="00C24501"/>
    <w:rsid w:val="00C30DAE"/>
    <w:rsid w:val="00C31BC5"/>
    <w:rsid w:val="00C42C45"/>
    <w:rsid w:val="00C524CB"/>
    <w:rsid w:val="00C52BC7"/>
    <w:rsid w:val="00C5646F"/>
    <w:rsid w:val="00C93024"/>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018E"/>
    <w:rsid w:val="00D8459B"/>
    <w:rsid w:val="00DA522D"/>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EE3A6D"/>
    <w:rsid w:val="00EE4832"/>
    <w:rsid w:val="00F12957"/>
    <w:rsid w:val="00F24450"/>
    <w:rsid w:val="00F27011"/>
    <w:rsid w:val="00F54421"/>
    <w:rsid w:val="00F622B4"/>
    <w:rsid w:val="00F650D9"/>
    <w:rsid w:val="00F65298"/>
    <w:rsid w:val="00F72460"/>
    <w:rsid w:val="00F86BA9"/>
    <w:rsid w:val="00F932BE"/>
    <w:rsid w:val="00FB0BEB"/>
    <w:rsid w:val="00FC0323"/>
    <w:rsid w:val="00FC5522"/>
    <w:rsid w:val="00FD6729"/>
    <w:rsid w:val="00FE14BA"/>
    <w:rsid w:val="02253710"/>
    <w:rsid w:val="08317E94"/>
    <w:rsid w:val="0E3C40B3"/>
    <w:rsid w:val="11845F88"/>
    <w:rsid w:val="1B874088"/>
    <w:rsid w:val="1D323145"/>
    <w:rsid w:val="226714FA"/>
    <w:rsid w:val="23B24B3C"/>
    <w:rsid w:val="2D402BD8"/>
    <w:rsid w:val="2FE41A45"/>
    <w:rsid w:val="313D1D3A"/>
    <w:rsid w:val="32120A73"/>
    <w:rsid w:val="395B069E"/>
    <w:rsid w:val="40C777C7"/>
    <w:rsid w:val="49A6471E"/>
    <w:rsid w:val="4B5F6CCC"/>
    <w:rsid w:val="4C5B70AE"/>
    <w:rsid w:val="4FD55530"/>
    <w:rsid w:val="509719A0"/>
    <w:rsid w:val="523F3135"/>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autoRedefine/>
    <w:qFormat/>
    <w:uiPriority w:val="0"/>
    <w:rPr>
      <w:kern w:val="2"/>
      <w:sz w:val="18"/>
      <w:szCs w:val="18"/>
    </w:rPr>
  </w:style>
  <w:style w:type="character" w:customStyle="1" w:styleId="9">
    <w:name w:val="页眉 Char"/>
    <w:link w:val="4"/>
    <w:autoRedefine/>
    <w:qFormat/>
    <w:uiPriority w:val="0"/>
    <w:rPr>
      <w:kern w:val="2"/>
      <w:sz w:val="18"/>
      <w:szCs w:val="18"/>
    </w:rPr>
  </w:style>
  <w:style w:type="paragraph" w:customStyle="1" w:styleId="10">
    <w:name w:val="Char"/>
    <w:basedOn w:val="1"/>
    <w:autoRedefine/>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autoRedefine/>
    <w:qFormat/>
    <w:uiPriority w:val="0"/>
    <w:rPr>
      <w:szCs w:val="21"/>
    </w:rPr>
  </w:style>
  <w:style w:type="paragraph" w:styleId="12">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6467</Words>
  <Characters>6818</Characters>
  <Lines>49</Lines>
  <Paragraphs>14</Paragraphs>
  <TotalTime>11</TotalTime>
  <ScaleCrop>false</ScaleCrop>
  <LinksUpToDate>false</LinksUpToDate>
  <CharactersWithSpaces>6839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2024-02-29T08:10:00Z</dcterms:created>
  <dc:creator>lenovo</dc:creator>
  <cp:lastModifiedBy>许可</cp:lastModifiedBy>
  <cp:lastPrinted>2024-01-16T04:47:00Z</cp:lastPrinted>
  <dcterms:modified xsi:type="dcterms:W3CDTF">2024-09-14T06:36:21Z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A7EE4F76C07F49E2AA595BB53EEC81D6_13</vt:lpwstr>
  </property>
</Properties>
</file>