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辽宁省盘锦市大洼区卫生健康局（本级）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辽宁省盘锦市大洼区卫生健康局（本级）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辽宁省盘锦市大洼区卫生健康局（本级）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辽宁省盘锦市大洼区卫生健康局（本级）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辽宁省盘锦市大洼区卫生健康局（本级）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辽宁省盘锦市大洼区卫生健康局（本级）概况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卫生和计划生育、中医药事业发展方针政策、法律法规。拟订区级有关卫生和计划生育工作规范性文件并组织实施。负责协调推进全区医药卫生体制改革和医疗保障，统筹规划卫生和计划生育服务资源配置。负责本地区卫生和计划生育规划的编制和实施。</w:t>
        <w:br/>
        <w:t xml:space="preserve">    （二）负责疾病预防控制工作，组织实施国家免疫规划、严重危害人民健康的公共卫生问题的干预措施的落实。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br/>
        <w:t xml:space="preserve">    （三）负责制定职责范围内的职业卫生、放射卫生、环境卫生、学校卫生、公共场所卫生、饮用水卫生管理规范和政策措施。负责公共场所以及改建、扩建的公共场所的选址和设计，组织开展相关检测、评估、调查和监督；负责传染病防治监督。配合省、市卫生和计划生育委员会开展食品安全风险监测、评估，依法公布食品安全标准和食品安全地方标准跟踪评价工作。</w:t>
        <w:br/>
        <w:t xml:space="preserve">    （四）负责组织拟订并实施基层卫生和计划生育服务、妇幼卫生发展规划和政策措施，指导基层卫生和计划生育、妇幼卫生服务体系建设，推进基本公共卫生和计划生育服务均等化，完善和落实基层运行新机制和镇村医生管理制度；综合管理全区新型农村合作医疗及大病保险工作。</w:t>
        <w:br/>
        <w:t xml:space="preserve">    （五）负责制定医疗机构和医疗服务行业管理办法并监督管理。实施医疗机构及其医疗服务、医疗技术、医疗质量、医疗安全以及采供血机构管理的规范、标准，会同有关部门实施卫生专业技术人员准入、资格标准，实施卫生专业技术人员执业规则和服务规范，建立医疗服务评价和监督管理体系。负责区级保健对象的医疗保健管理工作，负责区重要会议与重大活动的医疗卫生保障工作。</w:t>
        <w:br/>
        <w:t xml:space="preserve">    （六）负责组织推进公立医院改革，建立公益性为导向的绩效考核和评价运行机制，建设和谐医患关系，提出医疗服务和药品价格政策的建议。</w:t>
        <w:br/>
        <w:t xml:space="preserve">    （七）组织实施国家基本药物制度，组织实施基本药物目录及辽宁省药品增补目录，落实基本药物采购、配送、使用的管理制度。</w:t>
        <w:br/>
        <w:t xml:space="preserve">    （八）组织拟订中医药事业发展规划和技术规范，负责各类中医医疗机构和中医医疗、预防保健、康复、护理及临床用药的监督管理，组织实施中医药专业技术人员准入、资格标准，指导中医药教育、人才培养和科学研究。</w:t>
        <w:br/>
        <w:t xml:space="preserve">    （九）落实生育政策，组织实施促进出生人口性别平衡的政策措施，组织监测计划生育发展动态，提出发布计划生育安全预警预报信息建议。监督实施计划生育技术服务管理制度。组织实施优生优育和提高出生人口素质的政策措施，推动实施计划生育生殖健康促进计划，降低出生缺陷人口数量。</w:t>
        <w:br/>
        <w:t xml:space="preserve">    （十）组织建立和完善计划生育利益导向、计划生育特殊困难家庭扶助和促进计划生育家庭发展等机制。负责协调推进有关部门、群众团体履行计划生育工作相关职责，建立与经济社会发展政策的衔接机制，提出稳定低生育水平政策措施。</w:t>
        <w:br/>
        <w:t xml:space="preserve">    （十一）组织落实流动人口卫生和计划生育服务管理制度，组织开展建立流动人口卫生和计划生育信息共享和公共服务工作机制。</w:t>
        <w:br/>
        <w:t xml:space="preserve">    （十二）组织拟订卫生和计划生育人才和科技发展规划，加强人才队伍建设；加强全科医生等急需紧缺专业人才培养，落实住院医师和专科医师规范化培训制度并指导实施。组织实施卫生和计划生育相关科研项目；落实医学教育发展规划，协同指导院校医学教育和计划生育教育，组织实施毕业后医学教育和继续医学教育。</w:t>
        <w:br/>
        <w:t xml:space="preserve">    （十三）加强本地区卫生和计划生育监督管理工作，完善综合监督执法体系，规范执法行为，监督检查法律法规和政策措施的落实，组织查处重大违法行为。监督落实计划生育一票否决制。</w:t>
        <w:br/>
        <w:t xml:space="preserve">    （十四）负责卫生和计划生育宣传、健康教育、健康促进和信息化建设等工作，依法组织实施统计调查，负责本地区人口基础信息统计上报和信息库管理建设工作。</w:t>
        <w:br/>
        <w:t xml:space="preserve">    （十五）承担区爱国卫生运动委员会、区深化医药卫生体制改革领导小组、区防治艾滋病工作委员会的日常工作。</w:t>
        <w:br/>
        <w:t xml:space="preserve">    （十六）承办区政府交办的其他事项。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辽宁省盘锦市大洼区卫生健康局（本级）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辽宁省盘锦市大洼区卫生健康局（本级）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3114.90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3114.72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3114.72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0.17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减少2713.32万元，降低46.55%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基本公共及重大的公共卫生收支减少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3114.72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232.06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7.45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工资福利支出177.39万元；商品和服务支出32.52万元；对个人和家庭的补助22.14万元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2882.67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92.55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主要包括基本公共及重大的公共卫生收支减少等业务支出。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减少2713.32万元，降低46.56%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基本公共及重大的公共卫生收支减少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3114.72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232.05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2882.67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减少2711.32万元，降低46.54%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基本公共及重大的公共卫生收支减少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1340.07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132.35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5048.45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2023年度一般公共预算财政拨款支出3114.72万元。按支出功能分类科目分，包括：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1.社会保障和就业支出49.36万元，具体包括：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（1）社会保障和就业支出（类）行政事业单位养老支出（款）行政单位离退休（项）22.24万元,主要是退休费等支出，完成年初预算的100%，决算数与年初预算数存在差异的主要原因是差异不大。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（2）社会保障和就业支出（类）行政事业单位养老支出（款）事业单位离退休（项）0.00万元,主要是无等支出，完成年初预算的0%，决算数与年初预算数存在差异的主要原因是差异不大。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16.70万元,主要是养老保险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10.06万元,主要是退休职业年金等支出，完成年初预算的200%，决算数与年初预算数存在差异的主要原因是退休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（5）社会保障和就业支出（类）其他社会保障和就业支出（款）其他社会保障和就业支出（项）0.36万元,主要是工伤保险等支出，完成年初预算的100%，决算数与年初预算数存在差异的主要原因是差异不大。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2.卫生健康支出3049.66万元，具体包括：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（1）卫生健康支出（类）卫生健康管理事务（款）行政运行（项）159.54万元,主要是工资经费等支出，完成年初预算的100%，决算数与年初预算数存在差异的主要原因是差异不大。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（2）卫生健康支出（类）卫生健康管理事务（款）一般行政管理事务（项）37.20万元,主要是卫健局项目资金等支出，完成年初预算的100%，决算数与年初预算数存在差异的主要原因是差异不大。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（3）卫生健康支出（类）基层医疗卫生机构（款）其他基层医疗卫生机构支出（项）121.65万元,主要是基本药物村医工资等支出，完成年初预算的100%，决算数与年初预算数存在差异的主要原因是差异不大。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公共卫生（款）基本公共卫生服务（项）722.03万元,主要是基本公共卫生服务项目等支出，完成年初预算的200%，决算数与年初预算数存在差异的主要原因是基本公共卫生服务项目为上级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（5）卫生健康支出（类）公共卫生（款）重大公共卫生服务（项）304.12万元,主要是重大公共卫生等支出，完成年初预算的200%，决算数与年初预算数存在差异的主要原因是重大公共卫生为上级专项。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公共卫生（款）突发公共卫生事件应急处理（项）17.30万元,主要是疫情临时性工作补助等支出，完成年初预算的200%，决算数与年初预算数存在差异的主要原因是疫情临时性工作补助为上级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（7）卫生健康支出（类）中医药（款）中医（民族医）药专项（项）40.00万元,主要是中医药专项等支出，完成年初预算的200%，决算数与年初预算数存在差异的主要原因是中医药专项为上级专项。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卫生健康支出（类）计划生育事务（款）计划生育服务（项）1640.35万元,主要是计划生育奖特扶资金等支出，完成年初预算的200%，决算数与年初预算数存在差异的主要原因是计划生育奖特扶资金为上级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（9）卫生健康支出（类）行政事业单位医疗（款）行政单位医疗（项）7.19万元,主要是医疗保险等支出，完成年初预算的100%，决算数与年初预算数存在差异的主要原因是差异不大。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（10）卫生健康支出（类）行政事业单位医疗（款）其他行政事业单位医疗支出（项）0.28万元,主要是大额医疗保险等支出，完成年初预算的100%，决算数与年初预算数存在差异的主要原因是差异不大。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3.住房保障支出15.68万元，具体包括：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（1）住房保障支出（类）住房改革支出（款）住房公积金（项）15.68万元,主要是住房公积金等支出，完成年初预算的133.98%，决算数与年初预算数存在差异的主要原因是调整基数。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45.78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45.78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比上年减少1.22万元，降低54.22%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压缩支出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232.05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199.53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32.52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32.52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比上年减少4.35万元，降低11.80%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，其他用车主要是其他车型</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组织对1个单位开展整体绩效自评，涉及资金175.33万元，自评平均分100分。《部门（单位）整体绩效自评表》见附件。盘锦市大洼区卫生健康局2023年部门整体绩效目标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3,114.72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49.37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3,049.68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3,114.72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3,114.72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0.17</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3,114.90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3,114.90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3,114.72</w:t>
            </w:r>
          </w:p>
        </w:tc>
        <w:tc>
          <w:tcPr>
            <w:tcW w:w="1160" w:type="dxa"/>
            <w:tcBorders/>
            <w:vAlign w:val="center"/>
          </w:tcPr>
          <w:p>
            <w:pPr>
              <w:jc w:val="right"/>
            </w:pPr>
            <w:r>
              <w:rPr>
                <w:rFonts w:ascii="宋体" w:eastAsia="宋体" w:hAnsi="宋体" w:cs="宋体"/>
                <w:b/>
                <w:i w:val="0"/>
                <w:color w:val="000000"/>
                <w:sz w:val="14"/>
              </w:rPr>
              <w:t xml:space="preserve">3,114.72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49.36</w:t>
            </w:r>
          </w:p>
        </w:tc>
        <w:tc>
          <w:tcPr>
            <w:tcW w:w="1160" w:type="dxa"/>
            <w:tcBorders/>
            <w:vAlign w:val="center"/>
          </w:tcPr>
          <w:p>
            <w:pPr>
              <w:jc w:val="right"/>
            </w:pPr>
            <w:r>
              <w:rPr>
                <w:rFonts w:ascii="宋体" w:eastAsia="宋体" w:hAnsi="宋体" w:cs="宋体"/>
                <w:b w:val="0"/>
                <w:i w:val="0"/>
                <w:color w:val="000000"/>
                <w:sz w:val="14"/>
              </w:rPr>
              <w:t xml:space="preserve">49.36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49.00</w:t>
            </w:r>
          </w:p>
        </w:tc>
        <w:tc>
          <w:tcPr>
            <w:tcW w:w="1160" w:type="dxa"/>
            <w:tcBorders/>
            <w:vAlign w:val="center"/>
          </w:tcPr>
          <w:p>
            <w:pPr>
              <w:jc w:val="right"/>
            </w:pPr>
            <w:r>
              <w:rPr>
                <w:rFonts w:ascii="宋体" w:eastAsia="宋体" w:hAnsi="宋体" w:cs="宋体"/>
                <w:b w:val="0"/>
                <w:i w:val="0"/>
                <w:color w:val="000000"/>
                <w:sz w:val="14"/>
              </w:rPr>
              <w:t xml:space="preserve">49.00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22.24</w:t>
            </w:r>
          </w:p>
        </w:tc>
        <w:tc>
          <w:tcPr>
            <w:tcW w:w="1160" w:type="dxa"/>
            <w:tcBorders/>
            <w:vAlign w:val="center"/>
          </w:tcPr>
          <w:p>
            <w:pPr>
              <w:jc w:val="right"/>
            </w:pPr>
            <w:r>
              <w:rPr>
                <w:rFonts w:ascii="宋体" w:eastAsia="宋体" w:hAnsi="宋体" w:cs="宋体"/>
                <w:b w:val="0"/>
                <w:i w:val="0"/>
                <w:color w:val="000000"/>
                <w:sz w:val="14"/>
              </w:rPr>
              <w:t xml:space="preserve">22.24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3,049.66</w:t>
            </w:r>
          </w:p>
        </w:tc>
        <w:tc>
          <w:tcPr>
            <w:tcW w:w="1160" w:type="dxa"/>
            <w:tcBorders/>
            <w:vAlign w:val="center"/>
          </w:tcPr>
          <w:p>
            <w:pPr>
              <w:jc w:val="right"/>
            </w:pPr>
            <w:r>
              <w:rPr>
                <w:rFonts w:ascii="宋体" w:eastAsia="宋体" w:hAnsi="宋体" w:cs="宋体"/>
                <w:b w:val="0"/>
                <w:i w:val="0"/>
                <w:color w:val="000000"/>
                <w:sz w:val="14"/>
              </w:rPr>
              <w:t xml:space="preserve">3,049.66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卫生健康管理事务</w:t>
            </w:r>
          </w:p>
        </w:tc>
        <w:tc>
          <w:tcPr>
            <w:tcW w:w="1160" w:type="dxa"/>
            <w:tcBorders/>
            <w:vAlign w:val="center"/>
          </w:tcPr>
          <w:p>
            <w:pPr>
              <w:jc w:val="right"/>
            </w:pPr>
            <w:r>
              <w:rPr>
                <w:rFonts w:ascii="宋体" w:eastAsia="宋体" w:hAnsi="宋体" w:cs="宋体"/>
                <w:b w:val="0"/>
                <w:i w:val="0"/>
                <w:color w:val="000000"/>
                <w:sz w:val="14"/>
              </w:rPr>
              <w:t xml:space="preserve">196.74</w:t>
            </w:r>
          </w:p>
        </w:tc>
        <w:tc>
          <w:tcPr>
            <w:tcW w:w="1160" w:type="dxa"/>
            <w:tcBorders/>
            <w:vAlign w:val="center"/>
          </w:tcPr>
          <w:p>
            <w:pPr>
              <w:jc w:val="right"/>
            </w:pPr>
            <w:r>
              <w:rPr>
                <w:rFonts w:ascii="宋体" w:eastAsia="宋体" w:hAnsi="宋体" w:cs="宋体"/>
                <w:b w:val="0"/>
                <w:i w:val="0"/>
                <w:color w:val="000000"/>
                <w:sz w:val="14"/>
              </w:rPr>
              <w:t xml:space="preserve">196.74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159.54</w:t>
            </w:r>
          </w:p>
        </w:tc>
        <w:tc>
          <w:tcPr>
            <w:tcW w:w="1160" w:type="dxa"/>
            <w:tcBorders/>
            <w:vAlign w:val="center"/>
          </w:tcPr>
          <w:p>
            <w:pPr>
              <w:jc w:val="right"/>
            </w:pPr>
            <w:r>
              <w:rPr>
                <w:rFonts w:ascii="宋体" w:eastAsia="宋体" w:hAnsi="宋体" w:cs="宋体"/>
                <w:b w:val="0"/>
                <w:i w:val="0"/>
                <w:color w:val="000000"/>
                <w:sz w:val="14"/>
              </w:rPr>
              <w:t xml:space="preserve">159.54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37.20</w:t>
            </w:r>
          </w:p>
        </w:tc>
        <w:tc>
          <w:tcPr>
            <w:tcW w:w="1160" w:type="dxa"/>
            <w:tcBorders/>
            <w:vAlign w:val="center"/>
          </w:tcPr>
          <w:p>
            <w:pPr>
              <w:jc w:val="right"/>
            </w:pPr>
            <w:r>
              <w:rPr>
                <w:rFonts w:ascii="宋体" w:eastAsia="宋体" w:hAnsi="宋体" w:cs="宋体"/>
                <w:b w:val="0"/>
                <w:i w:val="0"/>
                <w:color w:val="000000"/>
                <w:sz w:val="14"/>
              </w:rPr>
              <w:t xml:space="preserve">37.20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121.65</w:t>
            </w:r>
          </w:p>
        </w:tc>
        <w:tc>
          <w:tcPr>
            <w:tcW w:w="1160" w:type="dxa"/>
            <w:tcBorders/>
            <w:vAlign w:val="center"/>
          </w:tcPr>
          <w:p>
            <w:pPr>
              <w:jc w:val="right"/>
            </w:pPr>
            <w:r>
              <w:rPr>
                <w:rFonts w:ascii="宋体" w:eastAsia="宋体" w:hAnsi="宋体" w:cs="宋体"/>
                <w:b w:val="0"/>
                <w:i w:val="0"/>
                <w:color w:val="000000"/>
                <w:sz w:val="14"/>
              </w:rPr>
              <w:t xml:space="preserve">121.65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其他基层医疗卫生机构支出</w:t>
            </w:r>
          </w:p>
        </w:tc>
        <w:tc>
          <w:tcPr>
            <w:tcW w:w="1160" w:type="dxa"/>
            <w:tcBorders/>
            <w:vAlign w:val="center"/>
          </w:tcPr>
          <w:p>
            <w:pPr>
              <w:jc w:val="right"/>
            </w:pPr>
            <w:r>
              <w:rPr>
                <w:rFonts w:ascii="宋体" w:eastAsia="宋体" w:hAnsi="宋体" w:cs="宋体"/>
                <w:b w:val="0"/>
                <w:i w:val="0"/>
                <w:color w:val="000000"/>
                <w:sz w:val="14"/>
              </w:rPr>
              <w:t xml:space="preserve">121.65</w:t>
            </w:r>
          </w:p>
        </w:tc>
        <w:tc>
          <w:tcPr>
            <w:tcW w:w="1160" w:type="dxa"/>
            <w:tcBorders/>
            <w:vAlign w:val="center"/>
          </w:tcPr>
          <w:p>
            <w:pPr>
              <w:jc w:val="right"/>
            </w:pPr>
            <w:r>
              <w:rPr>
                <w:rFonts w:ascii="宋体" w:eastAsia="宋体" w:hAnsi="宋体" w:cs="宋体"/>
                <w:b w:val="0"/>
                <w:i w:val="0"/>
                <w:color w:val="000000"/>
                <w:sz w:val="14"/>
              </w:rPr>
              <w:t xml:space="preserve">121.65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1,043.45</w:t>
            </w:r>
          </w:p>
        </w:tc>
        <w:tc>
          <w:tcPr>
            <w:tcW w:w="1160" w:type="dxa"/>
            <w:tcBorders/>
            <w:vAlign w:val="center"/>
          </w:tcPr>
          <w:p>
            <w:pPr>
              <w:jc w:val="right"/>
            </w:pPr>
            <w:r>
              <w:rPr>
                <w:rFonts w:ascii="宋体" w:eastAsia="宋体" w:hAnsi="宋体" w:cs="宋体"/>
                <w:b w:val="0"/>
                <w:i w:val="0"/>
                <w:color w:val="000000"/>
                <w:sz w:val="14"/>
              </w:rPr>
              <w:t xml:space="preserve">1,043.45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722.03</w:t>
            </w:r>
          </w:p>
        </w:tc>
        <w:tc>
          <w:tcPr>
            <w:tcW w:w="1160" w:type="dxa"/>
            <w:tcBorders/>
            <w:vAlign w:val="center"/>
          </w:tcPr>
          <w:p>
            <w:pPr>
              <w:jc w:val="right"/>
            </w:pPr>
            <w:r>
              <w:rPr>
                <w:rFonts w:ascii="宋体" w:eastAsia="宋体" w:hAnsi="宋体" w:cs="宋体"/>
                <w:b w:val="0"/>
                <w:i w:val="0"/>
                <w:color w:val="000000"/>
                <w:sz w:val="14"/>
              </w:rPr>
              <w:t xml:space="preserve">722.03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304.12</w:t>
            </w:r>
          </w:p>
        </w:tc>
        <w:tc>
          <w:tcPr>
            <w:tcW w:w="1160" w:type="dxa"/>
            <w:tcBorders/>
            <w:vAlign w:val="center"/>
          </w:tcPr>
          <w:p>
            <w:pPr>
              <w:jc w:val="right"/>
            </w:pPr>
            <w:r>
              <w:rPr>
                <w:rFonts w:ascii="宋体" w:eastAsia="宋体" w:hAnsi="宋体" w:cs="宋体"/>
                <w:b w:val="0"/>
                <w:i w:val="0"/>
                <w:color w:val="000000"/>
                <w:sz w:val="14"/>
              </w:rPr>
              <w:t xml:space="preserve">304.12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突发公共卫生事件应急处理</w:t>
            </w:r>
          </w:p>
        </w:tc>
        <w:tc>
          <w:tcPr>
            <w:tcW w:w="1160" w:type="dxa"/>
            <w:tcBorders/>
            <w:vAlign w:val="center"/>
          </w:tcPr>
          <w:p>
            <w:pPr>
              <w:jc w:val="right"/>
            </w:pPr>
            <w:r>
              <w:rPr>
                <w:rFonts w:ascii="宋体" w:eastAsia="宋体" w:hAnsi="宋体" w:cs="宋体"/>
                <w:b w:val="0"/>
                <w:i w:val="0"/>
                <w:color w:val="000000"/>
                <w:sz w:val="14"/>
              </w:rPr>
              <w:t xml:space="preserve">17.30</w:t>
            </w:r>
          </w:p>
        </w:tc>
        <w:tc>
          <w:tcPr>
            <w:tcW w:w="1160" w:type="dxa"/>
            <w:tcBorders/>
            <w:vAlign w:val="center"/>
          </w:tcPr>
          <w:p>
            <w:pPr>
              <w:jc w:val="right"/>
            </w:pPr>
            <w:r>
              <w:rPr>
                <w:rFonts w:ascii="宋体" w:eastAsia="宋体" w:hAnsi="宋体" w:cs="宋体"/>
                <w:b w:val="0"/>
                <w:i w:val="0"/>
                <w:color w:val="000000"/>
                <w:sz w:val="14"/>
              </w:rPr>
              <w:t xml:space="preserve">17.30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中医药</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中医（民族医）药专项</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1,640.35</w:t>
            </w:r>
          </w:p>
        </w:tc>
        <w:tc>
          <w:tcPr>
            <w:tcW w:w="1160" w:type="dxa"/>
            <w:tcBorders/>
            <w:vAlign w:val="center"/>
          </w:tcPr>
          <w:p>
            <w:pPr>
              <w:jc w:val="right"/>
            </w:pPr>
            <w:r>
              <w:rPr>
                <w:rFonts w:ascii="宋体" w:eastAsia="宋体" w:hAnsi="宋体" w:cs="宋体"/>
                <w:b w:val="0"/>
                <w:i w:val="0"/>
                <w:color w:val="000000"/>
                <w:sz w:val="14"/>
              </w:rPr>
              <w:t xml:space="preserve">1,640.35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1,640.35</w:t>
            </w:r>
          </w:p>
        </w:tc>
        <w:tc>
          <w:tcPr>
            <w:tcW w:w="1160" w:type="dxa"/>
            <w:tcBorders/>
            <w:vAlign w:val="center"/>
          </w:tcPr>
          <w:p>
            <w:pPr>
              <w:jc w:val="right"/>
            </w:pPr>
            <w:r>
              <w:rPr>
                <w:rFonts w:ascii="宋体" w:eastAsia="宋体" w:hAnsi="宋体" w:cs="宋体"/>
                <w:b w:val="0"/>
                <w:i w:val="0"/>
                <w:color w:val="000000"/>
                <w:sz w:val="14"/>
              </w:rPr>
              <w:t xml:space="preserve">1,640.35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7.47</w:t>
            </w:r>
          </w:p>
        </w:tc>
        <w:tc>
          <w:tcPr>
            <w:tcW w:w="1160" w:type="dxa"/>
            <w:tcBorders/>
            <w:vAlign w:val="center"/>
          </w:tcPr>
          <w:p>
            <w:pPr>
              <w:jc w:val="right"/>
            </w:pPr>
            <w:r>
              <w:rPr>
                <w:rFonts w:ascii="宋体" w:eastAsia="宋体" w:hAnsi="宋体" w:cs="宋体"/>
                <w:b w:val="0"/>
                <w:i w:val="0"/>
                <w:color w:val="000000"/>
                <w:sz w:val="14"/>
              </w:rPr>
              <w:t xml:space="preserve">7.47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7.19</w:t>
            </w:r>
          </w:p>
        </w:tc>
        <w:tc>
          <w:tcPr>
            <w:tcW w:w="1160" w:type="dxa"/>
            <w:tcBorders/>
            <w:vAlign w:val="center"/>
          </w:tcPr>
          <w:p>
            <w:pPr>
              <w:jc w:val="right"/>
            </w:pPr>
            <w:r>
              <w:rPr>
                <w:rFonts w:ascii="宋体" w:eastAsia="宋体" w:hAnsi="宋体" w:cs="宋体"/>
                <w:b w:val="0"/>
                <w:i w:val="0"/>
                <w:color w:val="000000"/>
                <w:sz w:val="14"/>
              </w:rPr>
              <w:t xml:space="preserve">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15.68</w:t>
            </w:r>
          </w:p>
        </w:tc>
        <w:tc>
          <w:tcPr>
            <w:tcW w:w="1160" w:type="dxa"/>
            <w:tcBorders/>
            <w:vAlign w:val="center"/>
          </w:tcPr>
          <w:p>
            <w:pPr>
              <w:jc w:val="right"/>
            </w:pPr>
            <w:r>
              <w:rPr>
                <w:rFonts w:ascii="宋体" w:eastAsia="宋体" w:hAnsi="宋体" w:cs="宋体"/>
                <w:b w:val="0"/>
                <w:i w:val="0"/>
                <w:color w:val="000000"/>
                <w:sz w:val="14"/>
              </w:rPr>
              <w:t xml:space="preserve">15.68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15.68</w:t>
            </w:r>
          </w:p>
        </w:tc>
        <w:tc>
          <w:tcPr>
            <w:tcW w:w="1160" w:type="dxa"/>
            <w:tcBorders/>
            <w:vAlign w:val="center"/>
          </w:tcPr>
          <w:p>
            <w:pPr>
              <w:jc w:val="right"/>
            </w:pPr>
            <w:r>
              <w:rPr>
                <w:rFonts w:ascii="宋体" w:eastAsia="宋体" w:hAnsi="宋体" w:cs="宋体"/>
                <w:b w:val="0"/>
                <w:i w:val="0"/>
                <w:color w:val="000000"/>
                <w:sz w:val="14"/>
              </w:rPr>
              <w:t xml:space="preserve">15.68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15.68</w:t>
            </w:r>
          </w:p>
        </w:tc>
        <w:tc>
          <w:tcPr>
            <w:tcW w:w="1160" w:type="dxa"/>
            <w:tcBorders/>
            <w:vAlign w:val="center"/>
          </w:tcPr>
          <w:p>
            <w:pPr>
              <w:jc w:val="right"/>
            </w:pPr>
            <w:r>
              <w:rPr>
                <w:rFonts w:ascii="宋体" w:eastAsia="宋体" w:hAnsi="宋体" w:cs="宋体"/>
                <w:b w:val="0"/>
                <w:i w:val="0"/>
                <w:color w:val="000000"/>
                <w:sz w:val="14"/>
              </w:rPr>
              <w:t xml:space="preserve">15.68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3,114.72</w:t>
            </w:r>
          </w:p>
        </w:tc>
        <w:tc>
          <w:tcPr>
            <w:tcW w:w="1120" w:type="dxa"/>
            <w:tcBorders/>
            <w:vAlign w:val="center"/>
          </w:tcPr>
          <w:p>
            <w:pPr>
              <w:jc w:val="right"/>
            </w:pPr>
            <w:r>
              <w:rPr>
                <w:rFonts w:ascii="宋体" w:eastAsia="宋体" w:hAnsi="宋体" w:cs="宋体"/>
                <w:b/>
                <w:i w:val="0"/>
                <w:color w:val="000000"/>
                <w:sz w:val="16"/>
              </w:rPr>
              <w:t xml:space="preserve">232.06</w:t>
            </w:r>
          </w:p>
        </w:tc>
        <w:tc>
          <w:tcPr>
            <w:tcW w:w="1120" w:type="dxa"/>
            <w:tcBorders/>
            <w:vAlign w:val="center"/>
          </w:tcPr>
          <w:p>
            <w:pPr>
              <w:jc w:val="right"/>
            </w:pPr>
            <w:r>
              <w:rPr>
                <w:rFonts w:ascii="宋体" w:eastAsia="宋体" w:hAnsi="宋体" w:cs="宋体"/>
                <w:b/>
                <w:i w:val="0"/>
                <w:color w:val="000000"/>
                <w:sz w:val="16"/>
              </w:rPr>
              <w:t xml:space="preserve">2,882.67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49.36</w:t>
            </w:r>
          </w:p>
        </w:tc>
        <w:tc>
          <w:tcPr>
            <w:tcW w:w="1120" w:type="dxa"/>
            <w:tcBorders/>
            <w:vAlign w:val="center"/>
          </w:tcPr>
          <w:p>
            <w:pPr>
              <w:jc w:val="right"/>
            </w:pPr>
            <w:r>
              <w:rPr>
                <w:rFonts w:ascii="宋体" w:eastAsia="宋体" w:hAnsi="宋体" w:cs="宋体"/>
                <w:b w:val="0"/>
                <w:i w:val="0"/>
                <w:color w:val="000000"/>
                <w:sz w:val="16"/>
              </w:rPr>
              <w:t xml:space="preserve">49.36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49.00</w:t>
            </w:r>
          </w:p>
        </w:tc>
        <w:tc>
          <w:tcPr>
            <w:tcW w:w="1120" w:type="dxa"/>
            <w:tcBorders/>
            <w:vAlign w:val="center"/>
          </w:tcPr>
          <w:p>
            <w:pPr>
              <w:jc w:val="right"/>
            </w:pPr>
            <w:r>
              <w:rPr>
                <w:rFonts w:ascii="宋体" w:eastAsia="宋体" w:hAnsi="宋体" w:cs="宋体"/>
                <w:b w:val="0"/>
                <w:i w:val="0"/>
                <w:color w:val="000000"/>
                <w:sz w:val="16"/>
              </w:rPr>
              <w:t xml:space="preserve">49.00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22.24</w:t>
            </w:r>
          </w:p>
        </w:tc>
        <w:tc>
          <w:tcPr>
            <w:tcW w:w="1120" w:type="dxa"/>
            <w:tcBorders/>
            <w:vAlign w:val="center"/>
          </w:tcPr>
          <w:p>
            <w:pPr>
              <w:jc w:val="right"/>
            </w:pPr>
            <w:r>
              <w:rPr>
                <w:rFonts w:ascii="宋体" w:eastAsia="宋体" w:hAnsi="宋体" w:cs="宋体"/>
                <w:b w:val="0"/>
                <w:i w:val="0"/>
                <w:color w:val="000000"/>
                <w:sz w:val="16"/>
              </w:rPr>
              <w:t xml:space="preserve">22.24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3,049.66</w:t>
            </w:r>
          </w:p>
        </w:tc>
        <w:tc>
          <w:tcPr>
            <w:tcW w:w="1120" w:type="dxa"/>
            <w:tcBorders/>
            <w:vAlign w:val="center"/>
          </w:tcPr>
          <w:p>
            <w:pPr>
              <w:jc w:val="right"/>
            </w:pPr>
            <w:r>
              <w:rPr>
                <w:rFonts w:ascii="宋体" w:eastAsia="宋体" w:hAnsi="宋体" w:cs="宋体"/>
                <w:b w:val="0"/>
                <w:i w:val="0"/>
                <w:color w:val="000000"/>
                <w:sz w:val="16"/>
              </w:rPr>
              <w:t xml:space="preserve">167.01</w:t>
            </w:r>
          </w:p>
        </w:tc>
        <w:tc>
          <w:tcPr>
            <w:tcW w:w="1120" w:type="dxa"/>
            <w:tcBorders/>
            <w:vAlign w:val="center"/>
          </w:tcPr>
          <w:p>
            <w:pPr>
              <w:jc w:val="right"/>
            </w:pPr>
            <w:r>
              <w:rPr>
                <w:rFonts w:ascii="宋体" w:eastAsia="宋体" w:hAnsi="宋体" w:cs="宋体"/>
                <w:b w:val="0"/>
                <w:i w:val="0"/>
                <w:color w:val="000000"/>
                <w:sz w:val="16"/>
              </w:rPr>
              <w:t xml:space="preserve">2,882.65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卫生健康管理事务</w:t>
            </w:r>
          </w:p>
        </w:tc>
        <w:tc>
          <w:tcPr>
            <w:tcW w:w="1120" w:type="dxa"/>
            <w:tcBorders/>
            <w:vAlign w:val="center"/>
          </w:tcPr>
          <w:p>
            <w:pPr>
              <w:jc w:val="right"/>
            </w:pPr>
            <w:r>
              <w:rPr>
                <w:rFonts w:ascii="宋体" w:eastAsia="宋体" w:hAnsi="宋体" w:cs="宋体"/>
                <w:b w:val="0"/>
                <w:i w:val="0"/>
                <w:color w:val="000000"/>
                <w:sz w:val="16"/>
              </w:rPr>
              <w:t xml:space="preserve">196.74</w:t>
            </w:r>
          </w:p>
        </w:tc>
        <w:tc>
          <w:tcPr>
            <w:tcW w:w="1120" w:type="dxa"/>
            <w:tcBorders/>
            <w:vAlign w:val="center"/>
          </w:tcPr>
          <w:p>
            <w:pPr>
              <w:jc w:val="right"/>
            </w:pPr>
            <w:r>
              <w:rPr>
                <w:rFonts w:ascii="宋体" w:eastAsia="宋体" w:hAnsi="宋体" w:cs="宋体"/>
                <w:b w:val="0"/>
                <w:i w:val="0"/>
                <w:color w:val="000000"/>
                <w:sz w:val="16"/>
              </w:rPr>
              <w:t xml:space="preserve">159.54</w:t>
            </w:r>
          </w:p>
        </w:tc>
        <w:tc>
          <w:tcPr>
            <w:tcW w:w="1120" w:type="dxa"/>
            <w:tcBorders/>
            <w:vAlign w:val="center"/>
          </w:tcPr>
          <w:p>
            <w:pPr>
              <w:jc w:val="right"/>
            </w:pPr>
            <w:r>
              <w:rPr>
                <w:rFonts w:ascii="宋体" w:eastAsia="宋体" w:hAnsi="宋体" w:cs="宋体"/>
                <w:b w:val="0"/>
                <w:i w:val="0"/>
                <w:color w:val="000000"/>
                <w:sz w:val="16"/>
              </w:rPr>
              <w:t xml:space="preserve">37.20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159.54</w:t>
            </w:r>
          </w:p>
        </w:tc>
        <w:tc>
          <w:tcPr>
            <w:tcW w:w="1120" w:type="dxa"/>
            <w:tcBorders/>
            <w:vAlign w:val="center"/>
          </w:tcPr>
          <w:p>
            <w:pPr>
              <w:jc w:val="right"/>
            </w:pPr>
            <w:r>
              <w:rPr>
                <w:rFonts w:ascii="宋体" w:eastAsia="宋体" w:hAnsi="宋体" w:cs="宋体"/>
                <w:b w:val="0"/>
                <w:i w:val="0"/>
                <w:color w:val="000000"/>
                <w:sz w:val="16"/>
              </w:rPr>
              <w:t xml:space="preserve">159.54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37.20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121.65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121.65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其他基层医疗卫生机构支出</w:t>
            </w:r>
          </w:p>
        </w:tc>
        <w:tc>
          <w:tcPr>
            <w:tcW w:w="1120" w:type="dxa"/>
            <w:tcBorders/>
            <w:vAlign w:val="center"/>
          </w:tcPr>
          <w:p>
            <w:pPr>
              <w:jc w:val="right"/>
            </w:pPr>
            <w:r>
              <w:rPr>
                <w:rFonts w:ascii="宋体" w:eastAsia="宋体" w:hAnsi="宋体" w:cs="宋体"/>
                <w:b w:val="0"/>
                <w:i w:val="0"/>
                <w:color w:val="000000"/>
                <w:sz w:val="16"/>
              </w:rPr>
              <w:t xml:space="preserve">121.65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121.65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1,043.45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1,043.45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基本公共卫生服务</w:t>
            </w:r>
          </w:p>
        </w:tc>
        <w:tc>
          <w:tcPr>
            <w:tcW w:w="1120" w:type="dxa"/>
            <w:tcBorders/>
            <w:vAlign w:val="center"/>
          </w:tcPr>
          <w:p>
            <w:pPr>
              <w:jc w:val="right"/>
            </w:pPr>
            <w:r>
              <w:rPr>
                <w:rFonts w:ascii="宋体" w:eastAsia="宋体" w:hAnsi="宋体" w:cs="宋体"/>
                <w:b w:val="0"/>
                <w:i w:val="0"/>
                <w:color w:val="000000"/>
                <w:sz w:val="16"/>
              </w:rPr>
              <w:t xml:space="preserve">722.03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722.03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304.12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304.12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突发公共卫生事件应急处理</w:t>
            </w:r>
          </w:p>
        </w:tc>
        <w:tc>
          <w:tcPr>
            <w:tcW w:w="1120" w:type="dxa"/>
            <w:tcBorders/>
            <w:vAlign w:val="center"/>
          </w:tcPr>
          <w:p>
            <w:pPr>
              <w:jc w:val="right"/>
            </w:pPr>
            <w:r>
              <w:rPr>
                <w:rFonts w:ascii="宋体" w:eastAsia="宋体" w:hAnsi="宋体" w:cs="宋体"/>
                <w:b w:val="0"/>
                <w:i w:val="0"/>
                <w:color w:val="000000"/>
                <w:sz w:val="16"/>
              </w:rPr>
              <w:t xml:space="preserve">17.30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中医药</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中医（民族医）药专项</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1,640.35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1,640.35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1,640.35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1,640.35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7.47</w:t>
            </w:r>
          </w:p>
        </w:tc>
        <w:tc>
          <w:tcPr>
            <w:tcW w:w="1120" w:type="dxa"/>
            <w:tcBorders/>
            <w:vAlign w:val="center"/>
          </w:tcPr>
          <w:p>
            <w:pPr>
              <w:jc w:val="right"/>
            </w:pPr>
            <w:r>
              <w:rPr>
                <w:rFonts w:ascii="宋体" w:eastAsia="宋体" w:hAnsi="宋体" w:cs="宋体"/>
                <w:b w:val="0"/>
                <w:i w:val="0"/>
                <w:color w:val="000000"/>
                <w:sz w:val="16"/>
              </w:rPr>
              <w:t xml:space="preserve">7.47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7.19</w:t>
            </w:r>
          </w:p>
        </w:tc>
        <w:tc>
          <w:tcPr>
            <w:tcW w:w="1120" w:type="dxa"/>
            <w:tcBorders/>
            <w:vAlign w:val="center"/>
          </w:tcPr>
          <w:p>
            <w:pPr>
              <w:jc w:val="right"/>
            </w:pPr>
            <w:r>
              <w:rPr>
                <w:rFonts w:ascii="宋体" w:eastAsia="宋体" w:hAnsi="宋体" w:cs="宋体"/>
                <w:b w:val="0"/>
                <w:i w:val="0"/>
                <w:color w:val="000000"/>
                <w:sz w:val="16"/>
              </w:rPr>
              <w:t xml:space="preserve">7.19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15.68</w:t>
            </w:r>
          </w:p>
        </w:tc>
        <w:tc>
          <w:tcPr>
            <w:tcW w:w="1120" w:type="dxa"/>
            <w:tcBorders/>
            <w:vAlign w:val="center"/>
          </w:tcPr>
          <w:p>
            <w:pPr>
              <w:jc w:val="right"/>
            </w:pPr>
            <w:r>
              <w:rPr>
                <w:rFonts w:ascii="宋体" w:eastAsia="宋体" w:hAnsi="宋体" w:cs="宋体"/>
                <w:b w:val="0"/>
                <w:i w:val="0"/>
                <w:color w:val="000000"/>
                <w:sz w:val="16"/>
              </w:rPr>
              <w:t xml:space="preserve">15.68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15.68</w:t>
            </w:r>
          </w:p>
        </w:tc>
        <w:tc>
          <w:tcPr>
            <w:tcW w:w="1120" w:type="dxa"/>
            <w:tcBorders/>
            <w:vAlign w:val="center"/>
          </w:tcPr>
          <w:p>
            <w:pPr>
              <w:jc w:val="right"/>
            </w:pPr>
            <w:r>
              <w:rPr>
                <w:rFonts w:ascii="宋体" w:eastAsia="宋体" w:hAnsi="宋体" w:cs="宋体"/>
                <w:b w:val="0"/>
                <w:i w:val="0"/>
                <w:color w:val="000000"/>
                <w:sz w:val="16"/>
              </w:rPr>
              <w:t xml:space="preserve">15.68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15.68</w:t>
            </w:r>
          </w:p>
        </w:tc>
        <w:tc>
          <w:tcPr>
            <w:tcW w:w="1120" w:type="dxa"/>
            <w:tcBorders/>
            <w:vAlign w:val="center"/>
          </w:tcPr>
          <w:p>
            <w:pPr>
              <w:jc w:val="right"/>
            </w:pPr>
            <w:r>
              <w:rPr>
                <w:rFonts w:ascii="宋体" w:eastAsia="宋体" w:hAnsi="宋体" w:cs="宋体"/>
                <w:b w:val="0"/>
                <w:i w:val="0"/>
                <w:color w:val="000000"/>
                <w:sz w:val="16"/>
              </w:rPr>
              <w:t xml:space="preserve">15.68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3,114.72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49.37</w:t>
            </w:r>
          </w:p>
        </w:tc>
        <w:tc>
          <w:tcPr>
            <w:tcW w:w="1100" w:type="dxa"/>
            <w:tcBorders/>
            <w:vAlign w:val="center"/>
          </w:tcPr>
          <w:p>
            <w:pPr>
              <w:jc w:val="right"/>
            </w:pPr>
            <w:r>
              <w:rPr>
                <w:rFonts w:ascii="宋体" w:eastAsia="宋体" w:hAnsi="宋体" w:cs="宋体"/>
                <w:b w:val="0"/>
                <w:i w:val="0"/>
                <w:color w:val="000000"/>
                <w:sz w:val="14"/>
              </w:rPr>
              <w:t xml:space="preserve">49.37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3,049.68</w:t>
            </w:r>
          </w:p>
        </w:tc>
        <w:tc>
          <w:tcPr>
            <w:tcW w:w="1100" w:type="dxa"/>
            <w:tcBorders/>
            <w:vAlign w:val="center"/>
          </w:tcPr>
          <w:p>
            <w:pPr>
              <w:jc w:val="right"/>
            </w:pPr>
            <w:r>
              <w:rPr>
                <w:rFonts w:ascii="宋体" w:eastAsia="宋体" w:hAnsi="宋体" w:cs="宋体"/>
                <w:b w:val="0"/>
                <w:i w:val="0"/>
                <w:color w:val="000000"/>
                <w:sz w:val="14"/>
              </w:rPr>
              <w:t xml:space="preserve">3,049.68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15.68</w:t>
            </w:r>
          </w:p>
        </w:tc>
        <w:tc>
          <w:tcPr>
            <w:tcW w:w="1100" w:type="dxa"/>
            <w:tcBorders/>
            <w:vAlign w:val="center"/>
          </w:tcPr>
          <w:p>
            <w:pPr>
              <w:jc w:val="right"/>
            </w:pPr>
            <w:r>
              <w:rPr>
                <w:rFonts w:ascii="宋体" w:eastAsia="宋体" w:hAnsi="宋体" w:cs="宋体"/>
                <w:b w:val="0"/>
                <w:i w:val="0"/>
                <w:color w:val="000000"/>
                <w:sz w:val="14"/>
              </w:rPr>
              <w:t xml:space="preserve">15.68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3,114.72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3,114.72</w:t>
            </w:r>
          </w:p>
        </w:tc>
        <w:tc>
          <w:tcPr>
            <w:tcW w:w="1100" w:type="dxa"/>
            <w:tcBorders/>
            <w:vAlign w:val="center"/>
          </w:tcPr>
          <w:p>
            <w:pPr>
              <w:jc w:val="right"/>
            </w:pPr>
            <w:r>
              <w:rPr>
                <w:rFonts w:ascii="宋体" w:eastAsia="宋体" w:hAnsi="宋体" w:cs="宋体"/>
                <w:b w:val="0"/>
                <w:i w:val="0"/>
                <w:color w:val="000000"/>
                <w:sz w:val="14"/>
              </w:rPr>
              <w:t xml:space="preserve">3,114.72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3,114.72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3,114.72</w:t>
            </w:r>
          </w:p>
        </w:tc>
        <w:tc>
          <w:tcPr>
            <w:tcW w:w="1100" w:type="dxa"/>
            <w:tcBorders/>
            <w:vAlign w:val="center"/>
          </w:tcPr>
          <w:p>
            <w:pPr>
              <w:jc w:val="right"/>
            </w:pPr>
            <w:r>
              <w:rPr>
                <w:rFonts w:ascii="宋体" w:eastAsia="宋体" w:hAnsi="宋体" w:cs="宋体"/>
                <w:b w:val="0"/>
                <w:i w:val="0"/>
                <w:color w:val="000000"/>
                <w:sz w:val="14"/>
              </w:rPr>
              <w:t xml:space="preserve">3,114.72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3,114.72</w:t>
            </w:r>
          </w:p>
        </w:tc>
        <w:tc>
          <w:tcPr>
            <w:tcW w:w="1980" w:type="dxa"/>
            <w:tcBorders/>
            <w:vAlign w:val="center"/>
          </w:tcPr>
          <w:p>
            <w:pPr>
              <w:jc w:val="right"/>
            </w:pPr>
            <w:r>
              <w:rPr>
                <w:rFonts w:ascii="宋体" w:eastAsia="宋体" w:hAnsi="宋体" w:cs="宋体"/>
                <w:b/>
                <w:i w:val="0"/>
                <w:color w:val="000000"/>
                <w:sz w:val="20"/>
              </w:rPr>
              <w:t xml:space="preserve">232.05</w:t>
            </w:r>
          </w:p>
        </w:tc>
        <w:tc>
          <w:tcPr>
            <w:tcW w:w="1952" w:type="dxa"/>
            <w:tcBorders/>
            <w:vAlign w:val="center"/>
          </w:tcPr>
          <w:p>
            <w:pPr>
              <w:jc w:val="right"/>
            </w:pPr>
            <w:r>
              <w:rPr>
                <w:rFonts w:ascii="宋体" w:eastAsia="宋体" w:hAnsi="宋体" w:cs="宋体"/>
                <w:b/>
                <w:i w:val="0"/>
                <w:color w:val="000000"/>
                <w:sz w:val="20"/>
              </w:rPr>
              <w:t xml:space="preserve">2,882.67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49.36</w:t>
            </w:r>
          </w:p>
        </w:tc>
        <w:tc>
          <w:tcPr>
            <w:tcW w:w="1980" w:type="dxa"/>
            <w:tcBorders/>
            <w:vAlign w:val="center"/>
          </w:tcPr>
          <w:p>
            <w:pPr>
              <w:jc w:val="right"/>
            </w:pPr>
            <w:r>
              <w:rPr>
                <w:rFonts w:ascii="宋体" w:eastAsia="宋体" w:hAnsi="宋体" w:cs="宋体"/>
                <w:b w:val="0"/>
                <w:i w:val="0"/>
                <w:color w:val="000000"/>
                <w:sz w:val="20"/>
              </w:rPr>
              <w:t xml:space="preserve">49.36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49.00</w:t>
            </w:r>
          </w:p>
        </w:tc>
        <w:tc>
          <w:tcPr>
            <w:tcW w:w="1980" w:type="dxa"/>
            <w:tcBorders/>
            <w:vAlign w:val="center"/>
          </w:tcPr>
          <w:p>
            <w:pPr>
              <w:jc w:val="right"/>
            </w:pPr>
            <w:r>
              <w:rPr>
                <w:rFonts w:ascii="宋体" w:eastAsia="宋体" w:hAnsi="宋体" w:cs="宋体"/>
                <w:b w:val="0"/>
                <w:i w:val="0"/>
                <w:color w:val="000000"/>
                <w:sz w:val="20"/>
              </w:rPr>
              <w:t xml:space="preserve">49.00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22.24</w:t>
            </w:r>
          </w:p>
        </w:tc>
        <w:tc>
          <w:tcPr>
            <w:tcW w:w="1980" w:type="dxa"/>
            <w:tcBorders/>
            <w:vAlign w:val="center"/>
          </w:tcPr>
          <w:p>
            <w:pPr>
              <w:jc w:val="right"/>
            </w:pPr>
            <w:r>
              <w:rPr>
                <w:rFonts w:ascii="宋体" w:eastAsia="宋体" w:hAnsi="宋体" w:cs="宋体"/>
                <w:b w:val="0"/>
                <w:i w:val="0"/>
                <w:color w:val="000000"/>
                <w:sz w:val="20"/>
              </w:rPr>
              <w:t xml:space="preserve">22.24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16.70</w:t>
            </w:r>
          </w:p>
        </w:tc>
        <w:tc>
          <w:tcPr>
            <w:tcW w:w="1980" w:type="dxa"/>
            <w:tcBorders/>
            <w:vAlign w:val="center"/>
          </w:tcPr>
          <w:p>
            <w:pPr>
              <w:jc w:val="right"/>
            </w:pPr>
            <w:r>
              <w:rPr>
                <w:rFonts w:ascii="宋体" w:eastAsia="宋体" w:hAnsi="宋体" w:cs="宋体"/>
                <w:b w:val="0"/>
                <w:i w:val="0"/>
                <w:color w:val="000000"/>
                <w:sz w:val="20"/>
              </w:rPr>
              <w:t xml:space="preserve">16.70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3,049.66</w:t>
            </w:r>
          </w:p>
        </w:tc>
        <w:tc>
          <w:tcPr>
            <w:tcW w:w="1980" w:type="dxa"/>
            <w:tcBorders/>
            <w:vAlign w:val="center"/>
          </w:tcPr>
          <w:p>
            <w:pPr>
              <w:jc w:val="right"/>
            </w:pPr>
            <w:r>
              <w:rPr>
                <w:rFonts w:ascii="宋体" w:eastAsia="宋体" w:hAnsi="宋体" w:cs="宋体"/>
                <w:b w:val="0"/>
                <w:i w:val="0"/>
                <w:color w:val="000000"/>
                <w:sz w:val="20"/>
              </w:rPr>
              <w:t xml:space="preserve">167.01</w:t>
            </w:r>
          </w:p>
        </w:tc>
        <w:tc>
          <w:tcPr>
            <w:tcW w:w="1952" w:type="dxa"/>
            <w:tcBorders/>
            <w:vAlign w:val="center"/>
          </w:tcPr>
          <w:p>
            <w:pPr>
              <w:jc w:val="right"/>
            </w:pPr>
            <w:r>
              <w:rPr>
                <w:rFonts w:ascii="宋体" w:eastAsia="宋体" w:hAnsi="宋体" w:cs="宋体"/>
                <w:b w:val="0"/>
                <w:i w:val="0"/>
                <w:color w:val="000000"/>
                <w:sz w:val="20"/>
              </w:rPr>
              <w:t xml:space="preserve">2,882.65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卫生健康管理事务</w:t>
            </w:r>
          </w:p>
        </w:tc>
        <w:tc>
          <w:tcPr>
            <w:tcW w:w="1980" w:type="dxa"/>
            <w:tcBorders/>
            <w:vAlign w:val="center"/>
          </w:tcPr>
          <w:p>
            <w:pPr>
              <w:jc w:val="right"/>
            </w:pPr>
            <w:r>
              <w:rPr>
                <w:rFonts w:ascii="宋体" w:eastAsia="宋体" w:hAnsi="宋体" w:cs="宋体"/>
                <w:b w:val="0"/>
                <w:i w:val="0"/>
                <w:color w:val="000000"/>
                <w:sz w:val="20"/>
              </w:rPr>
              <w:t xml:space="preserve">196.74</w:t>
            </w:r>
          </w:p>
        </w:tc>
        <w:tc>
          <w:tcPr>
            <w:tcW w:w="1980" w:type="dxa"/>
            <w:tcBorders/>
            <w:vAlign w:val="center"/>
          </w:tcPr>
          <w:p>
            <w:pPr>
              <w:jc w:val="right"/>
            </w:pPr>
            <w:r>
              <w:rPr>
                <w:rFonts w:ascii="宋体" w:eastAsia="宋体" w:hAnsi="宋体" w:cs="宋体"/>
                <w:b w:val="0"/>
                <w:i w:val="0"/>
                <w:color w:val="000000"/>
                <w:sz w:val="20"/>
              </w:rPr>
              <w:t xml:space="preserve">159.54</w:t>
            </w:r>
          </w:p>
        </w:tc>
        <w:tc>
          <w:tcPr>
            <w:tcW w:w="1952" w:type="dxa"/>
            <w:tcBorders/>
            <w:vAlign w:val="center"/>
          </w:tcPr>
          <w:p>
            <w:pPr>
              <w:jc w:val="right"/>
            </w:pPr>
            <w:r>
              <w:rPr>
                <w:rFonts w:ascii="宋体" w:eastAsia="宋体" w:hAnsi="宋体" w:cs="宋体"/>
                <w:b w:val="0"/>
                <w:i w:val="0"/>
                <w:color w:val="000000"/>
                <w:sz w:val="20"/>
              </w:rPr>
              <w:t xml:space="preserve">37.20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159.54</w:t>
            </w:r>
          </w:p>
        </w:tc>
        <w:tc>
          <w:tcPr>
            <w:tcW w:w="1980" w:type="dxa"/>
            <w:tcBorders/>
            <w:vAlign w:val="center"/>
          </w:tcPr>
          <w:p>
            <w:pPr>
              <w:jc w:val="right"/>
            </w:pPr>
            <w:r>
              <w:rPr>
                <w:rFonts w:ascii="宋体" w:eastAsia="宋体" w:hAnsi="宋体" w:cs="宋体"/>
                <w:b w:val="0"/>
                <w:i w:val="0"/>
                <w:color w:val="000000"/>
                <w:sz w:val="20"/>
              </w:rPr>
              <w:t xml:space="preserve">159.54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37.20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121.65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121.65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其他基层医疗卫生机构支出</w:t>
            </w:r>
          </w:p>
        </w:tc>
        <w:tc>
          <w:tcPr>
            <w:tcW w:w="1980" w:type="dxa"/>
            <w:tcBorders/>
            <w:vAlign w:val="center"/>
          </w:tcPr>
          <w:p>
            <w:pPr>
              <w:jc w:val="right"/>
            </w:pPr>
            <w:r>
              <w:rPr>
                <w:rFonts w:ascii="宋体" w:eastAsia="宋体" w:hAnsi="宋体" w:cs="宋体"/>
                <w:b w:val="0"/>
                <w:i w:val="0"/>
                <w:color w:val="000000"/>
                <w:sz w:val="20"/>
              </w:rPr>
              <w:t xml:space="preserve">121.65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121.65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1,043.45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1,043.45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基本公共卫生服务</w:t>
            </w:r>
          </w:p>
        </w:tc>
        <w:tc>
          <w:tcPr>
            <w:tcW w:w="1980" w:type="dxa"/>
            <w:tcBorders/>
            <w:vAlign w:val="center"/>
          </w:tcPr>
          <w:p>
            <w:pPr>
              <w:jc w:val="right"/>
            </w:pPr>
            <w:r>
              <w:rPr>
                <w:rFonts w:ascii="宋体" w:eastAsia="宋体" w:hAnsi="宋体" w:cs="宋体"/>
                <w:b w:val="0"/>
                <w:i w:val="0"/>
                <w:color w:val="000000"/>
                <w:sz w:val="20"/>
              </w:rPr>
              <w:t xml:space="preserve">722.03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722.03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304.12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304.12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突发公共卫生事件应急处理</w:t>
            </w:r>
          </w:p>
        </w:tc>
        <w:tc>
          <w:tcPr>
            <w:tcW w:w="1980" w:type="dxa"/>
            <w:tcBorders/>
            <w:vAlign w:val="center"/>
          </w:tcPr>
          <w:p>
            <w:pPr>
              <w:jc w:val="right"/>
            </w:pPr>
            <w:r>
              <w:rPr>
                <w:rFonts w:ascii="宋体" w:eastAsia="宋体" w:hAnsi="宋体" w:cs="宋体"/>
                <w:b w:val="0"/>
                <w:i w:val="0"/>
                <w:color w:val="000000"/>
                <w:sz w:val="20"/>
              </w:rPr>
              <w:t xml:space="preserve">17.30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中医药</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中医（民族医）药专项</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1,640.35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1,640.35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1,640.35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1,640.35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7.47</w:t>
            </w:r>
          </w:p>
        </w:tc>
        <w:tc>
          <w:tcPr>
            <w:tcW w:w="1980" w:type="dxa"/>
            <w:tcBorders/>
            <w:vAlign w:val="center"/>
          </w:tcPr>
          <w:p>
            <w:pPr>
              <w:jc w:val="right"/>
            </w:pPr>
            <w:r>
              <w:rPr>
                <w:rFonts w:ascii="宋体" w:eastAsia="宋体" w:hAnsi="宋体" w:cs="宋体"/>
                <w:b w:val="0"/>
                <w:i w:val="0"/>
                <w:color w:val="000000"/>
                <w:sz w:val="20"/>
              </w:rPr>
              <w:t xml:space="preserve">7.47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7.19</w:t>
            </w:r>
          </w:p>
        </w:tc>
        <w:tc>
          <w:tcPr>
            <w:tcW w:w="1980" w:type="dxa"/>
            <w:tcBorders/>
            <w:vAlign w:val="center"/>
          </w:tcPr>
          <w:p>
            <w:pPr>
              <w:jc w:val="right"/>
            </w:pPr>
            <w:r>
              <w:rPr>
                <w:rFonts w:ascii="宋体" w:eastAsia="宋体" w:hAnsi="宋体" w:cs="宋体"/>
                <w:b w:val="0"/>
                <w:i w:val="0"/>
                <w:color w:val="000000"/>
                <w:sz w:val="20"/>
              </w:rPr>
              <w:t xml:space="preserve">7.19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15.68</w:t>
            </w:r>
          </w:p>
        </w:tc>
        <w:tc>
          <w:tcPr>
            <w:tcW w:w="1980" w:type="dxa"/>
            <w:tcBorders/>
            <w:vAlign w:val="center"/>
          </w:tcPr>
          <w:p>
            <w:pPr>
              <w:jc w:val="right"/>
            </w:pPr>
            <w:r>
              <w:rPr>
                <w:rFonts w:ascii="宋体" w:eastAsia="宋体" w:hAnsi="宋体" w:cs="宋体"/>
                <w:b w:val="0"/>
                <w:i w:val="0"/>
                <w:color w:val="000000"/>
                <w:sz w:val="20"/>
              </w:rPr>
              <w:t xml:space="preserve">15.68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15.68</w:t>
            </w:r>
          </w:p>
        </w:tc>
        <w:tc>
          <w:tcPr>
            <w:tcW w:w="1980" w:type="dxa"/>
            <w:tcBorders/>
            <w:vAlign w:val="center"/>
          </w:tcPr>
          <w:p>
            <w:pPr>
              <w:jc w:val="right"/>
            </w:pPr>
            <w:r>
              <w:rPr>
                <w:rFonts w:ascii="宋体" w:eastAsia="宋体" w:hAnsi="宋体" w:cs="宋体"/>
                <w:b w:val="0"/>
                <w:i w:val="0"/>
                <w:color w:val="000000"/>
                <w:sz w:val="20"/>
              </w:rPr>
              <w:t xml:space="preserve">15.68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15.68</w:t>
            </w:r>
          </w:p>
        </w:tc>
        <w:tc>
          <w:tcPr>
            <w:tcW w:w="1980" w:type="dxa"/>
            <w:tcBorders/>
            <w:vAlign w:val="center"/>
          </w:tcPr>
          <w:p>
            <w:pPr>
              <w:jc w:val="right"/>
            </w:pPr>
            <w:r>
              <w:rPr>
                <w:rFonts w:ascii="宋体" w:eastAsia="宋体" w:hAnsi="宋体" w:cs="宋体"/>
                <w:b w:val="0"/>
                <w:i w:val="0"/>
                <w:color w:val="000000"/>
                <w:sz w:val="20"/>
              </w:rPr>
              <w:t xml:space="preserve">15.68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177.39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32.52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62.30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10.04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37.51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27.31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16.70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2.23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10.06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7.19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5.95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15.68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22.14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12.67</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9.27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11.89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199.53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32.52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2.25</w:t>
            </w:r>
          </w:p>
        </w:tc>
        <w:tc>
          <w:tcPr>
            <w:tcW w:w="3092" w:type="dxa"/>
            <w:tcBorders/>
            <w:vAlign w:val="center"/>
          </w:tcPr>
          <w:p>
            <w:pPr>
              <w:jc w:val="right"/>
            </w:pPr>
            <w:r>
              <w:rPr>
                <w:rFonts w:ascii="宋体" w:eastAsia="宋体" w:hAnsi="宋体" w:cs="宋体"/>
                <w:b w:val="0"/>
                <w:i w:val="0"/>
                <w:color w:val="000000"/>
                <w:sz w:val="23"/>
              </w:rPr>
              <w:t xml:space="preserve">1.03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2.25</w:t>
            </w:r>
          </w:p>
        </w:tc>
        <w:tc>
          <w:tcPr>
            <w:tcW w:w="3092" w:type="dxa"/>
            <w:tcBorders/>
            <w:vAlign w:val="center"/>
          </w:tcPr>
          <w:p>
            <w:pPr>
              <w:jc w:val="right"/>
            </w:pPr>
            <w:r>
              <w:rPr>
                <w:rFonts w:ascii="宋体" w:eastAsia="宋体" w:hAnsi="宋体" w:cs="宋体"/>
                <w:b w:val="0"/>
                <w:i w:val="0"/>
                <w:color w:val="000000"/>
                <w:sz w:val="23"/>
              </w:rPr>
              <w:t xml:space="preserve">1.03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2.25</w:t>
            </w:r>
          </w:p>
        </w:tc>
        <w:tc>
          <w:tcPr>
            <w:tcW w:w="3092" w:type="dxa"/>
            <w:tcBorders/>
            <w:vAlign w:val="center"/>
          </w:tcPr>
          <w:p>
            <w:pPr>
              <w:jc w:val="right"/>
            </w:pPr>
            <w:r>
              <w:rPr>
                <w:rFonts w:ascii="宋体" w:eastAsia="宋体" w:hAnsi="宋体" w:cs="宋体"/>
                <w:b w:val="0"/>
                <w:i w:val="0"/>
                <w:color w:val="000000"/>
                <w:sz w:val="23"/>
              </w:rPr>
              <w:t xml:space="preserve">1.03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041001盘锦市大洼区卫生健康局本级-211104000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175.33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175.33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124.02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124.01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贯彻落实“健康中国行动2019-2030年‘、《中共中央国务院关于促进中医药传承创新发展的意见》等国家计划，践行政府采购管理行动，推动卫生健康事业从疾病治疗向疾病预防为中心转型和高质量发展、一、以公立医院党建为抓手，加强党对卫生健康事业的全面领导，构建清风廉政的政治生态；二、持续深化医疗机构体制机制改革，增强人民群众从医疗健康服务事业中获得的幸福感和安全感；三、大力推动健康城市建设，构建“大卫生、大健康、大服务、大共享”工作的四大格局‘四、贯彻“优质服务基层行”理念，完善基层医疗卫生体系医防融合发展；五、践行中医药传承事业，推动区域中医药事业健康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目标已完成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医疗服务能力提升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能力提升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经济效益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采购成本节支率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建立卫生健康人才培养机制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机制改革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92.00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