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辽宁省盘锦市大洼区委区政府督查室</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辽宁省盘锦市大洼区委区政府督查室</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辽宁省盘锦市大洼区委区政府督查室</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辽宁省盘锦市大洼区委区政府督查室</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辽宁省盘锦市大洼区委区政府督查室</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辽宁省盘锦市大洼区委区政府督查室概况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（一）负责贯彻落实党的理论和路线方针政策、重大决策部署和上级党委政府重要工作安排的督查检查工作。</w:t>
        <w:br/>
        <w:t xml:space="preserve">（二）负责围绕上级党委政府交办和主要领导批示及区委区政府主要领导批示指示、交办事项贯彻落实情况的督查工作。</w:t>
        <w:br/>
        <w:t xml:space="preserve">（三）负责全区性重要会议确定的工作任务分解立项、落实情况督查。</w:t>
        <w:br/>
        <w:t xml:space="preserve">（四）负责区委区政府重要联合督查和重大专项督查的组织实施。</w:t>
        <w:br/>
        <w:t xml:space="preserve">（五）负责区委区政府主要领导调查研究、现场办公议定事项及交办事项的督促检查和情况反馈。</w:t>
        <w:br/>
        <w:t xml:space="preserve">（六）负责区委区政府主要领导关注的重点工作和热点难点问题开展督查调研。</w:t>
        <w:br/>
        <w:t xml:space="preserve">（七）负责人民网地方领导留言板反映问题和信访件的办理。</w:t>
        <w:br/>
        <w:t xml:space="preserve">（八）负责市委市政府、区委区政府受理的人大代表建议、政协委员提案整理、分转、督办、汇总、反馈。</w:t>
        <w:br/>
        <w:t xml:space="preserve">（九）负责全区绩效考核工作。</w:t>
        <w:br/>
        <w:t xml:space="preserve">（十）负责全区大型会议会风会纪进行督查工作。</w:t>
        <w:br/>
        <w:t xml:space="preserve">（十一）完成区委区政府交办的其他任务。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辽宁省盘锦市大洼区委区政府督查室</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中共盘锦市大洼区委区政府督查室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72.47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72.47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72.47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增加3.46万元，增长5.01%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72.47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64.83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89.46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工资福利支出56.98万元；商品和服务支出7.83万元；对个人和家庭的补助0.02万元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7.64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10.54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主要包括督查室办公经费等业务支出。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增加3.46万元，增长5.01%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72.47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64.83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7.64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增加3.46万元，增长5.01%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118.74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122.25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95.48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2023年度一般公共预算财政拨款支出72.47万元。按支出功能分类科目分，包括：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1.一般公共服务支出57.85万元，具体包括：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党委办公厅（室）及相关机构事务（款）行政运行（项）50.21万元,主要是工资福利支出、商品和服务支出、对个人和家庭补助等支出，完成年初预算的121.37%，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党委办公厅（室）及相关机构事务（款）一般行政管理事务（项）7.64万元,主要是商品和服务支出等支出，完成年初预算的95.5%，决算数与年初预算数存在差异的主要原因是经费使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2.社会保障和就业支出6.67万元，具体包括：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6.54万元,主要是养老保险等支出，完成年初预算的127.73%，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（2）社会保障和就业支出（类）其他社会保障和就业支出（款）其他社会保障和就业支出（项）0.13万元,主要是工伤保险等支出，完成年初预算的185.71%，决算数与年初预算数存在差异的主要原因是人员增加。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（1）卫生健康支出（类）行政事业单位医疗（款）行政单位医疗（项）2.49万元,主要是医疗保险等支出，完成年初预算的111.16%，决算数与年初预算数存在差异的主要原因是人员增加。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（2）卫生健康支出（类）行政事业单位医疗（款）其他行政事业单位医疗支出（项）0.02万元,主要是大额医疗等支出，完成年初预算的100%，决算数与年初预算数存在差异的主要原因是无变化。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（1）住房保障支出（类）住房改革支出（款）住房公积金（项）5.44万元,主要是住房公积金等支出，完成年初预算的129.22%，决算数与年初预算数存在差异的主要原因是人员增加。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1.66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66.40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公车使用费用减少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1.66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1.66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66.40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公车使用费用减少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比上年增加0.59万元，增长55.14%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公车检修增加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1.66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主要用于公车加油保险维修等，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64.83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57.00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7.83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7.83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比上年增加2.23万元，增长39.82%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根据预算绩效管理要求，本部门组织对2023年度预算项目支出全面开展绩效自评，共涉及预算支出项目1个（其中：一般公共预算项目1个，政府性基金预算项目0个，国有资本经营预算项目0个），涉及资金8万元。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行政事业性收费收入：指依据法律、行政法规、国务院有关规定、国务院财政部门会同价格主管部门共同发布的规章或者规定，省、自治区、直辖市人民政府财政部门会同价格主管部门共同发布的规定所收取的各项收费收入。</w:t>
        <w:br/>
        <w:t xml:space="preserve">17.政府性基金收入：反映各级政府及其所属部门根据法律、行政法规规定并经国务院或财政部批准，向公民、法人和其他组织征收的政府性基金，以及参照政府性基金管理或纳入基金预算、具有特定用途的财政资金。</w:t>
        <w:br/>
        <w:t xml:space="preserve">18.社会保障和就业（类）行政事业单位养老支出（款）行政单位离退休（项）：反映行政单位（包括实行公务员管理的事业单位）开支的离退休经费。</w:t>
        <w:br/>
        <w:t xml:space="preserve">19.社会保障和就业（类）行政事业单位养老支出（款）事业单位离退休（项）：反映事业单位开支的离退休经费。</w:t>
        <w:br/>
        <w:t xml:space="preserve">20.社会保障和就业（类）行政事业单位养老支出（款）机关事业单位基本养老保险缴费支出（项）：反映机关事业单位实施养老保险制度由单位缴纳的基本养老保险费支出。</w:t>
        <w:br/>
        <w:t xml:space="preserve">21.社会保障和就业（类）行政事业单位养老支出（款）机关事业单位职业年金缴费支出（项）：反映机关事业单位实施养老保险制度由单位实际缴纳的职业年金支出。</w:t>
        <w:br/>
        <w:t xml:space="preserve">22.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23.卫生健康支出（类）行政事业单位医疗（款）事业单位医疗（项）：反映财政部门安排的事业单位基本医疗保险缴费经费，未参加医疗保险的事业单位的公费医疗经费，按国家规定享受离休人员待遇的医疗经费。</w:t>
        <w:br/>
        <w:t xml:space="preserve">24.住房保障（类）住房改革（款）住房公积金（项）：反映行政事业单位按人力资源和社会保障部、财政部规定的基本工资和津贴补贴以及规定比例为职工缴纳的住房公积金       </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部门：辽宁省盘锦市大洼区委区政府督查室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72.47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57.84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72.47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72.47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72.47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72.47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部门：辽宁省盘锦市大洼区委区政府督查室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72.47</w:t>
            </w:r>
          </w:p>
        </w:tc>
        <w:tc>
          <w:tcPr>
            <w:tcW w:w="1160" w:type="dxa"/>
            <w:tcBorders/>
            <w:vAlign w:val="center"/>
          </w:tcPr>
          <w:p>
            <w:pPr>
              <w:jc w:val="right"/>
            </w:pPr>
            <w:r>
              <w:rPr>
                <w:rFonts w:ascii="宋体" w:eastAsia="宋体" w:hAnsi="宋体" w:cs="宋体"/>
                <w:b/>
                <w:i w:val="0"/>
                <w:color w:val="000000"/>
                <w:sz w:val="14"/>
              </w:rPr>
              <w:t xml:space="preserve">72.47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57.85</w:t>
            </w:r>
          </w:p>
        </w:tc>
        <w:tc>
          <w:tcPr>
            <w:tcW w:w="1160" w:type="dxa"/>
            <w:tcBorders/>
            <w:vAlign w:val="center"/>
          </w:tcPr>
          <w:p>
            <w:pPr>
              <w:jc w:val="right"/>
            </w:pPr>
            <w:r>
              <w:rPr>
                <w:rFonts w:ascii="宋体" w:eastAsia="宋体" w:hAnsi="宋体" w:cs="宋体"/>
                <w:b w:val="0"/>
                <w:i w:val="0"/>
                <w:color w:val="000000"/>
                <w:sz w:val="14"/>
              </w:rPr>
              <w:t xml:space="preserve">57.85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57.85</w:t>
            </w:r>
          </w:p>
        </w:tc>
        <w:tc>
          <w:tcPr>
            <w:tcW w:w="1160" w:type="dxa"/>
            <w:tcBorders/>
            <w:vAlign w:val="center"/>
          </w:tcPr>
          <w:p>
            <w:pPr>
              <w:jc w:val="right"/>
            </w:pPr>
            <w:r>
              <w:rPr>
                <w:rFonts w:ascii="宋体" w:eastAsia="宋体" w:hAnsi="宋体" w:cs="宋体"/>
                <w:b w:val="0"/>
                <w:i w:val="0"/>
                <w:color w:val="000000"/>
                <w:sz w:val="14"/>
              </w:rPr>
              <w:t xml:space="preserve">57.85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50.21</w:t>
            </w:r>
          </w:p>
        </w:tc>
        <w:tc>
          <w:tcPr>
            <w:tcW w:w="1160" w:type="dxa"/>
            <w:tcBorders/>
            <w:vAlign w:val="center"/>
          </w:tcPr>
          <w:p>
            <w:pPr>
              <w:jc w:val="right"/>
            </w:pPr>
            <w:r>
              <w:rPr>
                <w:rFonts w:ascii="宋体" w:eastAsia="宋体" w:hAnsi="宋体" w:cs="宋体"/>
                <w:b w:val="0"/>
                <w:i w:val="0"/>
                <w:color w:val="000000"/>
                <w:sz w:val="14"/>
              </w:rPr>
              <w:t xml:space="preserve">50.21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7.64</w:t>
            </w:r>
          </w:p>
        </w:tc>
        <w:tc>
          <w:tcPr>
            <w:tcW w:w="1160" w:type="dxa"/>
            <w:tcBorders/>
            <w:vAlign w:val="center"/>
          </w:tcPr>
          <w:p>
            <w:pPr>
              <w:jc w:val="right"/>
            </w:pPr>
            <w:r>
              <w:rPr>
                <w:rFonts w:ascii="宋体" w:eastAsia="宋体" w:hAnsi="宋体" w:cs="宋体"/>
                <w:b w:val="0"/>
                <w:i w:val="0"/>
                <w:color w:val="000000"/>
                <w:sz w:val="14"/>
              </w:rPr>
              <w:t xml:space="preserve">7.64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6.67</w:t>
            </w:r>
          </w:p>
        </w:tc>
        <w:tc>
          <w:tcPr>
            <w:tcW w:w="1160" w:type="dxa"/>
            <w:tcBorders/>
            <w:vAlign w:val="center"/>
          </w:tcPr>
          <w:p>
            <w:pPr>
              <w:jc w:val="right"/>
            </w:pPr>
            <w:r>
              <w:rPr>
                <w:rFonts w:ascii="宋体" w:eastAsia="宋体" w:hAnsi="宋体" w:cs="宋体"/>
                <w:b w:val="0"/>
                <w:i w:val="0"/>
                <w:color w:val="000000"/>
                <w:sz w:val="14"/>
              </w:rPr>
              <w:t xml:space="preserve">6.67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6.54</w:t>
            </w:r>
          </w:p>
        </w:tc>
        <w:tc>
          <w:tcPr>
            <w:tcW w:w="1160" w:type="dxa"/>
            <w:tcBorders/>
            <w:vAlign w:val="center"/>
          </w:tcPr>
          <w:p>
            <w:pPr>
              <w:jc w:val="right"/>
            </w:pPr>
            <w:r>
              <w:rPr>
                <w:rFonts w:ascii="宋体" w:eastAsia="宋体" w:hAnsi="宋体" w:cs="宋体"/>
                <w:b w:val="0"/>
                <w:i w:val="0"/>
                <w:color w:val="000000"/>
                <w:sz w:val="14"/>
              </w:rPr>
              <w:t xml:space="preserve">6.54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6.54</w:t>
            </w:r>
          </w:p>
        </w:tc>
        <w:tc>
          <w:tcPr>
            <w:tcW w:w="1160" w:type="dxa"/>
            <w:tcBorders/>
            <w:vAlign w:val="center"/>
          </w:tcPr>
          <w:p>
            <w:pPr>
              <w:jc w:val="right"/>
            </w:pPr>
            <w:r>
              <w:rPr>
                <w:rFonts w:ascii="宋体" w:eastAsia="宋体" w:hAnsi="宋体" w:cs="宋体"/>
                <w:b w:val="0"/>
                <w:i w:val="0"/>
                <w:color w:val="000000"/>
                <w:sz w:val="14"/>
              </w:rPr>
              <w:t xml:space="preserve">6.54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jc w:val="right"/>
            </w:pPr>
            <w:r>
              <w:rPr>
                <w:rFonts w:ascii="宋体" w:eastAsia="宋体" w:hAnsi="宋体" w:cs="宋体"/>
                <w:b w:val="0"/>
                <w:i w:val="0"/>
                <w:color w:val="000000"/>
                <w:sz w:val="14"/>
              </w:rPr>
              <w:t xml:space="preserve">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部门：辽宁省盘锦市大洼区委区政府督查室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72.47</w:t>
            </w:r>
          </w:p>
        </w:tc>
        <w:tc>
          <w:tcPr>
            <w:tcW w:w="1120" w:type="dxa"/>
            <w:tcBorders/>
            <w:vAlign w:val="center"/>
          </w:tcPr>
          <w:p>
            <w:pPr>
              <w:jc w:val="right"/>
            </w:pPr>
            <w:r>
              <w:rPr>
                <w:rFonts w:ascii="宋体" w:eastAsia="宋体" w:hAnsi="宋体" w:cs="宋体"/>
                <w:b/>
                <w:i w:val="0"/>
                <w:color w:val="000000"/>
                <w:sz w:val="16"/>
              </w:rPr>
              <w:t xml:space="preserve">64.83</w:t>
            </w:r>
          </w:p>
        </w:tc>
        <w:tc>
          <w:tcPr>
            <w:tcW w:w="1120" w:type="dxa"/>
            <w:tcBorders/>
            <w:vAlign w:val="center"/>
          </w:tcPr>
          <w:p>
            <w:pPr>
              <w:jc w:val="right"/>
            </w:pPr>
            <w:r>
              <w:rPr>
                <w:rFonts w:ascii="宋体" w:eastAsia="宋体" w:hAnsi="宋体" w:cs="宋体"/>
                <w:b/>
                <w:i w:val="0"/>
                <w:color w:val="000000"/>
                <w:sz w:val="16"/>
              </w:rPr>
              <w:t xml:space="preserve">7.64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57.85</w:t>
            </w:r>
          </w:p>
        </w:tc>
        <w:tc>
          <w:tcPr>
            <w:tcW w:w="1120" w:type="dxa"/>
            <w:tcBorders/>
            <w:vAlign w:val="center"/>
          </w:tcPr>
          <w:p>
            <w:pPr>
              <w:jc w:val="right"/>
            </w:pPr>
            <w:r>
              <w:rPr>
                <w:rFonts w:ascii="宋体" w:eastAsia="宋体" w:hAnsi="宋体" w:cs="宋体"/>
                <w:b w:val="0"/>
                <w:i w:val="0"/>
                <w:color w:val="000000"/>
                <w:sz w:val="16"/>
              </w:rPr>
              <w:t xml:space="preserve">50.21</w:t>
            </w:r>
          </w:p>
        </w:tc>
        <w:tc>
          <w:tcPr>
            <w:tcW w:w="1120" w:type="dxa"/>
            <w:tcBorders/>
            <w:vAlign w:val="center"/>
          </w:tcPr>
          <w:p>
            <w:pPr>
              <w:jc w:val="right"/>
            </w:pPr>
            <w:r>
              <w:rPr>
                <w:rFonts w:ascii="宋体" w:eastAsia="宋体" w:hAnsi="宋体" w:cs="宋体"/>
                <w:b w:val="0"/>
                <w:i w:val="0"/>
                <w:color w:val="000000"/>
                <w:sz w:val="16"/>
              </w:rPr>
              <w:t xml:space="preserve">7.64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57.85</w:t>
            </w:r>
          </w:p>
        </w:tc>
        <w:tc>
          <w:tcPr>
            <w:tcW w:w="1120" w:type="dxa"/>
            <w:tcBorders/>
            <w:vAlign w:val="center"/>
          </w:tcPr>
          <w:p>
            <w:pPr>
              <w:jc w:val="right"/>
            </w:pPr>
            <w:r>
              <w:rPr>
                <w:rFonts w:ascii="宋体" w:eastAsia="宋体" w:hAnsi="宋体" w:cs="宋体"/>
                <w:b w:val="0"/>
                <w:i w:val="0"/>
                <w:color w:val="000000"/>
                <w:sz w:val="16"/>
              </w:rPr>
              <w:t xml:space="preserve">50.21</w:t>
            </w:r>
          </w:p>
        </w:tc>
        <w:tc>
          <w:tcPr>
            <w:tcW w:w="1120" w:type="dxa"/>
            <w:tcBorders/>
            <w:vAlign w:val="center"/>
          </w:tcPr>
          <w:p>
            <w:pPr>
              <w:jc w:val="right"/>
            </w:pPr>
            <w:r>
              <w:rPr>
                <w:rFonts w:ascii="宋体" w:eastAsia="宋体" w:hAnsi="宋体" w:cs="宋体"/>
                <w:b w:val="0"/>
                <w:i w:val="0"/>
                <w:color w:val="000000"/>
                <w:sz w:val="16"/>
              </w:rPr>
              <w:t xml:space="preserve">7.64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50.21</w:t>
            </w:r>
          </w:p>
        </w:tc>
        <w:tc>
          <w:tcPr>
            <w:tcW w:w="1120" w:type="dxa"/>
            <w:tcBorders/>
            <w:vAlign w:val="center"/>
          </w:tcPr>
          <w:p>
            <w:pPr>
              <w:jc w:val="right"/>
            </w:pPr>
            <w:r>
              <w:rPr>
                <w:rFonts w:ascii="宋体" w:eastAsia="宋体" w:hAnsi="宋体" w:cs="宋体"/>
                <w:b w:val="0"/>
                <w:i w:val="0"/>
                <w:color w:val="000000"/>
                <w:sz w:val="16"/>
              </w:rPr>
              <w:t xml:space="preserve">50.21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7.64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6.67</w:t>
            </w:r>
          </w:p>
        </w:tc>
        <w:tc>
          <w:tcPr>
            <w:tcW w:w="1120" w:type="dxa"/>
            <w:tcBorders/>
            <w:vAlign w:val="center"/>
          </w:tcPr>
          <w:p>
            <w:pPr>
              <w:jc w:val="right"/>
            </w:pPr>
            <w:r>
              <w:rPr>
                <w:rFonts w:ascii="宋体" w:eastAsia="宋体" w:hAnsi="宋体" w:cs="宋体"/>
                <w:b w:val="0"/>
                <w:i w:val="0"/>
                <w:color w:val="000000"/>
                <w:sz w:val="16"/>
              </w:rPr>
              <w:t xml:space="preserve">6.67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6.54</w:t>
            </w:r>
          </w:p>
        </w:tc>
        <w:tc>
          <w:tcPr>
            <w:tcW w:w="1120" w:type="dxa"/>
            <w:tcBorders/>
            <w:vAlign w:val="center"/>
          </w:tcPr>
          <w:p>
            <w:pPr>
              <w:jc w:val="right"/>
            </w:pPr>
            <w:r>
              <w:rPr>
                <w:rFonts w:ascii="宋体" w:eastAsia="宋体" w:hAnsi="宋体" w:cs="宋体"/>
                <w:b w:val="0"/>
                <w:i w:val="0"/>
                <w:color w:val="000000"/>
                <w:sz w:val="16"/>
              </w:rPr>
              <w:t xml:space="preserve">6.54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6.54</w:t>
            </w:r>
          </w:p>
        </w:tc>
        <w:tc>
          <w:tcPr>
            <w:tcW w:w="1120" w:type="dxa"/>
            <w:tcBorders/>
            <w:vAlign w:val="center"/>
          </w:tcPr>
          <w:p>
            <w:pPr>
              <w:jc w:val="right"/>
            </w:pPr>
            <w:r>
              <w:rPr>
                <w:rFonts w:ascii="宋体" w:eastAsia="宋体" w:hAnsi="宋体" w:cs="宋体"/>
                <w:b w:val="0"/>
                <w:i w:val="0"/>
                <w:color w:val="000000"/>
                <w:sz w:val="16"/>
              </w:rPr>
              <w:t xml:space="preserve">6.54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jc w:val="right"/>
            </w:pPr>
            <w:r>
              <w:rPr>
                <w:rFonts w:ascii="宋体" w:eastAsia="宋体" w:hAnsi="宋体" w:cs="宋体"/>
                <w:b w:val="0"/>
                <w:i w:val="0"/>
                <w:color w:val="000000"/>
                <w:sz w:val="16"/>
              </w:rPr>
              <w:t xml:space="preserve">2.49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jc w:val="right"/>
            </w:pPr>
            <w:r>
              <w:rPr>
                <w:rFonts w:ascii="宋体" w:eastAsia="宋体" w:hAnsi="宋体" w:cs="宋体"/>
                <w:b w:val="0"/>
                <w:i w:val="0"/>
                <w:color w:val="000000"/>
                <w:sz w:val="16"/>
              </w:rPr>
              <w:t xml:space="preserve">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部门：辽宁省盘锦市大洼区委区政府督查室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72.47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57.84</w:t>
            </w:r>
          </w:p>
        </w:tc>
        <w:tc>
          <w:tcPr>
            <w:tcW w:w="1100" w:type="dxa"/>
            <w:tcBorders/>
            <w:vAlign w:val="center"/>
          </w:tcPr>
          <w:p>
            <w:pPr>
              <w:jc w:val="right"/>
            </w:pPr>
            <w:r>
              <w:rPr>
                <w:rFonts w:ascii="宋体" w:eastAsia="宋体" w:hAnsi="宋体" w:cs="宋体"/>
                <w:b w:val="0"/>
                <w:i w:val="0"/>
                <w:color w:val="000000"/>
                <w:sz w:val="14"/>
              </w:rPr>
              <w:t xml:space="preserve">57.84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6.68</w:t>
            </w:r>
          </w:p>
        </w:tc>
        <w:tc>
          <w:tcPr>
            <w:tcW w:w="1100" w:type="dxa"/>
            <w:tcBorders/>
            <w:vAlign w:val="center"/>
          </w:tcPr>
          <w:p>
            <w:pPr>
              <w:jc w:val="right"/>
            </w:pPr>
            <w:r>
              <w:rPr>
                <w:rFonts w:ascii="宋体" w:eastAsia="宋体" w:hAnsi="宋体" w:cs="宋体"/>
                <w:b w:val="0"/>
                <w:i w:val="0"/>
                <w:color w:val="000000"/>
                <w:sz w:val="14"/>
              </w:rPr>
              <w:t xml:space="preserve">6.68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2.51</w:t>
            </w:r>
          </w:p>
        </w:tc>
        <w:tc>
          <w:tcPr>
            <w:tcW w:w="1100" w:type="dxa"/>
            <w:tcBorders/>
            <w:vAlign w:val="center"/>
          </w:tcPr>
          <w:p>
            <w:pPr>
              <w:jc w:val="right"/>
            </w:pPr>
            <w:r>
              <w:rPr>
                <w:rFonts w:ascii="宋体" w:eastAsia="宋体" w:hAnsi="宋体" w:cs="宋体"/>
                <w:b w:val="0"/>
                <w:i w:val="0"/>
                <w:color w:val="000000"/>
                <w:sz w:val="14"/>
              </w:rPr>
              <w:t xml:space="preserve">2.51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5.44</w:t>
            </w:r>
          </w:p>
        </w:tc>
        <w:tc>
          <w:tcPr>
            <w:tcW w:w="1100" w:type="dxa"/>
            <w:tcBorders/>
            <w:vAlign w:val="center"/>
          </w:tcPr>
          <w:p>
            <w:pPr>
              <w:jc w:val="right"/>
            </w:pPr>
            <w:r>
              <w:rPr>
                <w:rFonts w:ascii="宋体" w:eastAsia="宋体" w:hAnsi="宋体" w:cs="宋体"/>
                <w:b w:val="0"/>
                <w:i w:val="0"/>
                <w:color w:val="000000"/>
                <w:sz w:val="14"/>
              </w:rPr>
              <w:t xml:space="preserve">5.44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72.47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72.47</w:t>
            </w:r>
          </w:p>
        </w:tc>
        <w:tc>
          <w:tcPr>
            <w:tcW w:w="1100" w:type="dxa"/>
            <w:tcBorders/>
            <w:vAlign w:val="center"/>
          </w:tcPr>
          <w:p>
            <w:pPr>
              <w:jc w:val="right"/>
            </w:pPr>
            <w:r>
              <w:rPr>
                <w:rFonts w:ascii="宋体" w:eastAsia="宋体" w:hAnsi="宋体" w:cs="宋体"/>
                <w:b w:val="0"/>
                <w:i w:val="0"/>
                <w:color w:val="000000"/>
                <w:sz w:val="14"/>
              </w:rPr>
              <w:t xml:space="preserve">72.47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72.47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72.47</w:t>
            </w:r>
          </w:p>
        </w:tc>
        <w:tc>
          <w:tcPr>
            <w:tcW w:w="1100" w:type="dxa"/>
            <w:tcBorders/>
            <w:vAlign w:val="center"/>
          </w:tcPr>
          <w:p>
            <w:pPr>
              <w:jc w:val="right"/>
            </w:pPr>
            <w:r>
              <w:rPr>
                <w:rFonts w:ascii="宋体" w:eastAsia="宋体" w:hAnsi="宋体" w:cs="宋体"/>
                <w:b w:val="0"/>
                <w:i w:val="0"/>
                <w:color w:val="000000"/>
                <w:sz w:val="14"/>
              </w:rPr>
              <w:t xml:space="preserve">72.47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部门：辽宁省盘锦市大洼区委区政府督查室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72.47</w:t>
            </w:r>
          </w:p>
        </w:tc>
        <w:tc>
          <w:tcPr>
            <w:tcW w:w="1980" w:type="dxa"/>
            <w:tcBorders/>
            <w:vAlign w:val="center"/>
          </w:tcPr>
          <w:p>
            <w:pPr>
              <w:jc w:val="right"/>
            </w:pPr>
            <w:r>
              <w:rPr>
                <w:rFonts w:ascii="宋体" w:eastAsia="宋体" w:hAnsi="宋体" w:cs="宋体"/>
                <w:b/>
                <w:i w:val="0"/>
                <w:color w:val="000000"/>
                <w:sz w:val="20"/>
              </w:rPr>
              <w:t xml:space="preserve">64.83</w:t>
            </w:r>
          </w:p>
        </w:tc>
        <w:tc>
          <w:tcPr>
            <w:tcW w:w="1952" w:type="dxa"/>
            <w:tcBorders/>
            <w:vAlign w:val="center"/>
          </w:tcPr>
          <w:p>
            <w:pPr>
              <w:jc w:val="right"/>
            </w:pPr>
            <w:r>
              <w:rPr>
                <w:rFonts w:ascii="宋体" w:eastAsia="宋体" w:hAnsi="宋体" w:cs="宋体"/>
                <w:b/>
                <w:i w:val="0"/>
                <w:color w:val="000000"/>
                <w:sz w:val="20"/>
              </w:rPr>
              <w:t xml:space="preserve">7.64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57.85</w:t>
            </w:r>
          </w:p>
        </w:tc>
        <w:tc>
          <w:tcPr>
            <w:tcW w:w="1980" w:type="dxa"/>
            <w:tcBorders/>
            <w:vAlign w:val="center"/>
          </w:tcPr>
          <w:p>
            <w:pPr>
              <w:jc w:val="right"/>
            </w:pPr>
            <w:r>
              <w:rPr>
                <w:rFonts w:ascii="宋体" w:eastAsia="宋体" w:hAnsi="宋体" w:cs="宋体"/>
                <w:b w:val="0"/>
                <w:i w:val="0"/>
                <w:color w:val="000000"/>
                <w:sz w:val="20"/>
              </w:rPr>
              <w:t xml:space="preserve">50.21</w:t>
            </w:r>
          </w:p>
        </w:tc>
        <w:tc>
          <w:tcPr>
            <w:tcW w:w="1952" w:type="dxa"/>
            <w:tcBorders/>
            <w:vAlign w:val="center"/>
          </w:tcPr>
          <w:p>
            <w:pPr>
              <w:jc w:val="right"/>
            </w:pPr>
            <w:r>
              <w:rPr>
                <w:rFonts w:ascii="宋体" w:eastAsia="宋体" w:hAnsi="宋体" w:cs="宋体"/>
                <w:b w:val="0"/>
                <w:i w:val="0"/>
                <w:color w:val="000000"/>
                <w:sz w:val="20"/>
              </w:rPr>
              <w:t xml:space="preserve">7.64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57.85</w:t>
            </w:r>
          </w:p>
        </w:tc>
        <w:tc>
          <w:tcPr>
            <w:tcW w:w="1980" w:type="dxa"/>
            <w:tcBorders/>
            <w:vAlign w:val="center"/>
          </w:tcPr>
          <w:p>
            <w:pPr>
              <w:jc w:val="right"/>
            </w:pPr>
            <w:r>
              <w:rPr>
                <w:rFonts w:ascii="宋体" w:eastAsia="宋体" w:hAnsi="宋体" w:cs="宋体"/>
                <w:b w:val="0"/>
                <w:i w:val="0"/>
                <w:color w:val="000000"/>
                <w:sz w:val="20"/>
              </w:rPr>
              <w:t xml:space="preserve">50.21</w:t>
            </w:r>
          </w:p>
        </w:tc>
        <w:tc>
          <w:tcPr>
            <w:tcW w:w="1952" w:type="dxa"/>
            <w:tcBorders/>
            <w:vAlign w:val="center"/>
          </w:tcPr>
          <w:p>
            <w:pPr>
              <w:jc w:val="right"/>
            </w:pPr>
            <w:r>
              <w:rPr>
                <w:rFonts w:ascii="宋体" w:eastAsia="宋体" w:hAnsi="宋体" w:cs="宋体"/>
                <w:b w:val="0"/>
                <w:i w:val="0"/>
                <w:color w:val="000000"/>
                <w:sz w:val="20"/>
              </w:rPr>
              <w:t xml:space="preserve">7.64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50.21</w:t>
            </w:r>
          </w:p>
        </w:tc>
        <w:tc>
          <w:tcPr>
            <w:tcW w:w="1980" w:type="dxa"/>
            <w:tcBorders/>
            <w:vAlign w:val="center"/>
          </w:tcPr>
          <w:p>
            <w:pPr>
              <w:jc w:val="right"/>
            </w:pPr>
            <w:r>
              <w:rPr>
                <w:rFonts w:ascii="宋体" w:eastAsia="宋体" w:hAnsi="宋体" w:cs="宋体"/>
                <w:b w:val="0"/>
                <w:i w:val="0"/>
                <w:color w:val="000000"/>
                <w:sz w:val="20"/>
              </w:rPr>
              <w:t xml:space="preserve">50.21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7.64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6.67</w:t>
            </w:r>
          </w:p>
        </w:tc>
        <w:tc>
          <w:tcPr>
            <w:tcW w:w="1980" w:type="dxa"/>
            <w:tcBorders/>
            <w:vAlign w:val="center"/>
          </w:tcPr>
          <w:p>
            <w:pPr>
              <w:jc w:val="right"/>
            </w:pPr>
            <w:r>
              <w:rPr>
                <w:rFonts w:ascii="宋体" w:eastAsia="宋体" w:hAnsi="宋体" w:cs="宋体"/>
                <w:b w:val="0"/>
                <w:i w:val="0"/>
                <w:color w:val="000000"/>
                <w:sz w:val="20"/>
              </w:rPr>
              <w:t xml:space="preserve">6.67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6.54</w:t>
            </w:r>
          </w:p>
        </w:tc>
        <w:tc>
          <w:tcPr>
            <w:tcW w:w="1980" w:type="dxa"/>
            <w:tcBorders/>
            <w:vAlign w:val="center"/>
          </w:tcPr>
          <w:p>
            <w:pPr>
              <w:jc w:val="right"/>
            </w:pPr>
            <w:r>
              <w:rPr>
                <w:rFonts w:ascii="宋体" w:eastAsia="宋体" w:hAnsi="宋体" w:cs="宋体"/>
                <w:b w:val="0"/>
                <w:i w:val="0"/>
                <w:color w:val="000000"/>
                <w:sz w:val="20"/>
              </w:rPr>
              <w:t xml:space="preserve">6.54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6.54</w:t>
            </w:r>
          </w:p>
        </w:tc>
        <w:tc>
          <w:tcPr>
            <w:tcW w:w="1980" w:type="dxa"/>
            <w:tcBorders/>
            <w:vAlign w:val="center"/>
          </w:tcPr>
          <w:p>
            <w:pPr>
              <w:jc w:val="right"/>
            </w:pPr>
            <w:r>
              <w:rPr>
                <w:rFonts w:ascii="宋体" w:eastAsia="宋体" w:hAnsi="宋体" w:cs="宋体"/>
                <w:b w:val="0"/>
                <w:i w:val="0"/>
                <w:color w:val="000000"/>
                <w:sz w:val="20"/>
              </w:rPr>
              <w:t xml:space="preserve">6.54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80" w:type="dxa"/>
            <w:tcBorders/>
            <w:vAlign w:val="center"/>
          </w:tcPr>
          <w:p>
            <w:pPr>
              <w:jc w:val="right"/>
            </w:pPr>
            <w:r>
              <w:rPr>
                <w:rFonts w:ascii="宋体" w:eastAsia="宋体" w:hAnsi="宋体" w:cs="宋体"/>
                <w:b w:val="0"/>
                <w:i w:val="0"/>
                <w:color w:val="000000"/>
                <w:sz w:val="20"/>
              </w:rPr>
              <w:t xml:space="preserve">2.49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80" w:type="dxa"/>
            <w:tcBorders/>
            <w:vAlign w:val="center"/>
          </w:tcPr>
          <w:p>
            <w:pPr>
              <w:jc w:val="right"/>
            </w:pPr>
            <w:r>
              <w:rPr>
                <w:rFonts w:ascii="宋体" w:eastAsia="宋体" w:hAnsi="宋体" w:cs="宋体"/>
                <w:b w:val="0"/>
                <w:i w:val="0"/>
                <w:color w:val="000000"/>
                <w:sz w:val="20"/>
              </w:rPr>
              <w:t xml:space="preserve">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部门：辽宁省盘锦市大洼区委区政府督查室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56.98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7.83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20.62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13.16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8.57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6.54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5.44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1.66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4.38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57.00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7.83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部门：辽宁省盘锦市大洼区委区政府督查室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1.66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1.66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1.66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部门：辽宁省盘锦市大洼区委区政府督查室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部门：辽宁省盘锦市大洼区委区政府督查室</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办公经费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中共盘锦市大洼区委区政府督查室-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中共盘锦市大洼区委区政府督查室本级-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7.64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95.48%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补助政策落实到位，及时拨付资金。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督查巡查、暗访工作等相关报告完成数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份</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监督检查执行度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99.55</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008001中共盘锦市大洼区委区政府督查室本级-211104000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41.58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完成全年督查检查考核工作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已完成全年督查检查考核工作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不出现负面报道</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零负面</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省委办公厅服务保障满意度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培养高水平党史队伍</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提高水平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