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辽宁省盘锦市大洼区退役军人事务局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辽宁省盘锦市大洼区退役军人事务局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辽宁省盘锦市大洼区退役军人事务局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辽宁省盘锦市大洼区退役军人事务局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辽宁省盘锦市大洼区退役军人事务局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辽宁省盘锦市大洼区退役军人事务局概况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盘锦市大洼区退役军人事务局贯彻落实党中央、省委、市委关于退役军人工作的方针政策和决策部署，在履行职责过程中坚持和加强党对退役军人工作的集中统一领导。主要职责是：</w:t>
        <w:br/>
        <w:t xml:space="preserve">    （一）拟订我区关于退役军人思想政治、管理保障和安置优抚等工作的政策措施并组织实施，褒扬彰显退役军人为党、国家和人民牺牲奉献的精神风范和价值导向。</w:t>
        <w:br/>
        <w:t xml:space="preserve">    （二）负责军队转业干部、复员干部、离休退休干部、退役士兵和无军籍退休退职职工的移交安置工作和自主择业、就业退役军人服务管理工作。</w:t>
        <w:br/>
        <w:t xml:space="preserve">    （三）组织指导退役军人教育培训工作，协调扶持退役军人和随军随调家属就业创业。</w:t>
        <w:br/>
        <w:t xml:space="preserve">    （四）会同有关部门制定退役军人特殊保障政策并组织落实。</w:t>
        <w:br/>
        <w:t xml:space="preserve">    （五）组织协调落实移交地方的离休退休军人，符合条件的其他退役军人和无军籍退休退职职工的住房保障工作，以及退役军人医疗保障、社会保险等待遇保障工作。</w:t>
        <w:br/>
        <w:t xml:space="preserve">    （六）组织指导伤病残退役军人服务管理和抚恤工作，落实关于退役军人医疗、疗养、养老等机构的规划政策。承担不适宜继续服役的伤病残军人相关工作。组织指导军供服务保障工作。</w:t>
        <w:br/>
        <w:t xml:space="preserve">    （七）组织指导全区拥军优属工作。负责现役军人、退役军人、军队文职人员和军属优待、抚恤等工作，落实国家关于国民党抗战老兵等有关人员优待政策。</w:t>
        <w:br/>
        <w:t xml:space="preserve">    （八）负责烈士及退役军人荣誉奖励、军人公墓管理维护、纪念活动等工作，依法承担英雄烈士保护相关工作，总结表彰和宣扬退役军人、退役军人工作单位和个人先进典型事迹。</w:t>
        <w:br/>
        <w:t xml:space="preserve">    （九）指导并监督检查退役军人相关法律法规和政策措施的落实，组织开展退役军人权益维护和有关人员的帮扶援助工作。</w:t>
        <w:br/>
        <w:t xml:space="preserve">    （十）承担区双拥工作领导小组和区军队转业干部安置工作领导小组的日常工作。</w:t>
        <w:br/>
        <w:t xml:space="preserve">    （十一）完成区委、区政府交办的其他任务。</w:t>
        <w:br/>
        <w:t xml:space="preserve">    （十二）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辽宁省盘锦市大洼区退役军人事务局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1.大洼区退役军人部门本级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1352.14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1352.00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1352.00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减少231.91万元，降低14.64%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1352.01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221.87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16.41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工资福利支出202.00万元；商品和服务支出18.61万元；对个人和家庭的补助1.25万元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1130.15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83.59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主要包括优抚补助、退役安置补助 、一般行政管理事务、优抚对象医疗等业务支出。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减少231.93万元，降低14.64%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增加0.03万元，增长30.14%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1352.00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221.86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1130.15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减少231.95万元，降低14.64%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602.25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11301.47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2023年度一般公共预算财政拨款支出1352.00万元。按支出功能分类科目分，包括：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1.社会保障和就业支出1282.56万元，具体包括：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22.86万元,主要是职工养老保险等支出，完成年初预算的140.94%，决算数与年初预算数存在差异的主要原因是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4.09万元,主要是个人职业年金缴费等支出，完成年初预算的0 %，决算数与年初预算数存在差异的主要原因是机关职业年金无单位部分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（3）社会保障和就业支出（类）抚恤（款）其他优抚支出（项）946.66万元,主要是优抚对象抚恤补助等支出，完成年初预算的0%，决算数与年初预算数存在差异的主要原因是无项目支出无年初预算。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（4）社会保障和就业支出（类）退役安置（款）退役士兵安置（项）46.27万元,主要是退役安置人员补助等支出，完成年初预算的0%，决算数与年初预算数存在差异的主要原因是项目支出无年初预算。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退役安置（款）军队移交政府的离退休人员安置（项）6.26万元,主要是军队移交政府的离退休人员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退役安置（款）军队移交政府离退休干部管理机构（项）9.04万元,主要是军队移交政府离退休干部管理机构人员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（7）社会保障和就业支出（类）退役安置（款）其他退役安置支出（项）4.30万元,主要是退役士兵保险等支出，完成年初预算的0%，决算数与年初预算数存在差异的主要原因是项目支出无年初预算。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（8）社会保障和就业支出（类）临时救助（款）临时救助支出（项）0.00万元,主要是无等支出，完成年初预算的无%，决算数与年初预算数存在差异的主要原因是无。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（9）社会保障和就业支出（类）退役军人管理事务（款）行政运行（项）85.96万元,主要是保障人员经费等支出，完成年初预算的90.33%，决算数与年初预算数存在差异的主要原因是人员调出。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（10）社会保障和就业支出（类）退役军人管理事务（款）一般行政管理事务（项）76.78万元,主要是走访慰问、信访差旅费等支出，完成年初预算的667.8%，决算数与年初预算数存在差异的主要原因是无年初预算。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（11）社会保障和就业支出（类）退役军人管理事务（款）事业运行（项）79.98万元,主要是人员经费等支出，完成年初预算的106.37%，决算数与年初预算数存在差异的主要原因是人员工资增加。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（12）社会保障和就业支出（类）其他社会保障和就业支出（款）其他社会保障和就业支出（项）0.36万元,主要是保险等支出，完成年初预算的0%，决算数与年初预算数存在差异的主要原因是无预算。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2.卫生健康支出51.00万元，具体包括：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（1）卫生健康支出（类）行政事业单位医疗（款）行政单位医疗（项）4.06万元,主要是职工医疗保险等支出，完成年初预算的84.6%，决算数与年初预算数存在差异的主要原因是有人员调出。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（2）卫生健康支出（类）行政事业单位医疗（款）事业单位医疗（项）4.76万元,主要是职工医疗保险等支出，完成年初预算的99.374%，决算数与年初预算数存在差异的主要原因是有人员调出，基数上调。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（3）卫生健康支出（类）行政事业单位医疗（款）其他行政事业单位医疗支出（项）0.10万元,主要是大额保险等支出，完成年初预算的0%，决算数与年初预算数存在差异的主要原因是无预算。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（4）卫生健康支出（类）优抚对象医疗（款）优抚对象医疗补助（项）42.08万元,主要是优抚对象保险及药费等支出，完成年初预算的0%，决算数与年初预算数存在差异的主要原因是无预算。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3.住房保障支出18.42万元，具体包括：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（1）住房保障支出（类）住房改革支出（款）住房公积金（项）18.42万元,主要是住房公积金等支出，完成年初预算的92.67%，决算数与年初预算数存在差异的主要原因是基数上调，人员调出。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1.71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1.71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1.71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68.40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比上年减少0.40万元，降低18.96%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缩减支出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1.71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221.85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203.25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18.60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16.39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比上年增加1.82万元，增长12.49%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根据预算绩效管理要求，对单位开展整体绩效自评， 自评平均分100分，从评价情况来看已全部完成年初目标</w:t>
        <w:br/>
        <w:t xml:space="preserve">    下一步改进措施：一是进一步加强单位内部的预算管理意识，严格按照预算编制的相关制度和要求进行预算编制，进一步提高预算编制的科学性、严谨性和可控性，加强内部预算编制的审核和预算控制指标的下达。二是加强单位财务管理，健全单位财务管理制度体系，规范单位财务行为。在费用报账支付时，按照预算规定的费用项目和用途进行资金使用审核、列报支付、财务核算，杜绝超支现象的发生。</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17.一般公共服务（类）财政事务（款）一般行政管理事务（项）：反映行政单位（包括实行公务员管理的事业单位）未单独设置项级科目的其他项目支出。</w:t>
        <w:br/>
        <w:t xml:space="preserve">    18.社会保障和就业（类）行政事业单位养老（款）机关事业单位基本养老保险缴费（项）：反映财政部门集中管理的行政单位（包括实行公务员管理的事业单位）养老保险缴费支出。</w:t>
        <w:br/>
        <w:t xml:space="preserve">    19.社会保障和就业（类）行政事业单位养老（款）机关事业单位职业年金缴费（项）：反映财政部门集中管理的行政单位（包括实行公务员管理的事业单位）职业年金缴费支出。</w:t>
        <w:br/>
        <w:t xml:space="preserve">    20.社会保障和就业（类）抚恤（款）其他优抚（项）：反映按规定用于伤残人员的抚恤金和按规定开支的各种伤残补助费。   </w:t>
        <w:br/>
        <w:t xml:space="preserve">    21.社会保障和就业（类）退役安置（款）退役士兵安置（项）：反映按规定为退役士兵发放经济补助支出。</w:t>
        <w:br/>
        <w:t xml:space="preserve">    22.社会保障和就业（类）退役安置（款）其他退役士兵安置（项）：反映按规定为退役士兵发放经济补助支出及养老保险接续费用支出。</w:t>
        <w:br/>
        <w:t xml:space="preserve">    23.卫生健康（类）行政事业单位医疗（款）行政单位医疗（项）：反映财政部门集中安排的行政单位基本医疗保险缴费经费，未参加医疗保险的行政单位的公费医疗经费。</w:t>
        <w:br/>
        <w:t xml:space="preserve">    24.卫生健康（类）行政事业单位医疗（款）优抚对象医疗（项）：反映按规定用于优抚对象医疗补助及医疗保险缴费。 </w:t>
        <w:br/>
        <w:t xml:space="preserve">    25.住房保障（类）住房改革（款）住房公积金（项）：反映行政事业单位按人力资源和社会保障部、财政部规定的基本工资和津贴补贴以及规定比例为职工缴纳的住房公积金。</w:t>
        <w:br/>
        <w:t xml:space="preserve">    26.社会保障和就业（类）抚恤（款）死亡抚恤（项）：反映按规定用于军队移交离退休人员的抚死亡恤金。   </w:t>
        <w:br/>
        <w:t xml:space="preserve">    27.社会保障和就业（类）退役安置（款）军队移交政府的离退休干部管理机构（项）：反映按规定军队离退休干部管理机构支出。</w:t>
        <w:br/>
        <w:t xml:space="preserve">    28.社会保障和就业（类）退役安置（款）军队移交政府的离退休人员安置（项）：反映按规定为军队移交政府的离退休人员发放经济补助支出。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1,352.00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1,282.58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51.01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1,352.04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1,352.01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1,352.14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1,352.14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1,352.04</w:t>
            </w:r>
          </w:p>
        </w:tc>
        <w:tc>
          <w:tcPr>
            <w:tcW w:w="1160" w:type="dxa"/>
            <w:tcBorders/>
            <w:vAlign w:val="center"/>
          </w:tcPr>
          <w:p>
            <w:pPr>
              <w:jc w:val="right"/>
            </w:pPr>
            <w:r>
              <w:rPr>
                <w:rFonts w:ascii="宋体" w:eastAsia="宋体" w:hAnsi="宋体" w:cs="宋体"/>
                <w:b/>
                <w:i w:val="0"/>
                <w:color w:val="000000"/>
                <w:sz w:val="14"/>
              </w:rPr>
              <w:t xml:space="preserve">1,352.00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1,282.60</w:t>
            </w:r>
          </w:p>
        </w:tc>
        <w:tc>
          <w:tcPr>
            <w:tcW w:w="1160" w:type="dxa"/>
            <w:tcBorders/>
            <w:vAlign w:val="center"/>
          </w:tcPr>
          <w:p>
            <w:pPr>
              <w:jc w:val="right"/>
            </w:pPr>
            <w:r>
              <w:rPr>
                <w:rFonts w:ascii="宋体" w:eastAsia="宋体" w:hAnsi="宋体" w:cs="宋体"/>
                <w:b w:val="0"/>
                <w:i w:val="0"/>
                <w:color w:val="000000"/>
                <w:sz w:val="14"/>
              </w:rPr>
              <w:t xml:space="preserve">1,282.56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26.95</w:t>
            </w:r>
          </w:p>
        </w:tc>
        <w:tc>
          <w:tcPr>
            <w:tcW w:w="1160" w:type="dxa"/>
            <w:tcBorders/>
            <w:vAlign w:val="center"/>
          </w:tcPr>
          <w:p>
            <w:pPr>
              <w:jc w:val="right"/>
            </w:pPr>
            <w:r>
              <w:rPr>
                <w:rFonts w:ascii="宋体" w:eastAsia="宋体" w:hAnsi="宋体" w:cs="宋体"/>
                <w:b w:val="0"/>
                <w:i w:val="0"/>
                <w:color w:val="000000"/>
                <w:sz w:val="14"/>
              </w:rPr>
              <w:t xml:space="preserve">26.95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jc w:val="right"/>
            </w:pPr>
            <w:r>
              <w:rPr>
                <w:rFonts w:ascii="宋体" w:eastAsia="宋体" w:hAnsi="宋体" w:cs="宋体"/>
                <w:b w:val="0"/>
                <w:i w:val="0"/>
                <w:color w:val="000000"/>
                <w:sz w:val="14"/>
              </w:rPr>
              <w:t xml:space="preserve">22.86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4.09</w:t>
            </w:r>
          </w:p>
        </w:tc>
        <w:tc>
          <w:tcPr>
            <w:tcW w:w="1160" w:type="dxa"/>
            <w:tcBorders/>
            <w:vAlign w:val="center"/>
          </w:tcPr>
          <w:p>
            <w:pPr>
              <w:jc w:val="right"/>
            </w:pPr>
            <w:r>
              <w:rPr>
                <w:rFonts w:ascii="宋体" w:eastAsia="宋体" w:hAnsi="宋体" w:cs="宋体"/>
                <w:b w:val="0"/>
                <w:i w:val="0"/>
                <w:color w:val="000000"/>
                <w:sz w:val="14"/>
              </w:rPr>
              <w:t xml:space="preserve">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946.66</w:t>
            </w:r>
          </w:p>
        </w:tc>
        <w:tc>
          <w:tcPr>
            <w:tcW w:w="1160" w:type="dxa"/>
            <w:tcBorders/>
            <w:vAlign w:val="center"/>
          </w:tcPr>
          <w:p>
            <w:pPr>
              <w:jc w:val="right"/>
            </w:pPr>
            <w:r>
              <w:rPr>
                <w:rFonts w:ascii="宋体" w:eastAsia="宋体" w:hAnsi="宋体" w:cs="宋体"/>
                <w:b w:val="0"/>
                <w:i w:val="0"/>
                <w:color w:val="000000"/>
                <w:sz w:val="14"/>
              </w:rPr>
              <w:t xml:space="preserve">946.66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946.66</w:t>
            </w:r>
          </w:p>
        </w:tc>
        <w:tc>
          <w:tcPr>
            <w:tcW w:w="1160" w:type="dxa"/>
            <w:tcBorders/>
            <w:vAlign w:val="center"/>
          </w:tcPr>
          <w:p>
            <w:pPr>
              <w:jc w:val="right"/>
            </w:pPr>
            <w:r>
              <w:rPr>
                <w:rFonts w:ascii="宋体" w:eastAsia="宋体" w:hAnsi="宋体" w:cs="宋体"/>
                <w:b w:val="0"/>
                <w:i w:val="0"/>
                <w:color w:val="000000"/>
                <w:sz w:val="14"/>
              </w:rPr>
              <w:t xml:space="preserve">946.66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65.87</w:t>
            </w:r>
          </w:p>
        </w:tc>
        <w:tc>
          <w:tcPr>
            <w:tcW w:w="1160" w:type="dxa"/>
            <w:tcBorders/>
            <w:vAlign w:val="center"/>
          </w:tcPr>
          <w:p>
            <w:pPr>
              <w:jc w:val="right"/>
            </w:pPr>
            <w:r>
              <w:rPr>
                <w:rFonts w:ascii="宋体" w:eastAsia="宋体" w:hAnsi="宋体" w:cs="宋体"/>
                <w:b w:val="0"/>
                <w:i w:val="0"/>
                <w:color w:val="000000"/>
                <w:sz w:val="14"/>
              </w:rPr>
              <w:t xml:space="preserve">65.87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46.27</w:t>
            </w:r>
          </w:p>
        </w:tc>
        <w:tc>
          <w:tcPr>
            <w:tcW w:w="1160" w:type="dxa"/>
            <w:tcBorders/>
            <w:vAlign w:val="center"/>
          </w:tcPr>
          <w:p>
            <w:pPr>
              <w:jc w:val="right"/>
            </w:pPr>
            <w:r>
              <w:rPr>
                <w:rFonts w:ascii="宋体" w:eastAsia="宋体" w:hAnsi="宋体" w:cs="宋体"/>
                <w:b w:val="0"/>
                <w:i w:val="0"/>
                <w:color w:val="000000"/>
                <w:sz w:val="14"/>
              </w:rPr>
              <w:t xml:space="preserve">46.27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军队移交政府的离退休人员安置</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jc w:val="right"/>
            </w:pPr>
            <w:r>
              <w:rPr>
                <w:rFonts w:ascii="宋体" w:eastAsia="宋体" w:hAnsi="宋体" w:cs="宋体"/>
                <w:b w:val="0"/>
                <w:i w:val="0"/>
                <w:color w:val="000000"/>
                <w:sz w:val="14"/>
              </w:rPr>
              <w:t xml:space="preserve">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军队移交政府离退休干部管理机构</w:t>
            </w:r>
          </w:p>
        </w:tc>
        <w:tc>
          <w:tcPr>
            <w:tcW w:w="1160" w:type="dxa"/>
            <w:tcBorders/>
            <w:vAlign w:val="center"/>
          </w:tcPr>
          <w:p>
            <w:pPr>
              <w:jc w:val="right"/>
            </w:pPr>
            <w:r>
              <w:rPr>
                <w:rFonts w:ascii="宋体" w:eastAsia="宋体" w:hAnsi="宋体" w:cs="宋体"/>
                <w:b w:val="0"/>
                <w:i w:val="0"/>
                <w:color w:val="000000"/>
                <w:sz w:val="14"/>
              </w:rPr>
              <w:t xml:space="preserve">9.04</w:t>
            </w:r>
          </w:p>
        </w:tc>
        <w:tc>
          <w:tcPr>
            <w:tcW w:w="1160" w:type="dxa"/>
            <w:tcBorders/>
            <w:vAlign w:val="center"/>
          </w:tcPr>
          <w:p>
            <w:pPr>
              <w:jc w:val="right"/>
            </w:pPr>
            <w:r>
              <w:rPr>
                <w:rFonts w:ascii="宋体" w:eastAsia="宋体" w:hAnsi="宋体" w:cs="宋体"/>
                <w:b w:val="0"/>
                <w:i w:val="0"/>
                <w:color w:val="000000"/>
                <w:sz w:val="14"/>
              </w:rPr>
              <w:t xml:space="preserve">9.04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其他退役安置支出</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退役军人管理事务</w:t>
            </w:r>
          </w:p>
        </w:tc>
        <w:tc>
          <w:tcPr>
            <w:tcW w:w="1160" w:type="dxa"/>
            <w:tcBorders/>
            <w:vAlign w:val="center"/>
          </w:tcPr>
          <w:p>
            <w:pPr>
              <w:jc w:val="right"/>
            </w:pPr>
            <w:r>
              <w:rPr>
                <w:rFonts w:ascii="宋体" w:eastAsia="宋体" w:hAnsi="宋体" w:cs="宋体"/>
                <w:b w:val="0"/>
                <w:i w:val="0"/>
                <w:color w:val="000000"/>
                <w:sz w:val="14"/>
              </w:rPr>
              <w:t xml:space="preserve">242.76</w:t>
            </w:r>
          </w:p>
        </w:tc>
        <w:tc>
          <w:tcPr>
            <w:tcW w:w="1160" w:type="dxa"/>
            <w:tcBorders/>
            <w:vAlign w:val="center"/>
          </w:tcPr>
          <w:p>
            <w:pPr>
              <w:jc w:val="right"/>
            </w:pPr>
            <w:r>
              <w:rPr>
                <w:rFonts w:ascii="宋体" w:eastAsia="宋体" w:hAnsi="宋体" w:cs="宋体"/>
                <w:b w:val="0"/>
                <w:i w:val="0"/>
                <w:color w:val="000000"/>
                <w:sz w:val="14"/>
              </w:rPr>
              <w:t xml:space="preserve">242.72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85.98</w:t>
            </w:r>
          </w:p>
        </w:tc>
        <w:tc>
          <w:tcPr>
            <w:tcW w:w="1160" w:type="dxa"/>
            <w:tcBorders/>
            <w:vAlign w:val="center"/>
          </w:tcPr>
          <w:p>
            <w:pPr>
              <w:jc w:val="right"/>
            </w:pPr>
            <w:r>
              <w:rPr>
                <w:rFonts w:ascii="宋体" w:eastAsia="宋体" w:hAnsi="宋体" w:cs="宋体"/>
                <w:b w:val="0"/>
                <w:i w:val="0"/>
                <w:color w:val="000000"/>
                <w:sz w:val="14"/>
              </w:rPr>
              <w:t xml:space="preserve">85.96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76.78</w:t>
            </w:r>
          </w:p>
        </w:tc>
        <w:tc>
          <w:tcPr>
            <w:tcW w:w="1160" w:type="dxa"/>
            <w:tcBorders/>
            <w:vAlign w:val="center"/>
          </w:tcPr>
          <w:p>
            <w:pPr>
              <w:jc w:val="right"/>
            </w:pPr>
            <w:r>
              <w:rPr>
                <w:rFonts w:ascii="宋体" w:eastAsia="宋体" w:hAnsi="宋体" w:cs="宋体"/>
                <w:b w:val="0"/>
                <w:i w:val="0"/>
                <w:color w:val="000000"/>
                <w:sz w:val="14"/>
              </w:rPr>
              <w:t xml:space="preserve">76.78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80.00</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51.00</w:t>
            </w:r>
          </w:p>
        </w:tc>
        <w:tc>
          <w:tcPr>
            <w:tcW w:w="1160" w:type="dxa"/>
            <w:tcBorders/>
            <w:vAlign w:val="center"/>
          </w:tcPr>
          <w:p>
            <w:pPr>
              <w:jc w:val="right"/>
            </w:pPr>
            <w:r>
              <w:rPr>
                <w:rFonts w:ascii="宋体" w:eastAsia="宋体" w:hAnsi="宋体" w:cs="宋体"/>
                <w:b w:val="0"/>
                <w:i w:val="0"/>
                <w:color w:val="000000"/>
                <w:sz w:val="14"/>
              </w:rPr>
              <w:t xml:space="preserve">51.00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4.76</w:t>
            </w:r>
          </w:p>
        </w:tc>
        <w:tc>
          <w:tcPr>
            <w:tcW w:w="1160" w:type="dxa"/>
            <w:tcBorders/>
            <w:vAlign w:val="center"/>
          </w:tcPr>
          <w:p>
            <w:pPr>
              <w:jc w:val="right"/>
            </w:pPr>
            <w:r>
              <w:rPr>
                <w:rFonts w:ascii="宋体" w:eastAsia="宋体" w:hAnsi="宋体" w:cs="宋体"/>
                <w:b w:val="0"/>
                <w:i w:val="0"/>
                <w:color w:val="000000"/>
                <w:sz w:val="14"/>
              </w:rPr>
              <w:t xml:space="preserve">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jc w:val="right"/>
            </w:pPr>
            <w:r>
              <w:rPr>
                <w:rFonts w:ascii="宋体" w:eastAsia="宋体" w:hAnsi="宋体" w:cs="宋体"/>
                <w:b w:val="0"/>
                <w:i w:val="0"/>
                <w:color w:val="000000"/>
                <w:sz w:val="14"/>
              </w:rPr>
              <w:t xml:space="preserve">18.42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1,352.01</w:t>
            </w:r>
          </w:p>
        </w:tc>
        <w:tc>
          <w:tcPr>
            <w:tcW w:w="1120" w:type="dxa"/>
            <w:tcBorders/>
            <w:vAlign w:val="center"/>
          </w:tcPr>
          <w:p>
            <w:pPr>
              <w:jc w:val="right"/>
            </w:pPr>
            <w:r>
              <w:rPr>
                <w:rFonts w:ascii="宋体" w:eastAsia="宋体" w:hAnsi="宋体" w:cs="宋体"/>
                <w:b/>
                <w:i w:val="0"/>
                <w:color w:val="000000"/>
                <w:sz w:val="16"/>
              </w:rPr>
              <w:t xml:space="preserve">221.87</w:t>
            </w:r>
          </w:p>
        </w:tc>
        <w:tc>
          <w:tcPr>
            <w:tcW w:w="1120" w:type="dxa"/>
            <w:tcBorders/>
            <w:vAlign w:val="center"/>
          </w:tcPr>
          <w:p>
            <w:pPr>
              <w:jc w:val="right"/>
            </w:pPr>
            <w:r>
              <w:rPr>
                <w:rFonts w:ascii="宋体" w:eastAsia="宋体" w:hAnsi="宋体" w:cs="宋体"/>
                <w:b/>
                <w:i w:val="0"/>
                <w:color w:val="000000"/>
                <w:sz w:val="16"/>
              </w:rPr>
              <w:t xml:space="preserve">1,130.15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1,282.57</w:t>
            </w:r>
          </w:p>
        </w:tc>
        <w:tc>
          <w:tcPr>
            <w:tcW w:w="1120" w:type="dxa"/>
            <w:tcBorders/>
            <w:vAlign w:val="center"/>
          </w:tcPr>
          <w:p>
            <w:pPr>
              <w:jc w:val="right"/>
            </w:pPr>
            <w:r>
              <w:rPr>
                <w:rFonts w:ascii="宋体" w:eastAsia="宋体" w:hAnsi="宋体" w:cs="宋体"/>
                <w:b w:val="0"/>
                <w:i w:val="0"/>
                <w:color w:val="000000"/>
                <w:sz w:val="16"/>
              </w:rPr>
              <w:t xml:space="preserve">194.51</w:t>
            </w:r>
          </w:p>
        </w:tc>
        <w:tc>
          <w:tcPr>
            <w:tcW w:w="1120" w:type="dxa"/>
            <w:tcBorders/>
            <w:vAlign w:val="center"/>
          </w:tcPr>
          <w:p>
            <w:pPr>
              <w:jc w:val="right"/>
            </w:pPr>
            <w:r>
              <w:rPr>
                <w:rFonts w:ascii="宋体" w:eastAsia="宋体" w:hAnsi="宋体" w:cs="宋体"/>
                <w:b w:val="0"/>
                <w:i w:val="0"/>
                <w:color w:val="000000"/>
                <w:sz w:val="16"/>
              </w:rPr>
              <w:t xml:space="preserve">1,088.06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26.95</w:t>
            </w:r>
          </w:p>
        </w:tc>
        <w:tc>
          <w:tcPr>
            <w:tcW w:w="1120" w:type="dxa"/>
            <w:tcBorders/>
            <w:vAlign w:val="center"/>
          </w:tcPr>
          <w:p>
            <w:pPr>
              <w:jc w:val="right"/>
            </w:pPr>
            <w:r>
              <w:rPr>
                <w:rFonts w:ascii="宋体" w:eastAsia="宋体" w:hAnsi="宋体" w:cs="宋体"/>
                <w:b w:val="0"/>
                <w:i w:val="0"/>
                <w:color w:val="000000"/>
                <w:sz w:val="16"/>
              </w:rPr>
              <w:t xml:space="preserve">26.95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22.86</w:t>
            </w:r>
          </w:p>
        </w:tc>
        <w:tc>
          <w:tcPr>
            <w:tcW w:w="1120" w:type="dxa"/>
            <w:tcBorders/>
            <w:vAlign w:val="center"/>
          </w:tcPr>
          <w:p>
            <w:pPr>
              <w:jc w:val="right"/>
            </w:pPr>
            <w:r>
              <w:rPr>
                <w:rFonts w:ascii="宋体" w:eastAsia="宋体" w:hAnsi="宋体" w:cs="宋体"/>
                <w:b w:val="0"/>
                <w:i w:val="0"/>
                <w:color w:val="000000"/>
                <w:sz w:val="16"/>
              </w:rPr>
              <w:t xml:space="preserve">22.86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4.09</w:t>
            </w:r>
          </w:p>
        </w:tc>
        <w:tc>
          <w:tcPr>
            <w:tcW w:w="1120" w:type="dxa"/>
            <w:tcBorders/>
            <w:vAlign w:val="center"/>
          </w:tcPr>
          <w:p>
            <w:pPr>
              <w:jc w:val="right"/>
            </w:pPr>
            <w:r>
              <w:rPr>
                <w:rFonts w:ascii="宋体" w:eastAsia="宋体" w:hAnsi="宋体" w:cs="宋体"/>
                <w:b w:val="0"/>
                <w:i w:val="0"/>
                <w:color w:val="000000"/>
                <w:sz w:val="16"/>
              </w:rPr>
              <w:t xml:space="preserve">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946.66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946.66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946.66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946.66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65.87</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64.62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46.27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军队移交政府的离退休人员安置</w:t>
            </w: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军队移交政府离退休干部管理机构</w:t>
            </w:r>
          </w:p>
        </w:tc>
        <w:tc>
          <w:tcPr>
            <w:tcW w:w="1120" w:type="dxa"/>
            <w:tcBorders/>
            <w:vAlign w:val="center"/>
          </w:tcPr>
          <w:p>
            <w:pPr>
              <w:jc w:val="right"/>
            </w:pPr>
            <w:r>
              <w:rPr>
                <w:rFonts w:ascii="宋体" w:eastAsia="宋体" w:hAnsi="宋体" w:cs="宋体"/>
                <w:b w:val="0"/>
                <w:i w:val="0"/>
                <w:color w:val="000000"/>
                <w:sz w:val="16"/>
              </w:rPr>
              <w:t xml:space="preserve">9.04</w:t>
            </w:r>
          </w:p>
        </w:tc>
        <w:tc>
          <w:tcPr>
            <w:tcW w:w="1120" w:type="dxa"/>
            <w:tcBorders/>
            <w:vAlign w:val="center"/>
          </w:tcPr>
          <w:p>
            <w:pPr>
              <w:jc w:val="right"/>
            </w:pPr>
            <w:r>
              <w:rPr>
                <w:rFonts w:ascii="宋体" w:eastAsia="宋体" w:hAnsi="宋体" w:cs="宋体"/>
                <w:b w:val="0"/>
                <w:i w:val="0"/>
                <w:color w:val="000000"/>
                <w:sz w:val="16"/>
              </w:rPr>
              <w:t xml:space="preserve">1.25</w:t>
            </w:r>
          </w:p>
        </w:tc>
        <w:tc>
          <w:tcPr>
            <w:tcW w:w="1120" w:type="dxa"/>
            <w:tcBorders/>
            <w:vAlign w:val="center"/>
          </w:tcPr>
          <w:p>
            <w:pPr>
              <w:jc w:val="right"/>
            </w:pPr>
            <w:r>
              <w:rPr>
                <w:rFonts w:ascii="宋体" w:eastAsia="宋体" w:hAnsi="宋体" w:cs="宋体"/>
                <w:b w:val="0"/>
                <w:i w:val="0"/>
                <w:color w:val="000000"/>
                <w:sz w:val="16"/>
              </w:rPr>
              <w:t xml:space="preserve">7.79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其他退役安置支出</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退役军人管理事务</w:t>
            </w:r>
          </w:p>
        </w:tc>
        <w:tc>
          <w:tcPr>
            <w:tcW w:w="1120" w:type="dxa"/>
            <w:tcBorders/>
            <w:vAlign w:val="center"/>
          </w:tcPr>
          <w:p>
            <w:pPr>
              <w:jc w:val="right"/>
            </w:pPr>
            <w:r>
              <w:rPr>
                <w:rFonts w:ascii="宋体" w:eastAsia="宋体" w:hAnsi="宋体" w:cs="宋体"/>
                <w:b w:val="0"/>
                <w:i w:val="0"/>
                <w:color w:val="000000"/>
                <w:sz w:val="16"/>
              </w:rPr>
              <w:t xml:space="preserve">242.73</w:t>
            </w:r>
          </w:p>
        </w:tc>
        <w:tc>
          <w:tcPr>
            <w:tcW w:w="1120" w:type="dxa"/>
            <w:tcBorders/>
            <w:vAlign w:val="center"/>
          </w:tcPr>
          <w:p>
            <w:pPr>
              <w:jc w:val="right"/>
            </w:pPr>
            <w:r>
              <w:rPr>
                <w:rFonts w:ascii="宋体" w:eastAsia="宋体" w:hAnsi="宋体" w:cs="宋体"/>
                <w:b w:val="0"/>
                <w:i w:val="0"/>
                <w:color w:val="000000"/>
                <w:sz w:val="16"/>
              </w:rPr>
              <w:t xml:space="preserve">165.95</w:t>
            </w:r>
          </w:p>
        </w:tc>
        <w:tc>
          <w:tcPr>
            <w:tcW w:w="1120" w:type="dxa"/>
            <w:tcBorders/>
            <w:vAlign w:val="center"/>
          </w:tcPr>
          <w:p>
            <w:pPr>
              <w:jc w:val="right"/>
            </w:pPr>
            <w:r>
              <w:rPr>
                <w:rFonts w:ascii="宋体" w:eastAsia="宋体" w:hAnsi="宋体" w:cs="宋体"/>
                <w:b w:val="0"/>
                <w:i w:val="0"/>
                <w:color w:val="000000"/>
                <w:sz w:val="16"/>
              </w:rPr>
              <w:t xml:space="preserve">76.78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85.97</w:t>
            </w:r>
          </w:p>
        </w:tc>
        <w:tc>
          <w:tcPr>
            <w:tcW w:w="1120" w:type="dxa"/>
            <w:tcBorders/>
            <w:vAlign w:val="center"/>
          </w:tcPr>
          <w:p>
            <w:pPr>
              <w:jc w:val="right"/>
            </w:pPr>
            <w:r>
              <w:rPr>
                <w:rFonts w:ascii="宋体" w:eastAsia="宋体" w:hAnsi="宋体" w:cs="宋体"/>
                <w:b w:val="0"/>
                <w:i w:val="0"/>
                <w:color w:val="000000"/>
                <w:sz w:val="16"/>
              </w:rPr>
              <w:t xml:space="preserve">85.97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76.78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51.00</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4.76</w:t>
            </w:r>
          </w:p>
        </w:tc>
        <w:tc>
          <w:tcPr>
            <w:tcW w:w="1120" w:type="dxa"/>
            <w:tcBorders/>
            <w:vAlign w:val="center"/>
          </w:tcPr>
          <w:p>
            <w:pPr>
              <w:jc w:val="right"/>
            </w:pPr>
            <w:r>
              <w:rPr>
                <w:rFonts w:ascii="宋体" w:eastAsia="宋体" w:hAnsi="宋体" w:cs="宋体"/>
                <w:b w:val="0"/>
                <w:i w:val="0"/>
                <w:color w:val="000000"/>
                <w:sz w:val="16"/>
              </w:rPr>
              <w:t xml:space="preserve">4.76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jc w:val="right"/>
            </w:pPr>
            <w:r>
              <w:rPr>
                <w:rFonts w:ascii="宋体" w:eastAsia="宋体" w:hAnsi="宋体" w:cs="宋体"/>
                <w:b w:val="0"/>
                <w:i w:val="0"/>
                <w:color w:val="000000"/>
                <w:sz w:val="16"/>
              </w:rPr>
              <w:t xml:space="preserve">18.42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1,282.57</w:t>
            </w:r>
          </w:p>
        </w:tc>
        <w:tc>
          <w:tcPr>
            <w:tcW w:w="1100" w:type="dxa"/>
            <w:tcBorders/>
            <w:vAlign w:val="center"/>
          </w:tcPr>
          <w:p>
            <w:pPr>
              <w:jc w:val="right"/>
            </w:pPr>
            <w:r>
              <w:rPr>
                <w:rFonts w:ascii="宋体" w:eastAsia="宋体" w:hAnsi="宋体" w:cs="宋体"/>
                <w:b w:val="0"/>
                <w:i w:val="0"/>
                <w:color w:val="000000"/>
                <w:sz w:val="14"/>
              </w:rPr>
              <w:t xml:space="preserve">1,282.57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51.01</w:t>
            </w:r>
          </w:p>
        </w:tc>
        <w:tc>
          <w:tcPr>
            <w:tcW w:w="1100" w:type="dxa"/>
            <w:tcBorders/>
            <w:vAlign w:val="center"/>
          </w:tcPr>
          <w:p>
            <w:pPr>
              <w:jc w:val="right"/>
            </w:pPr>
            <w:r>
              <w:rPr>
                <w:rFonts w:ascii="宋体" w:eastAsia="宋体" w:hAnsi="宋体" w:cs="宋体"/>
                <w:b w:val="0"/>
                <w:i w:val="0"/>
                <w:color w:val="000000"/>
                <w:sz w:val="14"/>
              </w:rPr>
              <w:t xml:space="preserve">51.01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18.42</w:t>
            </w:r>
          </w:p>
        </w:tc>
        <w:tc>
          <w:tcPr>
            <w:tcW w:w="1100" w:type="dxa"/>
            <w:tcBorders/>
            <w:vAlign w:val="center"/>
          </w:tcPr>
          <w:p>
            <w:pPr>
              <w:jc w:val="right"/>
            </w:pPr>
            <w:r>
              <w:rPr>
                <w:rFonts w:ascii="宋体" w:eastAsia="宋体" w:hAnsi="宋体" w:cs="宋体"/>
                <w:b w:val="0"/>
                <w:i w:val="0"/>
                <w:color w:val="000000"/>
                <w:sz w:val="14"/>
              </w:rPr>
              <w:t xml:space="preserve">18.42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1100" w:type="dxa"/>
            <w:tcBorders/>
            <w:vAlign w:val="center"/>
          </w:tcPr>
          <w:p>
            <w:pPr>
              <w:jc w:val="right"/>
            </w:pPr>
            <w:r>
              <w:rPr>
                <w:rFonts w:ascii="宋体" w:eastAsia="宋体" w:hAnsi="宋体" w:cs="宋体"/>
                <w:b w:val="0"/>
                <w:i w:val="0"/>
                <w:color w:val="000000"/>
                <w:sz w:val="14"/>
              </w:rPr>
              <w:t xml:space="preserve">1,352.00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1,352.00</w:t>
            </w:r>
          </w:p>
        </w:tc>
        <w:tc>
          <w:tcPr>
            <w:tcW w:w="1980" w:type="dxa"/>
            <w:tcBorders/>
            <w:vAlign w:val="center"/>
          </w:tcPr>
          <w:p>
            <w:pPr>
              <w:jc w:val="right"/>
            </w:pPr>
            <w:r>
              <w:rPr>
                <w:rFonts w:ascii="宋体" w:eastAsia="宋体" w:hAnsi="宋体" w:cs="宋体"/>
                <w:b/>
                <w:i w:val="0"/>
                <w:color w:val="000000"/>
                <w:sz w:val="20"/>
              </w:rPr>
              <w:t xml:space="preserve">221.86</w:t>
            </w:r>
          </w:p>
        </w:tc>
        <w:tc>
          <w:tcPr>
            <w:tcW w:w="1952" w:type="dxa"/>
            <w:tcBorders/>
            <w:vAlign w:val="center"/>
          </w:tcPr>
          <w:p>
            <w:pPr>
              <w:jc w:val="right"/>
            </w:pPr>
            <w:r>
              <w:rPr>
                <w:rFonts w:ascii="宋体" w:eastAsia="宋体" w:hAnsi="宋体" w:cs="宋体"/>
                <w:b/>
                <w:i w:val="0"/>
                <w:color w:val="000000"/>
                <w:sz w:val="20"/>
              </w:rPr>
              <w:t xml:space="preserve">1,130.15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1,282.56</w:t>
            </w:r>
          </w:p>
        </w:tc>
        <w:tc>
          <w:tcPr>
            <w:tcW w:w="1980" w:type="dxa"/>
            <w:tcBorders/>
            <w:vAlign w:val="center"/>
          </w:tcPr>
          <w:p>
            <w:pPr>
              <w:jc w:val="right"/>
            </w:pPr>
            <w:r>
              <w:rPr>
                <w:rFonts w:ascii="宋体" w:eastAsia="宋体" w:hAnsi="宋体" w:cs="宋体"/>
                <w:b w:val="0"/>
                <w:i w:val="0"/>
                <w:color w:val="000000"/>
                <w:sz w:val="20"/>
              </w:rPr>
              <w:t xml:space="preserve">194.50</w:t>
            </w:r>
          </w:p>
        </w:tc>
        <w:tc>
          <w:tcPr>
            <w:tcW w:w="1952" w:type="dxa"/>
            <w:tcBorders/>
            <w:vAlign w:val="center"/>
          </w:tcPr>
          <w:p>
            <w:pPr>
              <w:jc w:val="right"/>
            </w:pPr>
            <w:r>
              <w:rPr>
                <w:rFonts w:ascii="宋体" w:eastAsia="宋体" w:hAnsi="宋体" w:cs="宋体"/>
                <w:b w:val="0"/>
                <w:i w:val="0"/>
                <w:color w:val="000000"/>
                <w:sz w:val="20"/>
              </w:rPr>
              <w:t xml:space="preserve">1,088.06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26.95</w:t>
            </w:r>
          </w:p>
        </w:tc>
        <w:tc>
          <w:tcPr>
            <w:tcW w:w="1980" w:type="dxa"/>
            <w:tcBorders/>
            <w:vAlign w:val="center"/>
          </w:tcPr>
          <w:p>
            <w:pPr>
              <w:jc w:val="right"/>
            </w:pPr>
            <w:r>
              <w:rPr>
                <w:rFonts w:ascii="宋体" w:eastAsia="宋体" w:hAnsi="宋体" w:cs="宋体"/>
                <w:b w:val="0"/>
                <w:i w:val="0"/>
                <w:color w:val="000000"/>
                <w:sz w:val="20"/>
              </w:rPr>
              <w:t xml:space="preserve">26.95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22.86</w:t>
            </w:r>
          </w:p>
        </w:tc>
        <w:tc>
          <w:tcPr>
            <w:tcW w:w="1980" w:type="dxa"/>
            <w:tcBorders/>
            <w:vAlign w:val="center"/>
          </w:tcPr>
          <w:p>
            <w:pPr>
              <w:jc w:val="right"/>
            </w:pPr>
            <w:r>
              <w:rPr>
                <w:rFonts w:ascii="宋体" w:eastAsia="宋体" w:hAnsi="宋体" w:cs="宋体"/>
                <w:b w:val="0"/>
                <w:i w:val="0"/>
                <w:color w:val="000000"/>
                <w:sz w:val="20"/>
              </w:rPr>
              <w:t xml:space="preserve">22.86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4.09</w:t>
            </w:r>
          </w:p>
        </w:tc>
        <w:tc>
          <w:tcPr>
            <w:tcW w:w="1980" w:type="dxa"/>
            <w:tcBorders/>
            <w:vAlign w:val="center"/>
          </w:tcPr>
          <w:p>
            <w:pPr>
              <w:jc w:val="right"/>
            </w:pPr>
            <w:r>
              <w:rPr>
                <w:rFonts w:ascii="宋体" w:eastAsia="宋体" w:hAnsi="宋体" w:cs="宋体"/>
                <w:b w:val="0"/>
                <w:i w:val="0"/>
                <w:color w:val="000000"/>
                <w:sz w:val="20"/>
              </w:rPr>
              <w:t xml:space="preserve">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946.66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946.66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946.66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946.66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65.87</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64.62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46.27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军队移交政府的离退休人员安置</w:t>
            </w:r>
          </w:p>
        </w:tc>
        <w:tc>
          <w:tcPr>
            <w:tcW w:w="1980" w:type="dxa"/>
            <w:tcBorders/>
            <w:vAlign w:val="center"/>
          </w:tcPr>
          <w:p>
            <w:pPr>
              <w:jc w:val="right"/>
            </w:pPr>
            <w:r>
              <w:rPr>
                <w:rFonts w:ascii="宋体" w:eastAsia="宋体" w:hAnsi="宋体" w:cs="宋体"/>
                <w:b w:val="0"/>
                <w:i w:val="0"/>
                <w:color w:val="000000"/>
                <w:sz w:val="20"/>
              </w:rPr>
              <w:t xml:space="preserve">6.26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军队移交政府离退休干部管理机构</w:t>
            </w:r>
          </w:p>
        </w:tc>
        <w:tc>
          <w:tcPr>
            <w:tcW w:w="1980" w:type="dxa"/>
            <w:tcBorders/>
            <w:vAlign w:val="center"/>
          </w:tcPr>
          <w:p>
            <w:pPr>
              <w:jc w:val="right"/>
            </w:pPr>
            <w:r>
              <w:rPr>
                <w:rFonts w:ascii="宋体" w:eastAsia="宋体" w:hAnsi="宋体" w:cs="宋体"/>
                <w:b w:val="0"/>
                <w:i w:val="0"/>
                <w:color w:val="000000"/>
                <w:sz w:val="20"/>
              </w:rPr>
              <w:t xml:space="preserve">9.04</w:t>
            </w:r>
          </w:p>
        </w:tc>
        <w:tc>
          <w:tcPr>
            <w:tcW w:w="1980" w:type="dxa"/>
            <w:tcBorders/>
            <w:vAlign w:val="center"/>
          </w:tcPr>
          <w:p>
            <w:pPr>
              <w:jc w:val="right"/>
            </w:pPr>
            <w:r>
              <w:rPr>
                <w:rFonts w:ascii="宋体" w:eastAsia="宋体" w:hAnsi="宋体" w:cs="宋体"/>
                <w:b w:val="0"/>
                <w:i w:val="0"/>
                <w:color w:val="000000"/>
                <w:sz w:val="20"/>
              </w:rPr>
              <w:t xml:space="preserve">1.25</w:t>
            </w:r>
          </w:p>
        </w:tc>
        <w:tc>
          <w:tcPr>
            <w:tcW w:w="1952" w:type="dxa"/>
            <w:tcBorders/>
            <w:vAlign w:val="center"/>
          </w:tcPr>
          <w:p>
            <w:pPr>
              <w:jc w:val="right"/>
            </w:pPr>
            <w:r>
              <w:rPr>
                <w:rFonts w:ascii="宋体" w:eastAsia="宋体" w:hAnsi="宋体" w:cs="宋体"/>
                <w:b w:val="0"/>
                <w:i w:val="0"/>
                <w:color w:val="000000"/>
                <w:sz w:val="20"/>
              </w:rPr>
              <w:t xml:space="preserve">7.79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其他退役安置支出</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退役军人管理事务</w:t>
            </w:r>
          </w:p>
        </w:tc>
        <w:tc>
          <w:tcPr>
            <w:tcW w:w="1980" w:type="dxa"/>
            <w:tcBorders/>
            <w:vAlign w:val="center"/>
          </w:tcPr>
          <w:p>
            <w:pPr>
              <w:jc w:val="right"/>
            </w:pPr>
            <w:r>
              <w:rPr>
                <w:rFonts w:ascii="宋体" w:eastAsia="宋体" w:hAnsi="宋体" w:cs="宋体"/>
                <w:b w:val="0"/>
                <w:i w:val="0"/>
                <w:color w:val="000000"/>
                <w:sz w:val="20"/>
              </w:rPr>
              <w:t xml:space="preserve">242.72</w:t>
            </w:r>
          </w:p>
        </w:tc>
        <w:tc>
          <w:tcPr>
            <w:tcW w:w="1980" w:type="dxa"/>
            <w:tcBorders/>
            <w:vAlign w:val="center"/>
          </w:tcPr>
          <w:p>
            <w:pPr>
              <w:jc w:val="right"/>
            </w:pPr>
            <w:r>
              <w:rPr>
                <w:rFonts w:ascii="宋体" w:eastAsia="宋体" w:hAnsi="宋体" w:cs="宋体"/>
                <w:b w:val="0"/>
                <w:i w:val="0"/>
                <w:color w:val="000000"/>
                <w:sz w:val="20"/>
              </w:rPr>
              <w:t xml:space="preserve">165.94</w:t>
            </w:r>
          </w:p>
        </w:tc>
        <w:tc>
          <w:tcPr>
            <w:tcW w:w="1952" w:type="dxa"/>
            <w:tcBorders/>
            <w:vAlign w:val="center"/>
          </w:tcPr>
          <w:p>
            <w:pPr>
              <w:jc w:val="right"/>
            </w:pPr>
            <w:r>
              <w:rPr>
                <w:rFonts w:ascii="宋体" w:eastAsia="宋体" w:hAnsi="宋体" w:cs="宋体"/>
                <w:b w:val="0"/>
                <w:i w:val="0"/>
                <w:color w:val="000000"/>
                <w:sz w:val="20"/>
              </w:rPr>
              <w:t xml:space="preserve">76.78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85.96</w:t>
            </w:r>
          </w:p>
        </w:tc>
        <w:tc>
          <w:tcPr>
            <w:tcW w:w="1980" w:type="dxa"/>
            <w:tcBorders/>
            <w:vAlign w:val="center"/>
          </w:tcPr>
          <w:p>
            <w:pPr>
              <w:jc w:val="right"/>
            </w:pPr>
            <w:r>
              <w:rPr>
                <w:rFonts w:ascii="宋体" w:eastAsia="宋体" w:hAnsi="宋体" w:cs="宋体"/>
                <w:b w:val="0"/>
                <w:i w:val="0"/>
                <w:color w:val="000000"/>
                <w:sz w:val="20"/>
              </w:rPr>
              <w:t xml:space="preserve">85.96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76.78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76.78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51.00</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42.08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4.76</w:t>
            </w:r>
          </w:p>
        </w:tc>
        <w:tc>
          <w:tcPr>
            <w:tcW w:w="1980" w:type="dxa"/>
            <w:tcBorders/>
            <w:vAlign w:val="center"/>
          </w:tcPr>
          <w:p>
            <w:pPr>
              <w:jc w:val="right"/>
            </w:pPr>
            <w:r>
              <w:rPr>
                <w:rFonts w:ascii="宋体" w:eastAsia="宋体" w:hAnsi="宋体" w:cs="宋体"/>
                <w:b w:val="0"/>
                <w:i w:val="0"/>
                <w:color w:val="000000"/>
                <w:sz w:val="20"/>
              </w:rPr>
              <w:t xml:space="preserve">4.76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42.08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42.08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80" w:type="dxa"/>
            <w:tcBorders/>
            <w:vAlign w:val="center"/>
          </w:tcPr>
          <w:p>
            <w:pPr>
              <w:jc w:val="right"/>
            </w:pPr>
            <w:r>
              <w:rPr>
                <w:rFonts w:ascii="宋体" w:eastAsia="宋体" w:hAnsi="宋体" w:cs="宋体"/>
                <w:b w:val="0"/>
                <w:i w:val="0"/>
                <w:color w:val="000000"/>
                <w:sz w:val="20"/>
              </w:rPr>
              <w:t xml:space="preserve">18.42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202.00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18.60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79.72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23.63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12.51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31.48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22.86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4.09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8.82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1.71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6.05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203.25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18.60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1.71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043001盘锦市大洼区退役军人事务局本级-211104000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8.64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89.8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1.移交安置工作：做好部分退役士兵社保接续工作，完善退役军人创业扶持和就业保障机制。2.做好抚恤优待工作：定期发放优抚补助金，保障优抚对象生活水平略高于当地的平均生活水平 。3.双拥工作：通过开展双拥创建等活动，进一步树立双拥工作理念，发挥红色爱国主义教育作用。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全省创建示范型退役军人服务站挂牌率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95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患者满意度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95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建立拥军优属长效机制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有效建立</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043002盘锦市大洼区退役军人事务服务中心-211104000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8.03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91.42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保障职工工资的正常发放，保障工作的正常进行。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设备利用率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职工群众满意率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建立健全</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