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辽宁省盘锦市大洼区审计局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辽宁省盘锦市大洼区审计局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辽宁省盘锦市大洼区审计局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辽宁省盘锦市大洼区审计局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辽宁省盘锦市大洼区审计局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辽宁省盘锦市大洼区审计局概况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审计，对国家、省、市和区有关重大政策措施落实情况进行跟踪审计。对审计、专项审计调查和核查社会审计机构相关审计报告的结果承担责任，并负有督促被审计单位整改的责任。</w:t>
        <w:br/>
        <w:t xml:space="preserve">    二、机构设置</w:t>
        <w:br/>
        <w:t xml:space="preserve">    根据本部门主要职责，内设机构如下：</w:t>
        <w:br/>
        <w:t xml:space="preserve">    （一）综合办公室</w:t>
        <w:br/>
        <w:t xml:space="preserve">    协助局领导综合协调局机关日常工作；组织各种会议和学习并做好相关记录；起草审计工作规划、计划、年度审计工作总结和重要会议材料；负责审计成果统计、审计信息、审计信息化建设、综合调研、政务公开、公文审核以及编撰审计年鉴。</w:t>
        <w:br/>
        <w:t xml:space="preserve">    （二）财政投资审计室</w:t>
        <w:br/>
        <w:t xml:space="preserve">    负责审计区财政局具体组织区级预算执行情况以及财政局所属单位的财政财务收支；负责组织、协调、管理对区政府投资和以区政府投资为主的建设项目实施工程预算、工程结算和竣工决算审计；开展相关专项审计和审计调查。</w:t>
        <w:br/>
        <w:t xml:space="preserve">    （三）行政事业审计室</w:t>
        <w:br/>
        <w:t xml:space="preserve">    负责审计区直党政群团组织及其下属单位的财务收支；负责审计区政府主管部门，街镇政府及其部门委托管理的教育、科学、文化、卫生、体育专项资金；开展相关专项审计和审计调查。负责审计区政府有关部门，街镇管理的和其他单位受区政府及其部门委托管理的农业、资源能源、环境保护等专项资金、社会保障资金、社会捐赠资金以及其他有关基金、资金。</w:t>
        <w:br/>
        <w:t xml:space="preserve">    （四）经济责任审计室</w:t>
        <w:br/>
        <w:t xml:space="preserve">    贯彻落实中央、省、市有关经济责任审计的政策规定；在区委、区政府的领导下，负责对区党政机关群众团体主要负责人、区属国有及国有资产占控股地位的企业法人代表任期经济责任审计。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辽宁省盘锦市大洼区审计局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盘锦市大洼区审计局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271.00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239.87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88.51</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239.87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24.73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9.13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主要是市审计局拨经费等收入。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6.41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主要是市审计局拨经费、利息款等。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减少19.46万元，降低6.70%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无死亡抚恤金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252.70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224.15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88.70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工资福利支出183.11万元；商品和服务支出21.37万元；对个人和家庭的补助5.87万元；资本性支出13.79万元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28.55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11.30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主要包括市审计局拨经费等业务支出。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减少31.35万元，降低11.04%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无死亡抚恤金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18.30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主要是市审计局拨经费、利息款等原因形成的结余。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增加11.90万元，增长185.73%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市审计局拨经费增加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239.87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211.32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28.55</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减少42.90万元，降低15.17%</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无死亡抚恤金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100.98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104.33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81.56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2023年度一般公共预算财政拨款支出239.87万元。按支出功能分类科目分，包括：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1.一般公共服务支出187.91万元，具体包括：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（1）一般公共服务支出（类）审计事务（款）行政运行（项）159.36万元,主要是人员经费和公用经费等支出，完成年初预算的106%，决算数与年初预算数存在差异的主要原因是人员经费和公用经费增加。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（2）一般公共服务支出（类）审计事务（款）一般行政管理事务（项）28.55万元,主要是审计业务经费等支出，完成年初预算的82%，决算数与年初预算数存在差异的主要原因是审计业务减少。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2.社会保障和就业支出26.64万元，具体包括：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5.85万元,主要是退休独生子女费和取暖费等支出，完成年初预算的104%，决算数与年初预算数存在差异的主要原因是人员级别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20.31万元,主要是职工养老保险等支出，完成年初预算的101%，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（3）社会保障和就业支出（类）其他社会保障和就业支出（款）其他社会保障和就业支出（项）0.48万元,主要是工伤保险等支出，完成年初预算的185%，决算数与年初预算数存在差异的主要原因是保险基数调整。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（1）卫生健康支出（类）行政事业单位医疗（款）行政单位医疗（项）7.87万元,主要是医疗保险等支出，完成年初预算的89%，决算数与年初预算数存在差异的主要原因是保险基数调整。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（2）卫生健康支出（类）行政事业单位医疗（款）其他行政事业单位医疗支出（项）0.19万元,主要是职工大额医疗保险等支出，完成年初预算的100%，决算数与年初预算数存在差异的主要原因是无差异。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4.住房保障支出17.25万元，具体包括：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（1）住房保障支出（类）住房改革支出（款）住房公积金（项）17.25万元,主要是住房公积金等支出，完成年初预算的105%，决算数与年初预算数存在差异的主要原因是基数调整。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2.43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97.20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2.43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2.43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97.20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比上年减少0.07万元，降低2.80%</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业务活动减少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2.43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主要用于车辆保险及维修维护等，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211.31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188.98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22.33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22.34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比上年增加0.57万元，增长2.62%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公用经费增加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 机要通信用车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1.预算绩效管理工作开展情况。</w:t>
        <w:br/>
        <w:t xml:space="preserve">    （1）绩效自评情况。根据预算绩效管理要求，我部门组织对2023年度预算项目支出全面开展绩效自评，共涉及预算支出项目1个，涉及资金28.55万元，自评覆盖率（开展绩效自评的项目数/年初批复绩效目标的项目数）达到100%，自评平均分（开展绩效自评的项目分数总和/开展绩效自评的项目数）99.5分。组织对1个单位开展整体绩效自评，涉及资金202.55万元，自评平均分99.5分。</w:t>
        <w:br/>
        <w:t xml:space="preserve">    （2）部门评价情况。我部门组织对“审计业务经费”等1个项目开展了部门评价，涉及资金28.55万元。</w:t>
        <w:br/>
        <w:t xml:space="preserve">    2.部门决算中项目绩效自评结果。</w:t>
        <w:br/>
        <w:t xml:space="preserve">    （1）“审计业务经费”项目自评综述：根据年初设定的绩效目标，项目自评得分99.5分。项目年初预算数为35万元，执行数为28.55万元，完成预算的82%。项目绩效目标完成情况：一是提高软件日常应用稳定性;二是确保各预算单位日常进行财务运作;三是确保各预算单位进行预决算分析与运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16.一般公共服务支出（类）审计事务（款）行政运行（项）：反映行政单位（包括实行公务员管理的事业单位）的基本支出。</w:t>
        <w:br/>
        <w:t xml:space="preserve">    17.一般公共服务支出（类）审计事务（款）一般行政管理事务（项）：反映行政单位（包括实行公务员管理的事业单位）未单独设置项级科目的其他项目支出。</w:t>
        <w:br/>
        <w:t xml:space="preserve">    18.社会保障和就业支出（类）行政事业单位离退休（款）行政单位离退休（项）：反映实行归口管理的行政单位开支的离退休经费。</w:t>
        <w:br/>
        <w:t xml:space="preserve">    19.社会保障和就业支出（类）行政事业单位养老支出（款）机关事业单位基本养老保险缴费支出（项）：反映机关事业单位实施养老保险制度由于单位缴纳的基本养老保险费用的支出</w:t>
        <w:br/>
        <w:t xml:space="preserve">    20.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239.87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200.74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24.73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26.65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17.25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264.59</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252.70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6.41</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18.30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271.00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271.00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264.59</w:t>
            </w:r>
          </w:p>
        </w:tc>
        <w:tc>
          <w:tcPr>
            <w:tcW w:w="1160" w:type="dxa"/>
            <w:tcBorders/>
            <w:vAlign w:val="center"/>
          </w:tcPr>
          <w:p>
            <w:pPr>
              <w:jc w:val="right"/>
            </w:pPr>
            <w:r>
              <w:rPr>
                <w:rFonts w:ascii="宋体" w:eastAsia="宋体" w:hAnsi="宋体" w:cs="宋体"/>
                <w:b/>
                <w:i w:val="0"/>
                <w:color w:val="000000"/>
                <w:sz w:val="14"/>
              </w:rPr>
              <w:t xml:space="preserve">239.87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24.73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212.64</w:t>
            </w:r>
          </w:p>
        </w:tc>
        <w:tc>
          <w:tcPr>
            <w:tcW w:w="1160" w:type="dxa"/>
            <w:tcBorders/>
            <w:vAlign w:val="center"/>
          </w:tcPr>
          <w:p>
            <w:pPr>
              <w:jc w:val="right"/>
            </w:pPr>
            <w:r>
              <w:rPr>
                <w:rFonts w:ascii="宋体" w:eastAsia="宋体" w:hAnsi="宋体" w:cs="宋体"/>
                <w:b w:val="0"/>
                <w:i w:val="0"/>
                <w:color w:val="000000"/>
                <w:sz w:val="14"/>
              </w:rPr>
              <w:t xml:space="preserve">187.91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24.73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审计事务</w:t>
            </w:r>
          </w:p>
        </w:tc>
        <w:tc>
          <w:tcPr>
            <w:tcW w:w="1160" w:type="dxa"/>
            <w:tcBorders/>
            <w:vAlign w:val="center"/>
          </w:tcPr>
          <w:p>
            <w:pPr>
              <w:jc w:val="right"/>
            </w:pPr>
            <w:r>
              <w:rPr>
                <w:rFonts w:ascii="宋体" w:eastAsia="宋体" w:hAnsi="宋体" w:cs="宋体"/>
                <w:b w:val="0"/>
                <w:i w:val="0"/>
                <w:color w:val="000000"/>
                <w:sz w:val="14"/>
              </w:rPr>
              <w:t xml:space="preserve">212.64</w:t>
            </w:r>
          </w:p>
        </w:tc>
        <w:tc>
          <w:tcPr>
            <w:tcW w:w="1160" w:type="dxa"/>
            <w:tcBorders/>
            <w:vAlign w:val="center"/>
          </w:tcPr>
          <w:p>
            <w:pPr>
              <w:jc w:val="right"/>
            </w:pPr>
            <w:r>
              <w:rPr>
                <w:rFonts w:ascii="宋体" w:eastAsia="宋体" w:hAnsi="宋体" w:cs="宋体"/>
                <w:b w:val="0"/>
                <w:i w:val="0"/>
                <w:color w:val="000000"/>
                <w:sz w:val="14"/>
              </w:rPr>
              <w:t xml:space="preserve">187.91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24.73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184.09</w:t>
            </w:r>
          </w:p>
        </w:tc>
        <w:tc>
          <w:tcPr>
            <w:tcW w:w="1160" w:type="dxa"/>
            <w:tcBorders/>
            <w:vAlign w:val="center"/>
          </w:tcPr>
          <w:p>
            <w:pPr>
              <w:jc w:val="right"/>
            </w:pPr>
            <w:r>
              <w:rPr>
                <w:rFonts w:ascii="宋体" w:eastAsia="宋体" w:hAnsi="宋体" w:cs="宋体"/>
                <w:b w:val="0"/>
                <w:i w:val="0"/>
                <w:color w:val="000000"/>
                <w:sz w:val="14"/>
              </w:rPr>
              <w:t xml:space="preserve">159.36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24.73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28.55</w:t>
            </w:r>
          </w:p>
        </w:tc>
        <w:tc>
          <w:tcPr>
            <w:tcW w:w="1160" w:type="dxa"/>
            <w:tcBorders/>
            <w:vAlign w:val="center"/>
          </w:tcPr>
          <w:p>
            <w:pPr>
              <w:jc w:val="right"/>
            </w:pPr>
            <w:r>
              <w:rPr>
                <w:rFonts w:ascii="宋体" w:eastAsia="宋体" w:hAnsi="宋体" w:cs="宋体"/>
                <w:b w:val="0"/>
                <w:i w:val="0"/>
                <w:color w:val="000000"/>
                <w:sz w:val="14"/>
              </w:rPr>
              <w:t xml:space="preserve">28.55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26.64</w:t>
            </w:r>
          </w:p>
        </w:tc>
        <w:tc>
          <w:tcPr>
            <w:tcW w:w="1160" w:type="dxa"/>
            <w:tcBorders/>
            <w:vAlign w:val="center"/>
          </w:tcPr>
          <w:p>
            <w:pPr>
              <w:jc w:val="right"/>
            </w:pPr>
            <w:r>
              <w:rPr>
                <w:rFonts w:ascii="宋体" w:eastAsia="宋体" w:hAnsi="宋体" w:cs="宋体"/>
                <w:b w:val="0"/>
                <w:i w:val="0"/>
                <w:color w:val="000000"/>
                <w:sz w:val="14"/>
              </w:rPr>
              <w:t xml:space="preserve">26.64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26.16</w:t>
            </w:r>
          </w:p>
        </w:tc>
        <w:tc>
          <w:tcPr>
            <w:tcW w:w="1160" w:type="dxa"/>
            <w:tcBorders/>
            <w:vAlign w:val="center"/>
          </w:tcPr>
          <w:p>
            <w:pPr>
              <w:jc w:val="right"/>
            </w:pPr>
            <w:r>
              <w:rPr>
                <w:rFonts w:ascii="宋体" w:eastAsia="宋体" w:hAnsi="宋体" w:cs="宋体"/>
                <w:b w:val="0"/>
                <w:i w:val="0"/>
                <w:color w:val="000000"/>
                <w:sz w:val="14"/>
              </w:rPr>
              <w:t xml:space="preserve">26.16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jc w:val="right"/>
            </w:pPr>
            <w:r>
              <w:rPr>
                <w:rFonts w:ascii="宋体" w:eastAsia="宋体" w:hAnsi="宋体" w:cs="宋体"/>
                <w:b w:val="0"/>
                <w:i w:val="0"/>
                <w:color w:val="000000"/>
                <w:sz w:val="14"/>
              </w:rPr>
              <w:t xml:space="preserve">5.85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20.31</w:t>
            </w:r>
          </w:p>
        </w:tc>
        <w:tc>
          <w:tcPr>
            <w:tcW w:w="1160" w:type="dxa"/>
            <w:tcBorders/>
            <w:vAlign w:val="center"/>
          </w:tcPr>
          <w:p>
            <w:pPr>
              <w:jc w:val="right"/>
            </w:pPr>
            <w:r>
              <w:rPr>
                <w:rFonts w:ascii="宋体" w:eastAsia="宋体" w:hAnsi="宋体" w:cs="宋体"/>
                <w:b w:val="0"/>
                <w:i w:val="0"/>
                <w:color w:val="000000"/>
                <w:sz w:val="14"/>
              </w:rPr>
              <w:t xml:space="preserve">20.31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jc w:val="right"/>
            </w:pPr>
            <w:r>
              <w:rPr>
                <w:rFonts w:ascii="宋体" w:eastAsia="宋体" w:hAnsi="宋体" w:cs="宋体"/>
                <w:b w:val="0"/>
                <w:i w:val="0"/>
                <w:color w:val="000000"/>
                <w:sz w:val="14"/>
              </w:rPr>
              <w:t xml:space="preserve">0.48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jc w:val="right"/>
            </w:pPr>
            <w:r>
              <w:rPr>
                <w:rFonts w:ascii="宋体" w:eastAsia="宋体" w:hAnsi="宋体" w:cs="宋体"/>
                <w:b w:val="0"/>
                <w:i w:val="0"/>
                <w:color w:val="000000"/>
                <w:sz w:val="14"/>
              </w:rPr>
              <w:t xml:space="preserve">8.06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7.87</w:t>
            </w:r>
          </w:p>
        </w:tc>
        <w:tc>
          <w:tcPr>
            <w:tcW w:w="1160" w:type="dxa"/>
            <w:tcBorders/>
            <w:vAlign w:val="center"/>
          </w:tcPr>
          <w:p>
            <w:pPr>
              <w:jc w:val="right"/>
            </w:pPr>
            <w:r>
              <w:rPr>
                <w:rFonts w:ascii="宋体" w:eastAsia="宋体" w:hAnsi="宋体" w:cs="宋体"/>
                <w:b w:val="0"/>
                <w:i w:val="0"/>
                <w:color w:val="000000"/>
                <w:sz w:val="14"/>
              </w:rPr>
              <w:t xml:space="preserve">7.87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jc w:val="right"/>
            </w:pPr>
            <w:r>
              <w:rPr>
                <w:rFonts w:ascii="宋体" w:eastAsia="宋体" w:hAnsi="宋体" w:cs="宋体"/>
                <w:b w:val="0"/>
                <w:i w:val="0"/>
                <w:color w:val="000000"/>
                <w:sz w:val="14"/>
              </w:rPr>
              <w:t xml:space="preserve">17.25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252.70</w:t>
            </w:r>
          </w:p>
        </w:tc>
        <w:tc>
          <w:tcPr>
            <w:tcW w:w="1120" w:type="dxa"/>
            <w:tcBorders/>
            <w:vAlign w:val="center"/>
          </w:tcPr>
          <w:p>
            <w:pPr>
              <w:jc w:val="right"/>
            </w:pPr>
            <w:r>
              <w:rPr>
                <w:rFonts w:ascii="宋体" w:eastAsia="宋体" w:hAnsi="宋体" w:cs="宋体"/>
                <w:b/>
                <w:i w:val="0"/>
                <w:color w:val="000000"/>
                <w:sz w:val="16"/>
              </w:rPr>
              <w:t xml:space="preserve">224.15</w:t>
            </w:r>
          </w:p>
        </w:tc>
        <w:tc>
          <w:tcPr>
            <w:tcW w:w="1120" w:type="dxa"/>
            <w:tcBorders/>
            <w:vAlign w:val="center"/>
          </w:tcPr>
          <w:p>
            <w:pPr>
              <w:jc w:val="right"/>
            </w:pPr>
            <w:r>
              <w:rPr>
                <w:rFonts w:ascii="宋体" w:eastAsia="宋体" w:hAnsi="宋体" w:cs="宋体"/>
                <w:b/>
                <w:i w:val="0"/>
                <w:color w:val="000000"/>
                <w:sz w:val="16"/>
              </w:rPr>
              <w:t xml:space="preserve">28.55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200.74</w:t>
            </w:r>
          </w:p>
        </w:tc>
        <w:tc>
          <w:tcPr>
            <w:tcW w:w="1120" w:type="dxa"/>
            <w:tcBorders/>
            <w:vAlign w:val="center"/>
          </w:tcPr>
          <w:p>
            <w:pPr>
              <w:jc w:val="right"/>
            </w:pPr>
            <w:r>
              <w:rPr>
                <w:rFonts w:ascii="宋体" w:eastAsia="宋体" w:hAnsi="宋体" w:cs="宋体"/>
                <w:b w:val="0"/>
                <w:i w:val="0"/>
                <w:color w:val="000000"/>
                <w:sz w:val="16"/>
              </w:rPr>
              <w:t xml:space="preserve">172.19</w:t>
            </w:r>
          </w:p>
        </w:tc>
        <w:tc>
          <w:tcPr>
            <w:tcW w:w="1120" w:type="dxa"/>
            <w:tcBorders/>
            <w:vAlign w:val="center"/>
          </w:tcPr>
          <w:p>
            <w:pPr>
              <w:jc w:val="right"/>
            </w:pPr>
            <w:r>
              <w:rPr>
                <w:rFonts w:ascii="宋体" w:eastAsia="宋体" w:hAnsi="宋体" w:cs="宋体"/>
                <w:b w:val="0"/>
                <w:i w:val="0"/>
                <w:color w:val="000000"/>
                <w:sz w:val="16"/>
              </w:rPr>
              <w:t xml:space="preserve">28.55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审计事务</w:t>
            </w:r>
          </w:p>
        </w:tc>
        <w:tc>
          <w:tcPr>
            <w:tcW w:w="1120" w:type="dxa"/>
            <w:tcBorders/>
            <w:vAlign w:val="center"/>
          </w:tcPr>
          <w:p>
            <w:pPr>
              <w:jc w:val="right"/>
            </w:pPr>
            <w:r>
              <w:rPr>
                <w:rFonts w:ascii="宋体" w:eastAsia="宋体" w:hAnsi="宋体" w:cs="宋体"/>
                <w:b w:val="0"/>
                <w:i w:val="0"/>
                <w:color w:val="000000"/>
                <w:sz w:val="16"/>
              </w:rPr>
              <w:t xml:space="preserve">200.74</w:t>
            </w:r>
          </w:p>
        </w:tc>
        <w:tc>
          <w:tcPr>
            <w:tcW w:w="1120" w:type="dxa"/>
            <w:tcBorders/>
            <w:vAlign w:val="center"/>
          </w:tcPr>
          <w:p>
            <w:pPr>
              <w:jc w:val="right"/>
            </w:pPr>
            <w:r>
              <w:rPr>
                <w:rFonts w:ascii="宋体" w:eastAsia="宋体" w:hAnsi="宋体" w:cs="宋体"/>
                <w:b w:val="0"/>
                <w:i w:val="0"/>
                <w:color w:val="000000"/>
                <w:sz w:val="16"/>
              </w:rPr>
              <w:t xml:space="preserve">172.19</w:t>
            </w:r>
          </w:p>
        </w:tc>
        <w:tc>
          <w:tcPr>
            <w:tcW w:w="1120" w:type="dxa"/>
            <w:tcBorders/>
            <w:vAlign w:val="center"/>
          </w:tcPr>
          <w:p>
            <w:pPr>
              <w:jc w:val="right"/>
            </w:pPr>
            <w:r>
              <w:rPr>
                <w:rFonts w:ascii="宋体" w:eastAsia="宋体" w:hAnsi="宋体" w:cs="宋体"/>
                <w:b w:val="0"/>
                <w:i w:val="0"/>
                <w:color w:val="000000"/>
                <w:sz w:val="16"/>
              </w:rPr>
              <w:t xml:space="preserve">28.55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172.19</w:t>
            </w:r>
          </w:p>
        </w:tc>
        <w:tc>
          <w:tcPr>
            <w:tcW w:w="1120" w:type="dxa"/>
            <w:tcBorders/>
            <w:vAlign w:val="center"/>
          </w:tcPr>
          <w:p>
            <w:pPr>
              <w:jc w:val="right"/>
            </w:pPr>
            <w:r>
              <w:rPr>
                <w:rFonts w:ascii="宋体" w:eastAsia="宋体" w:hAnsi="宋体" w:cs="宋体"/>
                <w:b w:val="0"/>
                <w:i w:val="0"/>
                <w:color w:val="000000"/>
                <w:sz w:val="16"/>
              </w:rPr>
              <w:t xml:space="preserve">172.19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28.55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28.55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26.64</w:t>
            </w:r>
          </w:p>
        </w:tc>
        <w:tc>
          <w:tcPr>
            <w:tcW w:w="1120" w:type="dxa"/>
            <w:tcBorders/>
            <w:vAlign w:val="center"/>
          </w:tcPr>
          <w:p>
            <w:pPr>
              <w:jc w:val="right"/>
            </w:pPr>
            <w:r>
              <w:rPr>
                <w:rFonts w:ascii="宋体" w:eastAsia="宋体" w:hAnsi="宋体" w:cs="宋体"/>
                <w:b w:val="0"/>
                <w:i w:val="0"/>
                <w:color w:val="000000"/>
                <w:sz w:val="16"/>
              </w:rPr>
              <w:t xml:space="preserve">26.64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26.16</w:t>
            </w:r>
          </w:p>
        </w:tc>
        <w:tc>
          <w:tcPr>
            <w:tcW w:w="1120" w:type="dxa"/>
            <w:tcBorders/>
            <w:vAlign w:val="center"/>
          </w:tcPr>
          <w:p>
            <w:pPr>
              <w:jc w:val="right"/>
            </w:pPr>
            <w:r>
              <w:rPr>
                <w:rFonts w:ascii="宋体" w:eastAsia="宋体" w:hAnsi="宋体" w:cs="宋体"/>
                <w:b w:val="0"/>
                <w:i w:val="0"/>
                <w:color w:val="000000"/>
                <w:sz w:val="16"/>
              </w:rPr>
              <w:t xml:space="preserve">26.16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jc w:val="right"/>
            </w:pPr>
            <w:r>
              <w:rPr>
                <w:rFonts w:ascii="宋体" w:eastAsia="宋体" w:hAnsi="宋体" w:cs="宋体"/>
                <w:b w:val="0"/>
                <w:i w:val="0"/>
                <w:color w:val="000000"/>
                <w:sz w:val="16"/>
              </w:rPr>
              <w:t xml:space="preserve">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20.31</w:t>
            </w:r>
          </w:p>
        </w:tc>
        <w:tc>
          <w:tcPr>
            <w:tcW w:w="1120" w:type="dxa"/>
            <w:tcBorders/>
            <w:vAlign w:val="center"/>
          </w:tcPr>
          <w:p>
            <w:pPr>
              <w:jc w:val="right"/>
            </w:pPr>
            <w:r>
              <w:rPr>
                <w:rFonts w:ascii="宋体" w:eastAsia="宋体" w:hAnsi="宋体" w:cs="宋体"/>
                <w:b w:val="0"/>
                <w:i w:val="0"/>
                <w:color w:val="000000"/>
                <w:sz w:val="16"/>
              </w:rPr>
              <w:t xml:space="preserve">20.31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jc w:val="right"/>
            </w:pPr>
            <w:r>
              <w:rPr>
                <w:rFonts w:ascii="宋体" w:eastAsia="宋体" w:hAnsi="宋体" w:cs="宋体"/>
                <w:b w:val="0"/>
                <w:i w:val="0"/>
                <w:color w:val="000000"/>
                <w:sz w:val="16"/>
              </w:rPr>
              <w:t xml:space="preserve">0.48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jc w:val="right"/>
            </w:pPr>
            <w:r>
              <w:rPr>
                <w:rFonts w:ascii="宋体" w:eastAsia="宋体" w:hAnsi="宋体" w:cs="宋体"/>
                <w:b w:val="0"/>
                <w:i w:val="0"/>
                <w:color w:val="000000"/>
                <w:sz w:val="16"/>
              </w:rPr>
              <w:t xml:space="preserve">8.06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7.87</w:t>
            </w:r>
          </w:p>
        </w:tc>
        <w:tc>
          <w:tcPr>
            <w:tcW w:w="1120" w:type="dxa"/>
            <w:tcBorders/>
            <w:vAlign w:val="center"/>
          </w:tcPr>
          <w:p>
            <w:pPr>
              <w:jc w:val="right"/>
            </w:pPr>
            <w:r>
              <w:rPr>
                <w:rFonts w:ascii="宋体" w:eastAsia="宋体" w:hAnsi="宋体" w:cs="宋体"/>
                <w:b w:val="0"/>
                <w:i w:val="0"/>
                <w:color w:val="000000"/>
                <w:sz w:val="16"/>
              </w:rPr>
              <w:t xml:space="preserve">7.87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jc w:val="right"/>
            </w:pPr>
            <w:r>
              <w:rPr>
                <w:rFonts w:ascii="宋体" w:eastAsia="宋体" w:hAnsi="宋体" w:cs="宋体"/>
                <w:b w:val="0"/>
                <w:i w:val="0"/>
                <w:color w:val="000000"/>
                <w:sz w:val="16"/>
              </w:rPr>
              <w:t xml:space="preserve">17.25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187.91</w:t>
            </w:r>
          </w:p>
        </w:tc>
        <w:tc>
          <w:tcPr>
            <w:tcW w:w="1100" w:type="dxa"/>
            <w:tcBorders/>
            <w:vAlign w:val="center"/>
          </w:tcPr>
          <w:p>
            <w:pPr>
              <w:jc w:val="right"/>
            </w:pPr>
            <w:r>
              <w:rPr>
                <w:rFonts w:ascii="宋体" w:eastAsia="宋体" w:hAnsi="宋体" w:cs="宋体"/>
                <w:b w:val="0"/>
                <w:i w:val="0"/>
                <w:color w:val="000000"/>
                <w:sz w:val="14"/>
              </w:rPr>
              <w:t xml:space="preserve">187.91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26.65</w:t>
            </w:r>
          </w:p>
        </w:tc>
        <w:tc>
          <w:tcPr>
            <w:tcW w:w="1100" w:type="dxa"/>
            <w:tcBorders/>
            <w:vAlign w:val="center"/>
          </w:tcPr>
          <w:p>
            <w:pPr>
              <w:jc w:val="right"/>
            </w:pPr>
            <w:r>
              <w:rPr>
                <w:rFonts w:ascii="宋体" w:eastAsia="宋体" w:hAnsi="宋体" w:cs="宋体"/>
                <w:b w:val="0"/>
                <w:i w:val="0"/>
                <w:color w:val="000000"/>
                <w:sz w:val="14"/>
              </w:rPr>
              <w:t xml:space="preserve">26.65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8.06</w:t>
            </w:r>
          </w:p>
        </w:tc>
        <w:tc>
          <w:tcPr>
            <w:tcW w:w="1100" w:type="dxa"/>
            <w:tcBorders/>
            <w:vAlign w:val="center"/>
          </w:tcPr>
          <w:p>
            <w:pPr>
              <w:jc w:val="right"/>
            </w:pPr>
            <w:r>
              <w:rPr>
                <w:rFonts w:ascii="宋体" w:eastAsia="宋体" w:hAnsi="宋体" w:cs="宋体"/>
                <w:b w:val="0"/>
                <w:i w:val="0"/>
                <w:color w:val="000000"/>
                <w:sz w:val="14"/>
              </w:rPr>
              <w:t xml:space="preserve">8.06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17.25</w:t>
            </w:r>
          </w:p>
        </w:tc>
        <w:tc>
          <w:tcPr>
            <w:tcW w:w="1100" w:type="dxa"/>
            <w:tcBorders/>
            <w:vAlign w:val="center"/>
          </w:tcPr>
          <w:p>
            <w:pPr>
              <w:jc w:val="right"/>
            </w:pPr>
            <w:r>
              <w:rPr>
                <w:rFonts w:ascii="宋体" w:eastAsia="宋体" w:hAnsi="宋体" w:cs="宋体"/>
                <w:b w:val="0"/>
                <w:i w:val="0"/>
                <w:color w:val="000000"/>
                <w:sz w:val="14"/>
              </w:rPr>
              <w:t xml:space="preserve">17.25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1100" w:type="dxa"/>
            <w:tcBorders/>
            <w:vAlign w:val="center"/>
          </w:tcPr>
          <w:p>
            <w:pPr>
              <w:jc w:val="right"/>
            </w:pPr>
            <w:r>
              <w:rPr>
                <w:rFonts w:ascii="宋体" w:eastAsia="宋体" w:hAnsi="宋体" w:cs="宋体"/>
                <w:b w:val="0"/>
                <w:i w:val="0"/>
                <w:color w:val="000000"/>
                <w:sz w:val="14"/>
              </w:rPr>
              <w:t xml:space="preserve">239.87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239.87</w:t>
            </w:r>
          </w:p>
        </w:tc>
        <w:tc>
          <w:tcPr>
            <w:tcW w:w="1980" w:type="dxa"/>
            <w:tcBorders/>
            <w:vAlign w:val="center"/>
          </w:tcPr>
          <w:p>
            <w:pPr>
              <w:jc w:val="right"/>
            </w:pPr>
            <w:r>
              <w:rPr>
                <w:rFonts w:ascii="宋体" w:eastAsia="宋体" w:hAnsi="宋体" w:cs="宋体"/>
                <w:b/>
                <w:i w:val="0"/>
                <w:color w:val="000000"/>
                <w:sz w:val="20"/>
              </w:rPr>
              <w:t xml:space="preserve">211.32</w:t>
            </w:r>
          </w:p>
        </w:tc>
        <w:tc>
          <w:tcPr>
            <w:tcW w:w="1952" w:type="dxa"/>
            <w:tcBorders/>
            <w:vAlign w:val="center"/>
          </w:tcPr>
          <w:p>
            <w:pPr>
              <w:jc w:val="right"/>
            </w:pPr>
            <w:r>
              <w:rPr>
                <w:rFonts w:ascii="宋体" w:eastAsia="宋体" w:hAnsi="宋体" w:cs="宋体"/>
                <w:b/>
                <w:i w:val="0"/>
                <w:color w:val="000000"/>
                <w:sz w:val="20"/>
              </w:rPr>
              <w:t xml:space="preserve">28.55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187.91</w:t>
            </w:r>
          </w:p>
        </w:tc>
        <w:tc>
          <w:tcPr>
            <w:tcW w:w="1980" w:type="dxa"/>
            <w:tcBorders/>
            <w:vAlign w:val="center"/>
          </w:tcPr>
          <w:p>
            <w:pPr>
              <w:jc w:val="right"/>
            </w:pPr>
            <w:r>
              <w:rPr>
                <w:rFonts w:ascii="宋体" w:eastAsia="宋体" w:hAnsi="宋体" w:cs="宋体"/>
                <w:b w:val="0"/>
                <w:i w:val="0"/>
                <w:color w:val="000000"/>
                <w:sz w:val="20"/>
              </w:rPr>
              <w:t xml:space="preserve">159.36</w:t>
            </w:r>
          </w:p>
        </w:tc>
        <w:tc>
          <w:tcPr>
            <w:tcW w:w="1952" w:type="dxa"/>
            <w:tcBorders/>
            <w:vAlign w:val="center"/>
          </w:tcPr>
          <w:p>
            <w:pPr>
              <w:jc w:val="right"/>
            </w:pPr>
            <w:r>
              <w:rPr>
                <w:rFonts w:ascii="宋体" w:eastAsia="宋体" w:hAnsi="宋体" w:cs="宋体"/>
                <w:b w:val="0"/>
                <w:i w:val="0"/>
                <w:color w:val="000000"/>
                <w:sz w:val="20"/>
              </w:rPr>
              <w:t xml:space="preserve">28.55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审计事务</w:t>
            </w:r>
          </w:p>
        </w:tc>
        <w:tc>
          <w:tcPr>
            <w:tcW w:w="1980" w:type="dxa"/>
            <w:tcBorders/>
            <w:vAlign w:val="center"/>
          </w:tcPr>
          <w:p>
            <w:pPr>
              <w:jc w:val="right"/>
            </w:pPr>
            <w:r>
              <w:rPr>
                <w:rFonts w:ascii="宋体" w:eastAsia="宋体" w:hAnsi="宋体" w:cs="宋体"/>
                <w:b w:val="0"/>
                <w:i w:val="0"/>
                <w:color w:val="000000"/>
                <w:sz w:val="20"/>
              </w:rPr>
              <w:t xml:space="preserve">187.91</w:t>
            </w:r>
          </w:p>
        </w:tc>
        <w:tc>
          <w:tcPr>
            <w:tcW w:w="1980" w:type="dxa"/>
            <w:tcBorders/>
            <w:vAlign w:val="center"/>
          </w:tcPr>
          <w:p>
            <w:pPr>
              <w:jc w:val="right"/>
            </w:pPr>
            <w:r>
              <w:rPr>
                <w:rFonts w:ascii="宋体" w:eastAsia="宋体" w:hAnsi="宋体" w:cs="宋体"/>
                <w:b w:val="0"/>
                <w:i w:val="0"/>
                <w:color w:val="000000"/>
                <w:sz w:val="20"/>
              </w:rPr>
              <w:t xml:space="preserve">159.36</w:t>
            </w:r>
          </w:p>
        </w:tc>
        <w:tc>
          <w:tcPr>
            <w:tcW w:w="1952" w:type="dxa"/>
            <w:tcBorders/>
            <w:vAlign w:val="center"/>
          </w:tcPr>
          <w:p>
            <w:pPr>
              <w:jc w:val="right"/>
            </w:pPr>
            <w:r>
              <w:rPr>
                <w:rFonts w:ascii="宋体" w:eastAsia="宋体" w:hAnsi="宋体" w:cs="宋体"/>
                <w:b w:val="0"/>
                <w:i w:val="0"/>
                <w:color w:val="000000"/>
                <w:sz w:val="20"/>
              </w:rPr>
              <w:t xml:space="preserve">28.55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159.36</w:t>
            </w:r>
          </w:p>
        </w:tc>
        <w:tc>
          <w:tcPr>
            <w:tcW w:w="1980" w:type="dxa"/>
            <w:tcBorders/>
            <w:vAlign w:val="center"/>
          </w:tcPr>
          <w:p>
            <w:pPr>
              <w:jc w:val="right"/>
            </w:pPr>
            <w:r>
              <w:rPr>
                <w:rFonts w:ascii="宋体" w:eastAsia="宋体" w:hAnsi="宋体" w:cs="宋体"/>
                <w:b w:val="0"/>
                <w:i w:val="0"/>
                <w:color w:val="000000"/>
                <w:sz w:val="20"/>
              </w:rPr>
              <w:t xml:space="preserve">159.36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28.55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28.55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26.64</w:t>
            </w:r>
          </w:p>
        </w:tc>
        <w:tc>
          <w:tcPr>
            <w:tcW w:w="1980" w:type="dxa"/>
            <w:tcBorders/>
            <w:vAlign w:val="center"/>
          </w:tcPr>
          <w:p>
            <w:pPr>
              <w:jc w:val="right"/>
            </w:pPr>
            <w:r>
              <w:rPr>
                <w:rFonts w:ascii="宋体" w:eastAsia="宋体" w:hAnsi="宋体" w:cs="宋体"/>
                <w:b w:val="0"/>
                <w:i w:val="0"/>
                <w:color w:val="000000"/>
                <w:sz w:val="20"/>
              </w:rPr>
              <w:t xml:space="preserve">26.64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26.16</w:t>
            </w:r>
          </w:p>
        </w:tc>
        <w:tc>
          <w:tcPr>
            <w:tcW w:w="1980" w:type="dxa"/>
            <w:tcBorders/>
            <w:vAlign w:val="center"/>
          </w:tcPr>
          <w:p>
            <w:pPr>
              <w:jc w:val="right"/>
            </w:pPr>
            <w:r>
              <w:rPr>
                <w:rFonts w:ascii="宋体" w:eastAsia="宋体" w:hAnsi="宋体" w:cs="宋体"/>
                <w:b w:val="0"/>
                <w:i w:val="0"/>
                <w:color w:val="000000"/>
                <w:sz w:val="20"/>
              </w:rPr>
              <w:t xml:space="preserve">26.16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80" w:type="dxa"/>
            <w:tcBorders/>
            <w:vAlign w:val="center"/>
          </w:tcPr>
          <w:p>
            <w:pPr>
              <w:jc w:val="right"/>
            </w:pPr>
            <w:r>
              <w:rPr>
                <w:rFonts w:ascii="宋体" w:eastAsia="宋体" w:hAnsi="宋体" w:cs="宋体"/>
                <w:b w:val="0"/>
                <w:i w:val="0"/>
                <w:color w:val="000000"/>
                <w:sz w:val="20"/>
              </w:rPr>
              <w:t xml:space="preserve">5.85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20.31</w:t>
            </w:r>
          </w:p>
        </w:tc>
        <w:tc>
          <w:tcPr>
            <w:tcW w:w="1980" w:type="dxa"/>
            <w:tcBorders/>
            <w:vAlign w:val="center"/>
          </w:tcPr>
          <w:p>
            <w:pPr>
              <w:jc w:val="right"/>
            </w:pPr>
            <w:r>
              <w:rPr>
                <w:rFonts w:ascii="宋体" w:eastAsia="宋体" w:hAnsi="宋体" w:cs="宋体"/>
                <w:b w:val="0"/>
                <w:i w:val="0"/>
                <w:color w:val="000000"/>
                <w:sz w:val="20"/>
              </w:rPr>
              <w:t xml:space="preserve">20.31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80" w:type="dxa"/>
            <w:tcBorders/>
            <w:vAlign w:val="center"/>
          </w:tcPr>
          <w:p>
            <w:pPr>
              <w:jc w:val="right"/>
            </w:pPr>
            <w:r>
              <w:rPr>
                <w:rFonts w:ascii="宋体" w:eastAsia="宋体" w:hAnsi="宋体" w:cs="宋体"/>
                <w:b w:val="0"/>
                <w:i w:val="0"/>
                <w:color w:val="000000"/>
                <w:sz w:val="20"/>
              </w:rPr>
              <w:t xml:space="preserve">0.48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80" w:type="dxa"/>
            <w:tcBorders/>
            <w:vAlign w:val="center"/>
          </w:tcPr>
          <w:p>
            <w:pPr>
              <w:jc w:val="right"/>
            </w:pPr>
            <w:r>
              <w:rPr>
                <w:rFonts w:ascii="宋体" w:eastAsia="宋体" w:hAnsi="宋体" w:cs="宋体"/>
                <w:b w:val="0"/>
                <w:i w:val="0"/>
                <w:color w:val="000000"/>
                <w:sz w:val="20"/>
              </w:rPr>
              <w:t xml:space="preserve">8.06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7.87</w:t>
            </w:r>
          </w:p>
        </w:tc>
        <w:tc>
          <w:tcPr>
            <w:tcW w:w="1980" w:type="dxa"/>
            <w:tcBorders/>
            <w:vAlign w:val="center"/>
          </w:tcPr>
          <w:p>
            <w:pPr>
              <w:jc w:val="right"/>
            </w:pPr>
            <w:r>
              <w:rPr>
                <w:rFonts w:ascii="宋体" w:eastAsia="宋体" w:hAnsi="宋体" w:cs="宋体"/>
                <w:b w:val="0"/>
                <w:i w:val="0"/>
                <w:color w:val="000000"/>
                <w:sz w:val="20"/>
              </w:rPr>
              <w:t xml:space="preserve">7.87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80" w:type="dxa"/>
            <w:tcBorders/>
            <w:vAlign w:val="center"/>
          </w:tcPr>
          <w:p>
            <w:pPr>
              <w:jc w:val="right"/>
            </w:pPr>
            <w:r>
              <w:rPr>
                <w:rFonts w:ascii="宋体" w:eastAsia="宋体" w:hAnsi="宋体" w:cs="宋体"/>
                <w:b w:val="0"/>
                <w:i w:val="0"/>
                <w:color w:val="000000"/>
                <w:sz w:val="20"/>
              </w:rPr>
              <w:t xml:space="preserve">17.25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183.11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20.34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67.89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4.52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43.04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0.79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26.08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1.99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1.99</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20.31</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7.87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17.25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5.87</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5.70</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2.43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12.12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188.98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22.33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2.43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部门：辽宁省盘锦市大洼区审计局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016001盘锦市大洼区审计局本级-211104000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165.31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0.16</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27.08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提供科学严谨的审计报告，圆满完成全区审计目标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审计人员被投诉率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主管部门满意度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对审计信息平台运行的评价和满意度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建立预算绩效管理机制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