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辽宁省盘锦市大洼区人民政府发展研究中心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辽宁省盘锦市大洼区人民政府发展研究中心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辽宁省盘锦市大洼区人民政府发展研究中心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辽宁省盘锦市大洼区人民政府发展研究中心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辽宁省盘锦市大洼区人民政府发展研究中心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辽宁省盘锦市大洼区人民政府发展研究中心概况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1、主要职能。</w:t>
        <w:br/>
        <w:t xml:space="preserve">    负责对领导关注的重点问题、群众关心的热点问题、决策落实中的难点问题和新闻媒体、互联网反映的突出问题，深入基层和一线，了解情况、发现问题、查明原因，有针对性地研究提出解决问题的对策建议；负责对区委区政府的重大决策部署进行督查调研，形成督查调研报告。</w:t>
        <w:br/>
        <w:t xml:space="preserve">    2、人民政府发展研究中心根据本部门主要职责，内设机构如下：</w:t>
        <w:br/>
        <w:t xml:space="preserve">    1.综合办公室</w:t>
        <w:br/>
        <w:t xml:space="preserve">    负责文电、信息、档案、保密、信访、会务、文字综合等工作；负责财务管理、资产管理、政府采购、财务审计等工作；负责机构编制、人事管理、离退休干部管理等工作；负责保障服务工作；负责保卫、消防等安全工作。</w:t>
        <w:br/>
        <w:t xml:space="preserve">    人员编制9名，正职1名、副职1名。</w:t>
        <w:br/>
        <w:t xml:space="preserve">    2.督查调研一室</w:t>
        <w:br/>
        <w:t xml:space="preserve">    负责采取影像记录、与群众座谈、核查相关资料等方式深入基层掌握真实第一手资料，如实准确反映工作源头情况；负责对已落实的查效果、对正在落实的查进度、对未落实的查原因，进行实地核查；负责对上级政府和区委区政府重大决策部署有形象进度要求的、全区大规模综合性督查任务，组织联合督查组对各部门的工作进展情况存在的问题，接受群众监督，促进各部门工作落实。</w:t>
        <w:br/>
        <w:t xml:space="preserve">    人员编制12名，正职1名、副职1名。</w:t>
        <w:br/>
        <w:t xml:space="preserve">    3.督查调研二室</w:t>
        <w:br/>
        <w:t xml:space="preserve">    负责对领导关注的重点问题、群众关心的热点问题、决策落实中的难点问题和新闻媒体、互联网反映的突出问题，深入基层和一线，了解情况、发现问题、查明原因，有针对性地研究提出解决问题的对策建议；负责对区委区政府的重大决策部署进行督查调研，形成督查调研报告。</w:t>
        <w:br/>
        <w:t xml:space="preserve">    人员编制11名，正职1名、副职1名。</w:t>
        <w:br/>
        <w:t xml:space="preserve">    3、人员情况，包括当年变动情况及原因。</w:t>
        <w:br/>
        <w:t xml:space="preserve">    人员情况：截止到2022年末，全中心共有干部职工34名，比2021年减少3人，原因是退休3人，退休7人。</w:t>
        <w:br/>
        <w:t xml:space="preserve">    （二）大洼区人民政府发展研究中心当年取得的主要事业成效。</w:t>
        <w:br/>
        <w:t xml:space="preserve">    一是文电、信息、档案、保密、信访、会务、文字综合等工作顺利进行；财务管理、资产管理、政府采购、财务审计等工作逐步走向正轨；机构编制、人事管理、离退休干部管理等工作逐步推进。</w:t>
        <w:br/>
        <w:t xml:space="preserve">    二是辅助区政府办公室完成工作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辽宁省盘锦市大洼区人民政府发展研究中心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大洼区人民政府发展研究中心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371.94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371.94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371.94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增加10.59万元，增长2.93%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本年日常公用经费增加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371.94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371.94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工资福利支出327.89万元；商品和服务支出15.27万元；对个人和家庭的补助28.78万元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增加10.59万元，增长2.93%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本年日常公用经费增加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主要是无等原因形成的结余。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增加0.00万元，增长596.26%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371.94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371.94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增加10.59万元，增长2.93%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本年日常公用经费增加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110.11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110.11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2023年度一般公共预算财政拨款支出371.94万元。按支出功能分类科目分，包括：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1.一般公共服务支出252.04万元，具体包括：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（1）一般公共服务支出（类）政府办公厅（室）及相关机构事务（款）事业运行（项）252.04万元,主要是人员工资、各类保险等支出，完成年初预算的98.1%，决算数与年初预算数存在差异的主要原因是人员减少。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2.社会保障和就业支出78.64万元，具体包括：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1.92万元,主要是退休人员取暖费及退休人员独生子女费等支出，完成年初预算的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35.38万元,主要是在职人员养老保险等支出，完成年初预算的96.72%，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14.21万元,主要是在职人员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（4）社会保障和就业支出（类）抚恤（款）死亡抚恤（项）26.71万元,主要是丧葬费等支出，完成年初预算的0%，决算数与年初预算数存在差异的主要原因是无年初预算。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（5）社会保障和就业支出（类）其他社会保障和就业支出（款）其他社会保障和就业支出（项）0.42万元,主要是工伤保险等支出，完成年初预算的91.3%，决算数与年初预算数存在差异的主要原因是人员减少。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3.卫生健康支出14.21万元，具体包括：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（1）卫生健康支出（类）行政事业单位医疗（款）事业单位医疗（项）14.00万元,主要是在职人员医疗保险等支出，完成年初预算的87.6%，决算数与年初预算数存在差异的主要原因是人员减少。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（2）卫生健康支出（类）行政事业单位医疗（款）其他行政事业单位医疗支出（项）0.21万元,主要是大额医疗保险等支出，完成年初预算的100%，决算数与年初预算数存在差异的主要原因是无。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4.住房保障支出27.04万元，具体包括：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（1）住房保障支出（类）住房改革支出（款）住房公积金（项）27.04万元,主要是在职人员住房公积金等支出，完成年初预算的97.44%，决算数与年初预算数存在差异的主要原因是人员减少。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371.94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356.67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15.27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(1)绩效自评情况。根据预算绩效管理要求，我部门组织对2023年度预算项目支出全面开展绩效自评，共涉及预算支出项目0个，涉及资金0万元，自评覆盖率(开展绩效自评的项目数/年初批复绩效目标的项目数) 达到100%，自评平均分(开展绩效自评的项目分数总和/开展绩效自评的项目数) 100分。组织对1个单位开展整体绩效自评，涉及资金337.8万元，自评平均分100分。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16.一般公共服务(类)财政事务(款)事业运行(项)：反映事业单位的基本支出，不包括行政单位(包括实行公务员管理的事业单位)后勤服务中心、医务室等附属事业单位。</w:t>
        <w:br/>
        <w:t xml:space="preserve">    17.一般公共服务(类)财政事务(款)其他财政事务支出(项)：反映除上述项目以外其他财政事务方面的支出。</w:t>
        <w:br/>
        <w:t xml:space="preserve">    18.社会保障和就业(类)行政事业单位离退休(款)事业单位离退休(项)：反映实行归口管理的事业单位开支的离退休经费。</w:t>
        <w:br/>
        <w:t xml:space="preserve">    19.社会保障和就业(类)行政事业单位养老支出(款)机关事业单位基本养老保险缴费支出(项)：反映机关事业单位实施养老保险制度由于单位缴纳的基本养老保险费用的支出</w:t>
        <w:br/>
        <w:t xml:space="preserve">    20.医疗卫生与计划生育(类)行政事业单位医疗(款)事业单位医疗(项)：反映财政部门集中安排的事业单位基本医疗保险缴费经费，未参加医疗保险的事业单位的公费医疗经费，按国家规定享受离休人员待遇的医疗经费。</w:t>
        <w:br/>
        <w:t xml:space="preserve">    21.住房保障 (类)住房改革(款)住房公积金(项)：反映行政事业单位按人力资源和社会保障部、财政部规定的基本工资和津贴补贴以及规定比例为职工缴纳的住房公积金。</w:t>
        <w:br/>
        <w:t xml:space="preserve">    22.社会保障和就业(类)其他社会保障和就业支出(款) 其他社会保障和就业支出(项)：反映除上述项目以外其他用于社会保障和就业方面的支出。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部门：辽宁省盘锦市大洼区人民政府发展研究中心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371.94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252.04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78.65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27.04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371.94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371.94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371.94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371.94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部门：辽宁省盘锦市大洼区人民政府发展研究中心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371.94</w:t>
            </w:r>
          </w:p>
        </w:tc>
        <w:tc>
          <w:tcPr>
            <w:tcW w:w="1160" w:type="dxa"/>
            <w:tcBorders/>
            <w:vAlign w:val="center"/>
          </w:tcPr>
          <w:p>
            <w:pPr>
              <w:jc w:val="right"/>
            </w:pPr>
            <w:r>
              <w:rPr>
                <w:rFonts w:ascii="宋体" w:eastAsia="宋体" w:hAnsi="宋体" w:cs="宋体"/>
                <w:b/>
                <w:i w:val="0"/>
                <w:color w:val="000000"/>
                <w:sz w:val="14"/>
              </w:rPr>
              <w:t xml:space="preserve">371.94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252.04</w:t>
            </w:r>
          </w:p>
        </w:tc>
        <w:tc>
          <w:tcPr>
            <w:tcW w:w="1160" w:type="dxa"/>
            <w:tcBorders/>
            <w:vAlign w:val="center"/>
          </w:tcPr>
          <w:p>
            <w:pPr>
              <w:jc w:val="right"/>
            </w:pPr>
            <w:r>
              <w:rPr>
                <w:rFonts w:ascii="宋体" w:eastAsia="宋体" w:hAnsi="宋体" w:cs="宋体"/>
                <w:b w:val="0"/>
                <w:i w:val="0"/>
                <w:color w:val="000000"/>
                <w:sz w:val="14"/>
              </w:rPr>
              <w:t xml:space="preserve">252.04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252.04</w:t>
            </w:r>
          </w:p>
        </w:tc>
        <w:tc>
          <w:tcPr>
            <w:tcW w:w="1160" w:type="dxa"/>
            <w:tcBorders/>
            <w:vAlign w:val="center"/>
          </w:tcPr>
          <w:p>
            <w:pPr>
              <w:jc w:val="right"/>
            </w:pPr>
            <w:r>
              <w:rPr>
                <w:rFonts w:ascii="宋体" w:eastAsia="宋体" w:hAnsi="宋体" w:cs="宋体"/>
                <w:b w:val="0"/>
                <w:i w:val="0"/>
                <w:color w:val="000000"/>
                <w:sz w:val="14"/>
              </w:rPr>
              <w:t xml:space="preserve">252.04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252.04</w:t>
            </w:r>
          </w:p>
        </w:tc>
        <w:tc>
          <w:tcPr>
            <w:tcW w:w="1160" w:type="dxa"/>
            <w:tcBorders/>
            <w:vAlign w:val="center"/>
          </w:tcPr>
          <w:p>
            <w:pPr>
              <w:jc w:val="right"/>
            </w:pPr>
            <w:r>
              <w:rPr>
                <w:rFonts w:ascii="宋体" w:eastAsia="宋体" w:hAnsi="宋体" w:cs="宋体"/>
                <w:b w:val="0"/>
                <w:i w:val="0"/>
                <w:color w:val="000000"/>
                <w:sz w:val="14"/>
              </w:rPr>
              <w:t xml:space="preserve">252.04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78.64</w:t>
            </w:r>
          </w:p>
        </w:tc>
        <w:tc>
          <w:tcPr>
            <w:tcW w:w="1160" w:type="dxa"/>
            <w:tcBorders/>
            <w:vAlign w:val="center"/>
          </w:tcPr>
          <w:p>
            <w:pPr>
              <w:jc w:val="right"/>
            </w:pPr>
            <w:r>
              <w:rPr>
                <w:rFonts w:ascii="宋体" w:eastAsia="宋体" w:hAnsi="宋体" w:cs="宋体"/>
                <w:b w:val="0"/>
                <w:i w:val="0"/>
                <w:color w:val="000000"/>
                <w:sz w:val="14"/>
              </w:rPr>
              <w:t xml:space="preserve">78.64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51.51</w:t>
            </w:r>
          </w:p>
        </w:tc>
        <w:tc>
          <w:tcPr>
            <w:tcW w:w="1160" w:type="dxa"/>
            <w:tcBorders/>
            <w:vAlign w:val="center"/>
          </w:tcPr>
          <w:p>
            <w:pPr>
              <w:jc w:val="right"/>
            </w:pPr>
            <w:r>
              <w:rPr>
                <w:rFonts w:ascii="宋体" w:eastAsia="宋体" w:hAnsi="宋体" w:cs="宋体"/>
                <w:b w:val="0"/>
                <w:i w:val="0"/>
                <w:color w:val="000000"/>
                <w:sz w:val="14"/>
              </w:rPr>
              <w:t xml:space="preserve">51.51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1.92</w:t>
            </w:r>
          </w:p>
        </w:tc>
        <w:tc>
          <w:tcPr>
            <w:tcW w:w="1160" w:type="dxa"/>
            <w:tcBorders/>
            <w:vAlign w:val="center"/>
          </w:tcPr>
          <w:p>
            <w:pPr>
              <w:jc w:val="right"/>
            </w:pPr>
            <w:r>
              <w:rPr>
                <w:rFonts w:ascii="宋体" w:eastAsia="宋体" w:hAnsi="宋体" w:cs="宋体"/>
                <w:b w:val="0"/>
                <w:i w:val="0"/>
                <w:color w:val="000000"/>
                <w:sz w:val="14"/>
              </w:rPr>
              <w:t xml:space="preserve">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35.38</w:t>
            </w:r>
          </w:p>
        </w:tc>
        <w:tc>
          <w:tcPr>
            <w:tcW w:w="1160" w:type="dxa"/>
            <w:tcBorders/>
            <w:vAlign w:val="center"/>
          </w:tcPr>
          <w:p>
            <w:pPr>
              <w:jc w:val="right"/>
            </w:pPr>
            <w:r>
              <w:rPr>
                <w:rFonts w:ascii="宋体" w:eastAsia="宋体" w:hAnsi="宋体" w:cs="宋体"/>
                <w:b w:val="0"/>
                <w:i w:val="0"/>
                <w:color w:val="000000"/>
                <w:sz w:val="14"/>
              </w:rPr>
              <w:t xml:space="preserve">35.38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26.71</w:t>
            </w:r>
          </w:p>
        </w:tc>
        <w:tc>
          <w:tcPr>
            <w:tcW w:w="1160" w:type="dxa"/>
            <w:tcBorders/>
            <w:vAlign w:val="center"/>
          </w:tcPr>
          <w:p>
            <w:pPr>
              <w:jc w:val="right"/>
            </w:pPr>
            <w:r>
              <w:rPr>
                <w:rFonts w:ascii="宋体" w:eastAsia="宋体" w:hAnsi="宋体" w:cs="宋体"/>
                <w:b w:val="0"/>
                <w:i w:val="0"/>
                <w:color w:val="000000"/>
                <w:sz w:val="14"/>
              </w:rPr>
              <w:t xml:space="preserve">26.71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26.71</w:t>
            </w:r>
          </w:p>
        </w:tc>
        <w:tc>
          <w:tcPr>
            <w:tcW w:w="1160" w:type="dxa"/>
            <w:tcBorders/>
            <w:vAlign w:val="center"/>
          </w:tcPr>
          <w:p>
            <w:pPr>
              <w:jc w:val="right"/>
            </w:pPr>
            <w:r>
              <w:rPr>
                <w:rFonts w:ascii="宋体" w:eastAsia="宋体" w:hAnsi="宋体" w:cs="宋体"/>
                <w:b w:val="0"/>
                <w:i w:val="0"/>
                <w:color w:val="000000"/>
                <w:sz w:val="14"/>
              </w:rPr>
              <w:t xml:space="preserve">26.71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14.00</w:t>
            </w:r>
          </w:p>
        </w:tc>
        <w:tc>
          <w:tcPr>
            <w:tcW w:w="1160" w:type="dxa"/>
            <w:tcBorders/>
            <w:vAlign w:val="center"/>
          </w:tcPr>
          <w:p>
            <w:pPr>
              <w:jc w:val="right"/>
            </w:pPr>
            <w:r>
              <w:rPr>
                <w:rFonts w:ascii="宋体" w:eastAsia="宋体" w:hAnsi="宋体" w:cs="宋体"/>
                <w:b w:val="0"/>
                <w:i w:val="0"/>
                <w:color w:val="000000"/>
                <w:sz w:val="14"/>
              </w:rPr>
              <w:t xml:space="preserve">14.00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27.04</w:t>
            </w:r>
          </w:p>
        </w:tc>
        <w:tc>
          <w:tcPr>
            <w:tcW w:w="1160" w:type="dxa"/>
            <w:tcBorders/>
            <w:vAlign w:val="center"/>
          </w:tcPr>
          <w:p>
            <w:pPr>
              <w:jc w:val="right"/>
            </w:pPr>
            <w:r>
              <w:rPr>
                <w:rFonts w:ascii="宋体" w:eastAsia="宋体" w:hAnsi="宋体" w:cs="宋体"/>
                <w:b w:val="0"/>
                <w:i w:val="0"/>
                <w:color w:val="000000"/>
                <w:sz w:val="14"/>
              </w:rPr>
              <w:t xml:space="preserve">27.04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27.04</w:t>
            </w:r>
          </w:p>
        </w:tc>
        <w:tc>
          <w:tcPr>
            <w:tcW w:w="1160" w:type="dxa"/>
            <w:tcBorders/>
            <w:vAlign w:val="center"/>
          </w:tcPr>
          <w:p>
            <w:pPr>
              <w:jc w:val="right"/>
            </w:pPr>
            <w:r>
              <w:rPr>
                <w:rFonts w:ascii="宋体" w:eastAsia="宋体" w:hAnsi="宋体" w:cs="宋体"/>
                <w:b w:val="0"/>
                <w:i w:val="0"/>
                <w:color w:val="000000"/>
                <w:sz w:val="14"/>
              </w:rPr>
              <w:t xml:space="preserve">27.04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27.04</w:t>
            </w:r>
          </w:p>
        </w:tc>
        <w:tc>
          <w:tcPr>
            <w:tcW w:w="1160" w:type="dxa"/>
            <w:tcBorders/>
            <w:vAlign w:val="center"/>
          </w:tcPr>
          <w:p>
            <w:pPr>
              <w:jc w:val="right"/>
            </w:pPr>
            <w:r>
              <w:rPr>
                <w:rFonts w:ascii="宋体" w:eastAsia="宋体" w:hAnsi="宋体" w:cs="宋体"/>
                <w:b w:val="0"/>
                <w:i w:val="0"/>
                <w:color w:val="000000"/>
                <w:sz w:val="14"/>
              </w:rPr>
              <w:t xml:space="preserve">27.04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部门：辽宁省盘锦市大洼区人民政府发展研究中心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371.94</w:t>
            </w:r>
          </w:p>
        </w:tc>
        <w:tc>
          <w:tcPr>
            <w:tcW w:w="1120" w:type="dxa"/>
            <w:tcBorders/>
            <w:vAlign w:val="center"/>
          </w:tcPr>
          <w:p>
            <w:pPr>
              <w:jc w:val="right"/>
            </w:pPr>
            <w:r>
              <w:rPr>
                <w:rFonts w:ascii="宋体" w:eastAsia="宋体" w:hAnsi="宋体" w:cs="宋体"/>
                <w:b/>
                <w:i w:val="0"/>
                <w:color w:val="000000"/>
                <w:sz w:val="16"/>
              </w:rPr>
              <w:t xml:space="preserve">371.94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252.04</w:t>
            </w:r>
          </w:p>
        </w:tc>
        <w:tc>
          <w:tcPr>
            <w:tcW w:w="1120" w:type="dxa"/>
            <w:tcBorders/>
            <w:vAlign w:val="center"/>
          </w:tcPr>
          <w:p>
            <w:pPr>
              <w:jc w:val="right"/>
            </w:pPr>
            <w:r>
              <w:rPr>
                <w:rFonts w:ascii="宋体" w:eastAsia="宋体" w:hAnsi="宋体" w:cs="宋体"/>
                <w:b w:val="0"/>
                <w:i w:val="0"/>
                <w:color w:val="000000"/>
                <w:sz w:val="16"/>
              </w:rPr>
              <w:t xml:space="preserve">252.04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252.04</w:t>
            </w:r>
          </w:p>
        </w:tc>
        <w:tc>
          <w:tcPr>
            <w:tcW w:w="1120" w:type="dxa"/>
            <w:tcBorders/>
            <w:vAlign w:val="center"/>
          </w:tcPr>
          <w:p>
            <w:pPr>
              <w:jc w:val="right"/>
            </w:pPr>
            <w:r>
              <w:rPr>
                <w:rFonts w:ascii="宋体" w:eastAsia="宋体" w:hAnsi="宋体" w:cs="宋体"/>
                <w:b w:val="0"/>
                <w:i w:val="0"/>
                <w:color w:val="000000"/>
                <w:sz w:val="16"/>
              </w:rPr>
              <w:t xml:space="preserve">252.04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252.04</w:t>
            </w:r>
          </w:p>
        </w:tc>
        <w:tc>
          <w:tcPr>
            <w:tcW w:w="1120" w:type="dxa"/>
            <w:tcBorders/>
            <w:vAlign w:val="center"/>
          </w:tcPr>
          <w:p>
            <w:pPr>
              <w:jc w:val="right"/>
            </w:pPr>
            <w:r>
              <w:rPr>
                <w:rFonts w:ascii="宋体" w:eastAsia="宋体" w:hAnsi="宋体" w:cs="宋体"/>
                <w:b w:val="0"/>
                <w:i w:val="0"/>
                <w:color w:val="000000"/>
                <w:sz w:val="16"/>
              </w:rPr>
              <w:t xml:space="preserve">252.04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78.64</w:t>
            </w:r>
          </w:p>
        </w:tc>
        <w:tc>
          <w:tcPr>
            <w:tcW w:w="1120" w:type="dxa"/>
            <w:tcBorders/>
            <w:vAlign w:val="center"/>
          </w:tcPr>
          <w:p>
            <w:pPr>
              <w:jc w:val="right"/>
            </w:pPr>
            <w:r>
              <w:rPr>
                <w:rFonts w:ascii="宋体" w:eastAsia="宋体" w:hAnsi="宋体" w:cs="宋体"/>
                <w:b w:val="0"/>
                <w:i w:val="0"/>
                <w:color w:val="000000"/>
                <w:sz w:val="16"/>
              </w:rPr>
              <w:t xml:space="preserve">78.64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51.51</w:t>
            </w:r>
          </w:p>
        </w:tc>
        <w:tc>
          <w:tcPr>
            <w:tcW w:w="1120" w:type="dxa"/>
            <w:tcBorders/>
            <w:vAlign w:val="center"/>
          </w:tcPr>
          <w:p>
            <w:pPr>
              <w:jc w:val="right"/>
            </w:pPr>
            <w:r>
              <w:rPr>
                <w:rFonts w:ascii="宋体" w:eastAsia="宋体" w:hAnsi="宋体" w:cs="宋体"/>
                <w:b w:val="0"/>
                <w:i w:val="0"/>
                <w:color w:val="000000"/>
                <w:sz w:val="16"/>
              </w:rPr>
              <w:t xml:space="preserve">51.51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1.92</w:t>
            </w:r>
          </w:p>
        </w:tc>
        <w:tc>
          <w:tcPr>
            <w:tcW w:w="1120" w:type="dxa"/>
            <w:tcBorders/>
            <w:vAlign w:val="center"/>
          </w:tcPr>
          <w:p>
            <w:pPr>
              <w:jc w:val="right"/>
            </w:pPr>
            <w:r>
              <w:rPr>
                <w:rFonts w:ascii="宋体" w:eastAsia="宋体" w:hAnsi="宋体" w:cs="宋体"/>
                <w:b w:val="0"/>
                <w:i w:val="0"/>
                <w:color w:val="000000"/>
                <w:sz w:val="16"/>
              </w:rPr>
              <w:t xml:space="preserve">1.92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35.38</w:t>
            </w:r>
          </w:p>
        </w:tc>
        <w:tc>
          <w:tcPr>
            <w:tcW w:w="1120" w:type="dxa"/>
            <w:tcBorders/>
            <w:vAlign w:val="center"/>
          </w:tcPr>
          <w:p>
            <w:pPr>
              <w:jc w:val="right"/>
            </w:pPr>
            <w:r>
              <w:rPr>
                <w:rFonts w:ascii="宋体" w:eastAsia="宋体" w:hAnsi="宋体" w:cs="宋体"/>
                <w:b w:val="0"/>
                <w:i w:val="0"/>
                <w:color w:val="000000"/>
                <w:sz w:val="16"/>
              </w:rPr>
              <w:t xml:space="preserve">35.38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26.71</w:t>
            </w:r>
          </w:p>
        </w:tc>
        <w:tc>
          <w:tcPr>
            <w:tcW w:w="1120" w:type="dxa"/>
            <w:tcBorders/>
            <w:vAlign w:val="center"/>
          </w:tcPr>
          <w:p>
            <w:pPr>
              <w:jc w:val="right"/>
            </w:pPr>
            <w:r>
              <w:rPr>
                <w:rFonts w:ascii="宋体" w:eastAsia="宋体" w:hAnsi="宋体" w:cs="宋体"/>
                <w:b w:val="0"/>
                <w:i w:val="0"/>
                <w:color w:val="000000"/>
                <w:sz w:val="16"/>
              </w:rPr>
              <w:t xml:space="preserve">26.71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26.71</w:t>
            </w:r>
          </w:p>
        </w:tc>
        <w:tc>
          <w:tcPr>
            <w:tcW w:w="1120" w:type="dxa"/>
            <w:tcBorders/>
            <w:vAlign w:val="center"/>
          </w:tcPr>
          <w:p>
            <w:pPr>
              <w:jc w:val="right"/>
            </w:pPr>
            <w:r>
              <w:rPr>
                <w:rFonts w:ascii="宋体" w:eastAsia="宋体" w:hAnsi="宋体" w:cs="宋体"/>
                <w:b w:val="0"/>
                <w:i w:val="0"/>
                <w:color w:val="000000"/>
                <w:sz w:val="16"/>
              </w:rPr>
              <w:t xml:space="preserve">26.71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14.00</w:t>
            </w:r>
          </w:p>
        </w:tc>
        <w:tc>
          <w:tcPr>
            <w:tcW w:w="1120" w:type="dxa"/>
            <w:tcBorders/>
            <w:vAlign w:val="center"/>
          </w:tcPr>
          <w:p>
            <w:pPr>
              <w:jc w:val="right"/>
            </w:pPr>
            <w:r>
              <w:rPr>
                <w:rFonts w:ascii="宋体" w:eastAsia="宋体" w:hAnsi="宋体" w:cs="宋体"/>
                <w:b w:val="0"/>
                <w:i w:val="0"/>
                <w:color w:val="000000"/>
                <w:sz w:val="16"/>
              </w:rPr>
              <w:t xml:space="preserve">14.00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27.04</w:t>
            </w:r>
          </w:p>
        </w:tc>
        <w:tc>
          <w:tcPr>
            <w:tcW w:w="1120" w:type="dxa"/>
            <w:tcBorders/>
            <w:vAlign w:val="center"/>
          </w:tcPr>
          <w:p>
            <w:pPr>
              <w:jc w:val="right"/>
            </w:pPr>
            <w:r>
              <w:rPr>
                <w:rFonts w:ascii="宋体" w:eastAsia="宋体" w:hAnsi="宋体" w:cs="宋体"/>
                <w:b w:val="0"/>
                <w:i w:val="0"/>
                <w:color w:val="000000"/>
                <w:sz w:val="16"/>
              </w:rPr>
              <w:t xml:space="preserve">27.04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27.04</w:t>
            </w:r>
          </w:p>
        </w:tc>
        <w:tc>
          <w:tcPr>
            <w:tcW w:w="1120" w:type="dxa"/>
            <w:tcBorders/>
            <w:vAlign w:val="center"/>
          </w:tcPr>
          <w:p>
            <w:pPr>
              <w:jc w:val="right"/>
            </w:pPr>
            <w:r>
              <w:rPr>
                <w:rFonts w:ascii="宋体" w:eastAsia="宋体" w:hAnsi="宋体" w:cs="宋体"/>
                <w:b w:val="0"/>
                <w:i w:val="0"/>
                <w:color w:val="000000"/>
                <w:sz w:val="16"/>
              </w:rPr>
              <w:t xml:space="preserve">27.04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27.04</w:t>
            </w:r>
          </w:p>
        </w:tc>
        <w:tc>
          <w:tcPr>
            <w:tcW w:w="1120" w:type="dxa"/>
            <w:tcBorders/>
            <w:vAlign w:val="center"/>
          </w:tcPr>
          <w:p>
            <w:pPr>
              <w:jc w:val="right"/>
            </w:pPr>
            <w:r>
              <w:rPr>
                <w:rFonts w:ascii="宋体" w:eastAsia="宋体" w:hAnsi="宋体" w:cs="宋体"/>
                <w:b w:val="0"/>
                <w:i w:val="0"/>
                <w:color w:val="000000"/>
                <w:sz w:val="16"/>
              </w:rPr>
              <w:t xml:space="preserve">27.04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部门：辽宁省盘锦市大洼区人民政府发展研究中心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371.94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252.04</w:t>
            </w:r>
          </w:p>
        </w:tc>
        <w:tc>
          <w:tcPr>
            <w:tcW w:w="1100" w:type="dxa"/>
            <w:tcBorders/>
            <w:vAlign w:val="center"/>
          </w:tcPr>
          <w:p>
            <w:pPr>
              <w:jc w:val="right"/>
            </w:pPr>
            <w:r>
              <w:rPr>
                <w:rFonts w:ascii="宋体" w:eastAsia="宋体" w:hAnsi="宋体" w:cs="宋体"/>
                <w:b w:val="0"/>
                <w:i w:val="0"/>
                <w:color w:val="000000"/>
                <w:sz w:val="14"/>
              </w:rPr>
              <w:t xml:space="preserve">252.04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78.65</w:t>
            </w:r>
          </w:p>
        </w:tc>
        <w:tc>
          <w:tcPr>
            <w:tcW w:w="1100" w:type="dxa"/>
            <w:tcBorders/>
            <w:vAlign w:val="center"/>
          </w:tcPr>
          <w:p>
            <w:pPr>
              <w:jc w:val="right"/>
            </w:pPr>
            <w:r>
              <w:rPr>
                <w:rFonts w:ascii="宋体" w:eastAsia="宋体" w:hAnsi="宋体" w:cs="宋体"/>
                <w:b w:val="0"/>
                <w:i w:val="0"/>
                <w:color w:val="000000"/>
                <w:sz w:val="14"/>
              </w:rPr>
              <w:t xml:space="preserve">78.65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27.04</w:t>
            </w:r>
          </w:p>
        </w:tc>
        <w:tc>
          <w:tcPr>
            <w:tcW w:w="1100" w:type="dxa"/>
            <w:tcBorders/>
            <w:vAlign w:val="center"/>
          </w:tcPr>
          <w:p>
            <w:pPr>
              <w:jc w:val="right"/>
            </w:pPr>
            <w:r>
              <w:rPr>
                <w:rFonts w:ascii="宋体" w:eastAsia="宋体" w:hAnsi="宋体" w:cs="宋体"/>
                <w:b w:val="0"/>
                <w:i w:val="0"/>
                <w:color w:val="000000"/>
                <w:sz w:val="14"/>
              </w:rPr>
              <w:t xml:space="preserve">27.04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371.94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371.94</w:t>
            </w:r>
          </w:p>
        </w:tc>
        <w:tc>
          <w:tcPr>
            <w:tcW w:w="1100" w:type="dxa"/>
            <w:tcBorders/>
            <w:vAlign w:val="center"/>
          </w:tcPr>
          <w:p>
            <w:pPr>
              <w:jc w:val="right"/>
            </w:pPr>
            <w:r>
              <w:rPr>
                <w:rFonts w:ascii="宋体" w:eastAsia="宋体" w:hAnsi="宋体" w:cs="宋体"/>
                <w:b w:val="0"/>
                <w:i w:val="0"/>
                <w:color w:val="000000"/>
                <w:sz w:val="14"/>
              </w:rPr>
              <w:t xml:space="preserve">371.94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371.94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371.94</w:t>
            </w:r>
          </w:p>
        </w:tc>
        <w:tc>
          <w:tcPr>
            <w:tcW w:w="1100" w:type="dxa"/>
            <w:tcBorders/>
            <w:vAlign w:val="center"/>
          </w:tcPr>
          <w:p>
            <w:pPr>
              <w:jc w:val="right"/>
            </w:pPr>
            <w:r>
              <w:rPr>
                <w:rFonts w:ascii="宋体" w:eastAsia="宋体" w:hAnsi="宋体" w:cs="宋体"/>
                <w:b w:val="0"/>
                <w:i w:val="0"/>
                <w:color w:val="000000"/>
                <w:sz w:val="14"/>
              </w:rPr>
              <w:t xml:space="preserve">371.94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部门：辽宁省盘锦市大洼区人民政府发展研究中心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371.94</w:t>
            </w:r>
          </w:p>
        </w:tc>
        <w:tc>
          <w:tcPr>
            <w:tcW w:w="1980" w:type="dxa"/>
            <w:tcBorders/>
            <w:vAlign w:val="center"/>
          </w:tcPr>
          <w:p>
            <w:pPr>
              <w:jc w:val="right"/>
            </w:pPr>
            <w:r>
              <w:rPr>
                <w:rFonts w:ascii="宋体" w:eastAsia="宋体" w:hAnsi="宋体" w:cs="宋体"/>
                <w:b/>
                <w:i w:val="0"/>
                <w:color w:val="000000"/>
                <w:sz w:val="20"/>
              </w:rPr>
              <w:t xml:space="preserve">371.94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252.04</w:t>
            </w:r>
          </w:p>
        </w:tc>
        <w:tc>
          <w:tcPr>
            <w:tcW w:w="1980" w:type="dxa"/>
            <w:tcBorders/>
            <w:vAlign w:val="center"/>
          </w:tcPr>
          <w:p>
            <w:pPr>
              <w:jc w:val="right"/>
            </w:pPr>
            <w:r>
              <w:rPr>
                <w:rFonts w:ascii="宋体" w:eastAsia="宋体" w:hAnsi="宋体" w:cs="宋体"/>
                <w:b w:val="0"/>
                <w:i w:val="0"/>
                <w:color w:val="000000"/>
                <w:sz w:val="20"/>
              </w:rPr>
              <w:t xml:space="preserve">252.04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252.04</w:t>
            </w:r>
          </w:p>
        </w:tc>
        <w:tc>
          <w:tcPr>
            <w:tcW w:w="1980" w:type="dxa"/>
            <w:tcBorders/>
            <w:vAlign w:val="center"/>
          </w:tcPr>
          <w:p>
            <w:pPr>
              <w:jc w:val="right"/>
            </w:pPr>
            <w:r>
              <w:rPr>
                <w:rFonts w:ascii="宋体" w:eastAsia="宋体" w:hAnsi="宋体" w:cs="宋体"/>
                <w:b w:val="0"/>
                <w:i w:val="0"/>
                <w:color w:val="000000"/>
                <w:sz w:val="20"/>
              </w:rPr>
              <w:t xml:space="preserve">252.04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252.04</w:t>
            </w:r>
          </w:p>
        </w:tc>
        <w:tc>
          <w:tcPr>
            <w:tcW w:w="1980" w:type="dxa"/>
            <w:tcBorders/>
            <w:vAlign w:val="center"/>
          </w:tcPr>
          <w:p>
            <w:pPr>
              <w:jc w:val="right"/>
            </w:pPr>
            <w:r>
              <w:rPr>
                <w:rFonts w:ascii="宋体" w:eastAsia="宋体" w:hAnsi="宋体" w:cs="宋体"/>
                <w:b w:val="0"/>
                <w:i w:val="0"/>
                <w:color w:val="000000"/>
                <w:sz w:val="20"/>
              </w:rPr>
              <w:t xml:space="preserve">252.04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78.64</w:t>
            </w:r>
          </w:p>
        </w:tc>
        <w:tc>
          <w:tcPr>
            <w:tcW w:w="1980" w:type="dxa"/>
            <w:tcBorders/>
            <w:vAlign w:val="center"/>
          </w:tcPr>
          <w:p>
            <w:pPr>
              <w:jc w:val="right"/>
            </w:pPr>
            <w:r>
              <w:rPr>
                <w:rFonts w:ascii="宋体" w:eastAsia="宋体" w:hAnsi="宋体" w:cs="宋体"/>
                <w:b w:val="0"/>
                <w:i w:val="0"/>
                <w:color w:val="000000"/>
                <w:sz w:val="20"/>
              </w:rPr>
              <w:t xml:space="preserve">78.64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51.51</w:t>
            </w:r>
          </w:p>
        </w:tc>
        <w:tc>
          <w:tcPr>
            <w:tcW w:w="1980" w:type="dxa"/>
            <w:tcBorders/>
            <w:vAlign w:val="center"/>
          </w:tcPr>
          <w:p>
            <w:pPr>
              <w:jc w:val="right"/>
            </w:pPr>
            <w:r>
              <w:rPr>
                <w:rFonts w:ascii="宋体" w:eastAsia="宋体" w:hAnsi="宋体" w:cs="宋体"/>
                <w:b w:val="0"/>
                <w:i w:val="0"/>
                <w:color w:val="000000"/>
                <w:sz w:val="20"/>
              </w:rPr>
              <w:t xml:space="preserve">51.51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1.92</w:t>
            </w:r>
          </w:p>
        </w:tc>
        <w:tc>
          <w:tcPr>
            <w:tcW w:w="1980" w:type="dxa"/>
            <w:tcBorders/>
            <w:vAlign w:val="center"/>
          </w:tcPr>
          <w:p>
            <w:pPr>
              <w:jc w:val="right"/>
            </w:pPr>
            <w:r>
              <w:rPr>
                <w:rFonts w:ascii="宋体" w:eastAsia="宋体" w:hAnsi="宋体" w:cs="宋体"/>
                <w:b w:val="0"/>
                <w:i w:val="0"/>
                <w:color w:val="000000"/>
                <w:sz w:val="20"/>
              </w:rPr>
              <w:t xml:space="preserve">1.92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35.38</w:t>
            </w:r>
          </w:p>
        </w:tc>
        <w:tc>
          <w:tcPr>
            <w:tcW w:w="1980" w:type="dxa"/>
            <w:tcBorders/>
            <w:vAlign w:val="center"/>
          </w:tcPr>
          <w:p>
            <w:pPr>
              <w:jc w:val="right"/>
            </w:pPr>
            <w:r>
              <w:rPr>
                <w:rFonts w:ascii="宋体" w:eastAsia="宋体" w:hAnsi="宋体" w:cs="宋体"/>
                <w:b w:val="0"/>
                <w:i w:val="0"/>
                <w:color w:val="000000"/>
                <w:sz w:val="20"/>
              </w:rPr>
              <w:t xml:space="preserve">35.38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26.71</w:t>
            </w:r>
          </w:p>
        </w:tc>
        <w:tc>
          <w:tcPr>
            <w:tcW w:w="1980" w:type="dxa"/>
            <w:tcBorders/>
            <w:vAlign w:val="center"/>
          </w:tcPr>
          <w:p>
            <w:pPr>
              <w:jc w:val="right"/>
            </w:pPr>
            <w:r>
              <w:rPr>
                <w:rFonts w:ascii="宋体" w:eastAsia="宋体" w:hAnsi="宋体" w:cs="宋体"/>
                <w:b w:val="0"/>
                <w:i w:val="0"/>
                <w:color w:val="000000"/>
                <w:sz w:val="20"/>
              </w:rPr>
              <w:t xml:space="preserve">26.71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26.71</w:t>
            </w:r>
          </w:p>
        </w:tc>
        <w:tc>
          <w:tcPr>
            <w:tcW w:w="1980" w:type="dxa"/>
            <w:tcBorders/>
            <w:vAlign w:val="center"/>
          </w:tcPr>
          <w:p>
            <w:pPr>
              <w:jc w:val="right"/>
            </w:pPr>
            <w:r>
              <w:rPr>
                <w:rFonts w:ascii="宋体" w:eastAsia="宋体" w:hAnsi="宋体" w:cs="宋体"/>
                <w:b w:val="0"/>
                <w:i w:val="0"/>
                <w:color w:val="000000"/>
                <w:sz w:val="20"/>
              </w:rPr>
              <w:t xml:space="preserve">26.71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14.00</w:t>
            </w:r>
          </w:p>
        </w:tc>
        <w:tc>
          <w:tcPr>
            <w:tcW w:w="1980" w:type="dxa"/>
            <w:tcBorders/>
            <w:vAlign w:val="center"/>
          </w:tcPr>
          <w:p>
            <w:pPr>
              <w:jc w:val="right"/>
            </w:pPr>
            <w:r>
              <w:rPr>
                <w:rFonts w:ascii="宋体" w:eastAsia="宋体" w:hAnsi="宋体" w:cs="宋体"/>
                <w:b w:val="0"/>
                <w:i w:val="0"/>
                <w:color w:val="000000"/>
                <w:sz w:val="20"/>
              </w:rPr>
              <w:t xml:space="preserve">14.00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27.04</w:t>
            </w:r>
          </w:p>
        </w:tc>
        <w:tc>
          <w:tcPr>
            <w:tcW w:w="1980" w:type="dxa"/>
            <w:tcBorders/>
            <w:vAlign w:val="center"/>
          </w:tcPr>
          <w:p>
            <w:pPr>
              <w:jc w:val="right"/>
            </w:pPr>
            <w:r>
              <w:rPr>
                <w:rFonts w:ascii="宋体" w:eastAsia="宋体" w:hAnsi="宋体" w:cs="宋体"/>
                <w:b w:val="0"/>
                <w:i w:val="0"/>
                <w:color w:val="000000"/>
                <w:sz w:val="20"/>
              </w:rPr>
              <w:t xml:space="preserve">27.04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27.04</w:t>
            </w:r>
          </w:p>
        </w:tc>
        <w:tc>
          <w:tcPr>
            <w:tcW w:w="1980" w:type="dxa"/>
            <w:tcBorders/>
            <w:vAlign w:val="center"/>
          </w:tcPr>
          <w:p>
            <w:pPr>
              <w:jc w:val="right"/>
            </w:pPr>
            <w:r>
              <w:rPr>
                <w:rFonts w:ascii="宋体" w:eastAsia="宋体" w:hAnsi="宋体" w:cs="宋体"/>
                <w:b w:val="0"/>
                <w:i w:val="0"/>
                <w:color w:val="000000"/>
                <w:sz w:val="20"/>
              </w:rPr>
              <w:t xml:space="preserve">27.04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27.04</w:t>
            </w:r>
          </w:p>
        </w:tc>
        <w:tc>
          <w:tcPr>
            <w:tcW w:w="1980" w:type="dxa"/>
            <w:tcBorders/>
            <w:vAlign w:val="center"/>
          </w:tcPr>
          <w:p>
            <w:pPr>
              <w:jc w:val="right"/>
            </w:pPr>
            <w:r>
              <w:rPr>
                <w:rFonts w:ascii="宋体" w:eastAsia="宋体" w:hAnsi="宋体" w:cs="宋体"/>
                <w:b w:val="0"/>
                <w:i w:val="0"/>
                <w:color w:val="000000"/>
                <w:sz w:val="20"/>
              </w:rPr>
              <w:t xml:space="preserve">27.04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部门：辽宁省盘锦市大洼区人民政府发展研究中心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327.89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15.27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125.20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9.19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8.60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102.82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35.38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14.21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14.00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27.04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28.78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1.88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26.71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3.68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2.40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356.67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15.27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部门：辽宁省盘锦市大洼区人民政府发展研究中心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部门：辽宁省盘锦市大洼区人民政府发展研究中心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部门：辽宁省盘锦市大洼区人民政府发展研究中心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036001盘锦市大洼区人民政府发展研究中心本级-211104000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307.11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14.4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16.09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负责全区领导督办重要专项工作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有利于维护社会稳定</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主管部门满意度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上级主管部门满意度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