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辽宁省盘锦市大洼区商贸服务中心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辽宁省盘锦市大洼区商贸服务中心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辽宁省盘锦市大洼区商贸服务中心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辽宁省盘锦市大洼区商贸服务中心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辽宁省盘锦市大洼区商贸服务中心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辽宁省盘锦市大洼区商贸服务中心概况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（一）负责对全区外商投资企业服务，负责外贸综合服务平台建设和运行。</w:t>
        <w:br/>
        <w:t xml:space="preserve">    （二）负责协调全区外经贸发展资金和专项基金工作。</w:t>
        <w:br/>
        <w:t xml:space="preserve">    （三）负责推动全区商贸物流产业发展；承担全区商贸物流行业调查、业务培训、信息咨询和人才等工作。</w:t>
        <w:br/>
        <w:t xml:space="preserve">    （四）负责推动电子商务平台建设工作，承担商贸物流领域大数据平台建设、数据统计分析和信息发布工作。</w:t>
        <w:br/>
        <w:t xml:space="preserve">    （五）负责推进“老字号”企业认定及“辽河口渔家菜”、“大洼名片”等品牌建设推广工作，负责商贸会展相关工作。</w:t>
        <w:br/>
        <w:t xml:space="preserve">    （六）承担规范家政服务业、洗染业、美发美容业、沐浴业、人像摄影业等服务业经营相关事务性工作。</w:t>
        <w:br/>
        <w:t xml:space="preserve">    （七）负责服务业相关领域人才队伍建设，开展相关领域和行业培训，推进行业人才培训基地建设。</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辽宁省盘锦市大洼区商贸服务中心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盘锦市大洼区商贸服务中心本级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269.42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269.42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269.42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减少301.89万元，降低52.84%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269.42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269.42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工资福利支出255.65万元；商品和服务支出11.21万元；对个人和家庭的补助1.83万元；资本性支出0.74万元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减少301.89万元，降低52.84%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本年度项目支出减少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主要是收支平衡等原因形成的结余。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本年度收支平衡</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269.42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269.42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减少300.69万元，降低52.74%</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本年度项目支出减少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92.94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107.82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2023年度一般公共预算财政拨款支出269.42万元。按支出功能分类科目分，包括：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1.一般公共服务支出201.93万元，具体包括：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（1）一般公共服务支出（类）商贸事务（款）事业运行（项）201.93万元,主要是工资福利、商品和服务等支出，完成年初预算的107.18%，决算数与年初预算数存在差异的主要原因是本年度业务活动增加。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2.社会保障和就业支出34.59万元，具体包括：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（1）社会保障和就业支出（类）行政事业单位养老支出（款）事业单位离退休（项）1.74万元,主要是对个人和家庭的补助等支出，完成年初预算的100%，决算数与年初预算数存在差异的主要原因是无差异。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28.45万元,主要是工资福利等支出，完成年初预算的105.1%，决算数与年初预算数存在差异的主要原因是本年度保险基数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4.06万元,主要是工资保险等支出，完成年初预算的0%，决算数与年初预算数存在差异的主要原因是本年度职业年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0.34万元,主要是工资福利等支出，完成年初预算的0%，决算数与年初预算数存在差异的主要原因是本年度工伤保险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3.卫生健康支出11.60万元，具体包括：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（1）卫生健康支出（类）行政事业单位医疗（款）事业单位医疗（项）11.43万元,主要是工资福利等支出，完成年初预算的93.76%，决算数与年初预算数存在差异的主要原因是本年度人员变动。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（2）卫生健康支出（类）行政事业单位医疗（款）其他行政事业单位医疗支出（项）0.17万元,主要是工资保险等支出，完成年初预算的100%，决算数与年初预算数存在差异的主要原因是无差异。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4.商业服务业等支出0.00万元，具体包括：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（1）商业服务业等支出（类）商业流通事务（款）事业运行（项）0.00万元,主要是无等支出，完成年初预算的0%，决算数与年初预算数存在差异的主要原因是无。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5.住房保障支出21.31万元，具体包括：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（1）住房保障支出（类）住房改革支出（款）住房公积金（项）21.31万元,主要是工资福利等支出，完成年初预算的104.98%，决算数与年初预算数存在差异的主要原因是本年度住房公积金基数变动。</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按照预算经费支出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不涉及</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不涉及</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不涉及</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不涉及</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按照预算经费支出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比上年增加0.38万元，增长17.92%</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本年度业务活动增加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2.50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269.43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257.48</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11.95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不涉及</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1</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（一）在提振消费上精准发力。（二）鼓励企业拓展国际市场。（三）培育新生外贸力量。（四）加快推进引进外资工作。（五）加大电子商务发展力度。（六）着力打造特色楼宇。</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16.一般公共服务支出（类）商贸事务（款） 事业运行（项）：反映事业单位单位的基本支出。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269.42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201.93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34.58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11.59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21.31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269.42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269.42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269.42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269.42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269.42</w:t>
            </w:r>
          </w:p>
        </w:tc>
        <w:tc>
          <w:tcPr>
            <w:tcW w:w="1160" w:type="dxa"/>
            <w:tcBorders/>
            <w:vAlign w:val="center"/>
          </w:tcPr>
          <w:p>
            <w:pPr>
              <w:jc w:val="right"/>
            </w:pPr>
            <w:r>
              <w:rPr>
                <w:rFonts w:ascii="宋体" w:eastAsia="宋体" w:hAnsi="宋体" w:cs="宋体"/>
                <w:b/>
                <w:i w:val="0"/>
                <w:color w:val="000000"/>
                <w:sz w:val="14"/>
              </w:rPr>
              <w:t xml:space="preserve">269.42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商贸事务</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jc w:val="right"/>
            </w:pPr>
            <w:r>
              <w:rPr>
                <w:rFonts w:ascii="宋体" w:eastAsia="宋体" w:hAnsi="宋体" w:cs="宋体"/>
                <w:b w:val="0"/>
                <w:i w:val="0"/>
                <w:color w:val="000000"/>
                <w:sz w:val="14"/>
              </w:rPr>
              <w:t xml:space="preserve">201.93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34.59</w:t>
            </w:r>
          </w:p>
        </w:tc>
        <w:tc>
          <w:tcPr>
            <w:tcW w:w="1160" w:type="dxa"/>
            <w:tcBorders/>
            <w:vAlign w:val="center"/>
          </w:tcPr>
          <w:p>
            <w:pPr>
              <w:jc w:val="right"/>
            </w:pPr>
            <w:r>
              <w:rPr>
                <w:rFonts w:ascii="宋体" w:eastAsia="宋体" w:hAnsi="宋体" w:cs="宋体"/>
                <w:b w:val="0"/>
                <w:i w:val="0"/>
                <w:color w:val="000000"/>
                <w:sz w:val="14"/>
              </w:rPr>
              <w:t xml:space="preserve">34.59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34.25</w:t>
            </w:r>
          </w:p>
        </w:tc>
        <w:tc>
          <w:tcPr>
            <w:tcW w:w="1160" w:type="dxa"/>
            <w:tcBorders/>
            <w:vAlign w:val="center"/>
          </w:tcPr>
          <w:p>
            <w:pPr>
              <w:jc w:val="right"/>
            </w:pPr>
            <w:r>
              <w:rPr>
                <w:rFonts w:ascii="宋体" w:eastAsia="宋体" w:hAnsi="宋体" w:cs="宋体"/>
                <w:b w:val="0"/>
                <w:i w:val="0"/>
                <w:color w:val="000000"/>
                <w:sz w:val="14"/>
              </w:rPr>
              <w:t xml:space="preserve">34.25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jc w:val="right"/>
            </w:pPr>
            <w:r>
              <w:rPr>
                <w:rFonts w:ascii="宋体" w:eastAsia="宋体" w:hAnsi="宋体" w:cs="宋体"/>
                <w:b w:val="0"/>
                <w:i w:val="0"/>
                <w:color w:val="000000"/>
                <w:sz w:val="14"/>
              </w:rPr>
              <w:t xml:space="preserve">1.74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28.45</w:t>
            </w:r>
          </w:p>
        </w:tc>
        <w:tc>
          <w:tcPr>
            <w:tcW w:w="1160" w:type="dxa"/>
            <w:tcBorders/>
            <w:vAlign w:val="center"/>
          </w:tcPr>
          <w:p>
            <w:pPr>
              <w:jc w:val="right"/>
            </w:pPr>
            <w:r>
              <w:rPr>
                <w:rFonts w:ascii="宋体" w:eastAsia="宋体" w:hAnsi="宋体" w:cs="宋体"/>
                <w:b w:val="0"/>
                <w:i w:val="0"/>
                <w:color w:val="000000"/>
                <w:sz w:val="14"/>
              </w:rPr>
              <w:t xml:space="preserve">28.45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11.60</w:t>
            </w:r>
          </w:p>
        </w:tc>
        <w:tc>
          <w:tcPr>
            <w:tcW w:w="1160" w:type="dxa"/>
            <w:tcBorders/>
            <w:vAlign w:val="center"/>
          </w:tcPr>
          <w:p>
            <w:pPr>
              <w:jc w:val="right"/>
            </w:pPr>
            <w:r>
              <w:rPr>
                <w:rFonts w:ascii="宋体" w:eastAsia="宋体" w:hAnsi="宋体" w:cs="宋体"/>
                <w:b w:val="0"/>
                <w:i w:val="0"/>
                <w:color w:val="000000"/>
                <w:sz w:val="14"/>
              </w:rPr>
              <w:t xml:space="preserve">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11.60</w:t>
            </w:r>
          </w:p>
        </w:tc>
        <w:tc>
          <w:tcPr>
            <w:tcW w:w="1160" w:type="dxa"/>
            <w:tcBorders/>
            <w:vAlign w:val="center"/>
          </w:tcPr>
          <w:p>
            <w:pPr>
              <w:jc w:val="right"/>
            </w:pPr>
            <w:r>
              <w:rPr>
                <w:rFonts w:ascii="宋体" w:eastAsia="宋体" w:hAnsi="宋体" w:cs="宋体"/>
                <w:b w:val="0"/>
                <w:i w:val="0"/>
                <w:color w:val="000000"/>
                <w:sz w:val="14"/>
              </w:rPr>
              <w:t xml:space="preserve">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11.43</w:t>
            </w:r>
          </w:p>
        </w:tc>
        <w:tc>
          <w:tcPr>
            <w:tcW w:w="1160" w:type="dxa"/>
            <w:tcBorders/>
            <w:vAlign w:val="center"/>
          </w:tcPr>
          <w:p>
            <w:pPr>
              <w:jc w:val="right"/>
            </w:pPr>
            <w:r>
              <w:rPr>
                <w:rFonts w:ascii="宋体" w:eastAsia="宋体" w:hAnsi="宋体" w:cs="宋体"/>
                <w:b w:val="0"/>
                <w:i w:val="0"/>
                <w:color w:val="000000"/>
                <w:sz w:val="14"/>
              </w:rPr>
              <w:t xml:space="preserve">11.43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jc w:val="right"/>
            </w:pPr>
            <w:r>
              <w:rPr>
                <w:rFonts w:ascii="宋体" w:eastAsia="宋体" w:hAnsi="宋体" w:cs="宋体"/>
                <w:b w:val="0"/>
                <w:i w:val="0"/>
                <w:color w:val="000000"/>
                <w:sz w:val="14"/>
              </w:rPr>
              <w:t xml:space="preserve">0.17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jc w:val="right"/>
            </w:pPr>
            <w:r>
              <w:rPr>
                <w:rFonts w:ascii="宋体" w:eastAsia="宋体" w:hAnsi="宋体" w:cs="宋体"/>
                <w:b w:val="0"/>
                <w:i w:val="0"/>
                <w:color w:val="000000"/>
                <w:sz w:val="14"/>
              </w:rPr>
              <w:t xml:space="preserve">21.31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269.42</w:t>
            </w:r>
          </w:p>
        </w:tc>
        <w:tc>
          <w:tcPr>
            <w:tcW w:w="1120" w:type="dxa"/>
            <w:tcBorders/>
            <w:vAlign w:val="center"/>
          </w:tcPr>
          <w:p>
            <w:pPr>
              <w:jc w:val="right"/>
            </w:pPr>
            <w:r>
              <w:rPr>
                <w:rFonts w:ascii="宋体" w:eastAsia="宋体" w:hAnsi="宋体" w:cs="宋体"/>
                <w:b/>
                <w:i w:val="0"/>
                <w:color w:val="000000"/>
                <w:sz w:val="16"/>
              </w:rPr>
              <w:t xml:space="preserve">269.42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商贸事务</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jc w:val="right"/>
            </w:pPr>
            <w:r>
              <w:rPr>
                <w:rFonts w:ascii="宋体" w:eastAsia="宋体" w:hAnsi="宋体" w:cs="宋体"/>
                <w:b w:val="0"/>
                <w:i w:val="0"/>
                <w:color w:val="000000"/>
                <w:sz w:val="16"/>
              </w:rPr>
              <w:t xml:space="preserve">201.93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34.59</w:t>
            </w:r>
          </w:p>
        </w:tc>
        <w:tc>
          <w:tcPr>
            <w:tcW w:w="1120" w:type="dxa"/>
            <w:tcBorders/>
            <w:vAlign w:val="center"/>
          </w:tcPr>
          <w:p>
            <w:pPr>
              <w:jc w:val="right"/>
            </w:pPr>
            <w:r>
              <w:rPr>
                <w:rFonts w:ascii="宋体" w:eastAsia="宋体" w:hAnsi="宋体" w:cs="宋体"/>
                <w:b w:val="0"/>
                <w:i w:val="0"/>
                <w:color w:val="000000"/>
                <w:sz w:val="16"/>
              </w:rPr>
              <w:t xml:space="preserve">34.59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34.25</w:t>
            </w:r>
          </w:p>
        </w:tc>
        <w:tc>
          <w:tcPr>
            <w:tcW w:w="1120" w:type="dxa"/>
            <w:tcBorders/>
            <w:vAlign w:val="center"/>
          </w:tcPr>
          <w:p>
            <w:pPr>
              <w:jc w:val="right"/>
            </w:pPr>
            <w:r>
              <w:rPr>
                <w:rFonts w:ascii="宋体" w:eastAsia="宋体" w:hAnsi="宋体" w:cs="宋体"/>
                <w:b w:val="0"/>
                <w:i w:val="0"/>
                <w:color w:val="000000"/>
                <w:sz w:val="16"/>
              </w:rPr>
              <w:t xml:space="preserve">34.25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jc w:val="right"/>
            </w:pPr>
            <w:r>
              <w:rPr>
                <w:rFonts w:ascii="宋体" w:eastAsia="宋体" w:hAnsi="宋体" w:cs="宋体"/>
                <w:b w:val="0"/>
                <w:i w:val="0"/>
                <w:color w:val="000000"/>
                <w:sz w:val="16"/>
              </w:rPr>
              <w:t xml:space="preserve">1.74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28.45</w:t>
            </w:r>
          </w:p>
        </w:tc>
        <w:tc>
          <w:tcPr>
            <w:tcW w:w="1120" w:type="dxa"/>
            <w:tcBorders/>
            <w:vAlign w:val="center"/>
          </w:tcPr>
          <w:p>
            <w:pPr>
              <w:jc w:val="right"/>
            </w:pPr>
            <w:r>
              <w:rPr>
                <w:rFonts w:ascii="宋体" w:eastAsia="宋体" w:hAnsi="宋体" w:cs="宋体"/>
                <w:b w:val="0"/>
                <w:i w:val="0"/>
                <w:color w:val="000000"/>
                <w:sz w:val="16"/>
              </w:rPr>
              <w:t xml:space="preserve">28.45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11.60</w:t>
            </w:r>
          </w:p>
        </w:tc>
        <w:tc>
          <w:tcPr>
            <w:tcW w:w="1120" w:type="dxa"/>
            <w:tcBorders/>
            <w:vAlign w:val="center"/>
          </w:tcPr>
          <w:p>
            <w:pPr>
              <w:jc w:val="right"/>
            </w:pPr>
            <w:r>
              <w:rPr>
                <w:rFonts w:ascii="宋体" w:eastAsia="宋体" w:hAnsi="宋体" w:cs="宋体"/>
                <w:b w:val="0"/>
                <w:i w:val="0"/>
                <w:color w:val="000000"/>
                <w:sz w:val="16"/>
              </w:rPr>
              <w:t xml:space="preserve">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11.60</w:t>
            </w:r>
          </w:p>
        </w:tc>
        <w:tc>
          <w:tcPr>
            <w:tcW w:w="1120" w:type="dxa"/>
            <w:tcBorders/>
            <w:vAlign w:val="center"/>
          </w:tcPr>
          <w:p>
            <w:pPr>
              <w:jc w:val="right"/>
            </w:pPr>
            <w:r>
              <w:rPr>
                <w:rFonts w:ascii="宋体" w:eastAsia="宋体" w:hAnsi="宋体" w:cs="宋体"/>
                <w:b w:val="0"/>
                <w:i w:val="0"/>
                <w:color w:val="000000"/>
                <w:sz w:val="16"/>
              </w:rPr>
              <w:t xml:space="preserve">11.60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11.43</w:t>
            </w:r>
          </w:p>
        </w:tc>
        <w:tc>
          <w:tcPr>
            <w:tcW w:w="1120" w:type="dxa"/>
            <w:tcBorders/>
            <w:vAlign w:val="center"/>
          </w:tcPr>
          <w:p>
            <w:pPr>
              <w:jc w:val="right"/>
            </w:pPr>
            <w:r>
              <w:rPr>
                <w:rFonts w:ascii="宋体" w:eastAsia="宋体" w:hAnsi="宋体" w:cs="宋体"/>
                <w:b w:val="0"/>
                <w:i w:val="0"/>
                <w:color w:val="000000"/>
                <w:sz w:val="16"/>
              </w:rPr>
              <w:t xml:space="preserve">11.43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jc w:val="right"/>
            </w:pPr>
            <w:r>
              <w:rPr>
                <w:rFonts w:ascii="宋体" w:eastAsia="宋体" w:hAnsi="宋体" w:cs="宋体"/>
                <w:b w:val="0"/>
                <w:i w:val="0"/>
                <w:color w:val="000000"/>
                <w:sz w:val="16"/>
              </w:rPr>
              <w:t xml:space="preserve">0.17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jc w:val="right"/>
            </w:pPr>
            <w:r>
              <w:rPr>
                <w:rFonts w:ascii="宋体" w:eastAsia="宋体" w:hAnsi="宋体" w:cs="宋体"/>
                <w:b w:val="0"/>
                <w:i w:val="0"/>
                <w:color w:val="000000"/>
                <w:sz w:val="16"/>
              </w:rPr>
              <w:t xml:space="preserve">21.31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201.93</w:t>
            </w:r>
          </w:p>
        </w:tc>
        <w:tc>
          <w:tcPr>
            <w:tcW w:w="1100" w:type="dxa"/>
            <w:tcBorders/>
            <w:vAlign w:val="center"/>
          </w:tcPr>
          <w:p>
            <w:pPr>
              <w:jc w:val="right"/>
            </w:pPr>
            <w:r>
              <w:rPr>
                <w:rFonts w:ascii="宋体" w:eastAsia="宋体" w:hAnsi="宋体" w:cs="宋体"/>
                <w:b w:val="0"/>
                <w:i w:val="0"/>
                <w:color w:val="000000"/>
                <w:sz w:val="14"/>
              </w:rPr>
              <w:t xml:space="preserve">201.93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34.58</w:t>
            </w:r>
          </w:p>
        </w:tc>
        <w:tc>
          <w:tcPr>
            <w:tcW w:w="1100" w:type="dxa"/>
            <w:tcBorders/>
            <w:vAlign w:val="center"/>
          </w:tcPr>
          <w:p>
            <w:pPr>
              <w:jc w:val="right"/>
            </w:pPr>
            <w:r>
              <w:rPr>
                <w:rFonts w:ascii="宋体" w:eastAsia="宋体" w:hAnsi="宋体" w:cs="宋体"/>
                <w:b w:val="0"/>
                <w:i w:val="0"/>
                <w:color w:val="000000"/>
                <w:sz w:val="14"/>
              </w:rPr>
              <w:t xml:space="preserve">34.58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11.59</w:t>
            </w:r>
          </w:p>
        </w:tc>
        <w:tc>
          <w:tcPr>
            <w:tcW w:w="1100" w:type="dxa"/>
            <w:tcBorders/>
            <w:vAlign w:val="center"/>
          </w:tcPr>
          <w:p>
            <w:pPr>
              <w:jc w:val="right"/>
            </w:pPr>
            <w:r>
              <w:rPr>
                <w:rFonts w:ascii="宋体" w:eastAsia="宋体" w:hAnsi="宋体" w:cs="宋体"/>
                <w:b w:val="0"/>
                <w:i w:val="0"/>
                <w:color w:val="000000"/>
                <w:sz w:val="14"/>
              </w:rPr>
              <w:t xml:space="preserve">11.59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21.31</w:t>
            </w:r>
          </w:p>
        </w:tc>
        <w:tc>
          <w:tcPr>
            <w:tcW w:w="1100" w:type="dxa"/>
            <w:tcBorders/>
            <w:vAlign w:val="center"/>
          </w:tcPr>
          <w:p>
            <w:pPr>
              <w:jc w:val="right"/>
            </w:pPr>
            <w:r>
              <w:rPr>
                <w:rFonts w:ascii="宋体" w:eastAsia="宋体" w:hAnsi="宋体" w:cs="宋体"/>
                <w:b w:val="0"/>
                <w:i w:val="0"/>
                <w:color w:val="000000"/>
                <w:sz w:val="14"/>
              </w:rPr>
              <w:t xml:space="preserve">21.31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1100" w:type="dxa"/>
            <w:tcBorders/>
            <w:vAlign w:val="center"/>
          </w:tcPr>
          <w:p>
            <w:pPr>
              <w:jc w:val="right"/>
            </w:pPr>
            <w:r>
              <w:rPr>
                <w:rFonts w:ascii="宋体" w:eastAsia="宋体" w:hAnsi="宋体" w:cs="宋体"/>
                <w:b w:val="0"/>
                <w:i w:val="0"/>
                <w:color w:val="000000"/>
                <w:sz w:val="14"/>
              </w:rPr>
              <w:t xml:space="preserve">269.42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269.42</w:t>
            </w:r>
          </w:p>
        </w:tc>
        <w:tc>
          <w:tcPr>
            <w:tcW w:w="1980" w:type="dxa"/>
            <w:tcBorders/>
            <w:vAlign w:val="center"/>
          </w:tcPr>
          <w:p>
            <w:pPr>
              <w:jc w:val="right"/>
            </w:pPr>
            <w:r>
              <w:rPr>
                <w:rFonts w:ascii="宋体" w:eastAsia="宋体" w:hAnsi="宋体" w:cs="宋体"/>
                <w:b/>
                <w:i w:val="0"/>
                <w:color w:val="000000"/>
                <w:sz w:val="20"/>
              </w:rPr>
              <w:t xml:space="preserve">269.42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商贸事务</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80" w:type="dxa"/>
            <w:tcBorders/>
            <w:vAlign w:val="center"/>
          </w:tcPr>
          <w:p>
            <w:pPr>
              <w:jc w:val="right"/>
            </w:pPr>
            <w:r>
              <w:rPr>
                <w:rFonts w:ascii="宋体" w:eastAsia="宋体" w:hAnsi="宋体" w:cs="宋体"/>
                <w:b w:val="0"/>
                <w:i w:val="0"/>
                <w:color w:val="000000"/>
                <w:sz w:val="20"/>
              </w:rPr>
              <w:t xml:space="preserve">201.93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34.59</w:t>
            </w:r>
          </w:p>
        </w:tc>
        <w:tc>
          <w:tcPr>
            <w:tcW w:w="1980" w:type="dxa"/>
            <w:tcBorders/>
            <w:vAlign w:val="center"/>
          </w:tcPr>
          <w:p>
            <w:pPr>
              <w:jc w:val="right"/>
            </w:pPr>
            <w:r>
              <w:rPr>
                <w:rFonts w:ascii="宋体" w:eastAsia="宋体" w:hAnsi="宋体" w:cs="宋体"/>
                <w:b w:val="0"/>
                <w:i w:val="0"/>
                <w:color w:val="000000"/>
                <w:sz w:val="20"/>
              </w:rPr>
              <w:t xml:space="preserve">34.59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34.25</w:t>
            </w:r>
          </w:p>
        </w:tc>
        <w:tc>
          <w:tcPr>
            <w:tcW w:w="1980" w:type="dxa"/>
            <w:tcBorders/>
            <w:vAlign w:val="center"/>
          </w:tcPr>
          <w:p>
            <w:pPr>
              <w:jc w:val="right"/>
            </w:pPr>
            <w:r>
              <w:rPr>
                <w:rFonts w:ascii="宋体" w:eastAsia="宋体" w:hAnsi="宋体" w:cs="宋体"/>
                <w:b w:val="0"/>
                <w:i w:val="0"/>
                <w:color w:val="000000"/>
                <w:sz w:val="20"/>
              </w:rPr>
              <w:t xml:space="preserve">34.25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80" w:type="dxa"/>
            <w:tcBorders/>
            <w:vAlign w:val="center"/>
          </w:tcPr>
          <w:p>
            <w:pPr>
              <w:jc w:val="right"/>
            </w:pPr>
            <w:r>
              <w:rPr>
                <w:rFonts w:ascii="宋体" w:eastAsia="宋体" w:hAnsi="宋体" w:cs="宋体"/>
                <w:b w:val="0"/>
                <w:i w:val="0"/>
                <w:color w:val="000000"/>
                <w:sz w:val="20"/>
              </w:rPr>
              <w:t xml:space="preserve">1.74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28.45</w:t>
            </w:r>
          </w:p>
        </w:tc>
        <w:tc>
          <w:tcPr>
            <w:tcW w:w="1980" w:type="dxa"/>
            <w:tcBorders/>
            <w:vAlign w:val="center"/>
          </w:tcPr>
          <w:p>
            <w:pPr>
              <w:jc w:val="right"/>
            </w:pPr>
            <w:r>
              <w:rPr>
                <w:rFonts w:ascii="宋体" w:eastAsia="宋体" w:hAnsi="宋体" w:cs="宋体"/>
                <w:b w:val="0"/>
                <w:i w:val="0"/>
                <w:color w:val="000000"/>
                <w:sz w:val="20"/>
              </w:rPr>
              <w:t xml:space="preserve">28.45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11.60</w:t>
            </w:r>
          </w:p>
        </w:tc>
        <w:tc>
          <w:tcPr>
            <w:tcW w:w="1980" w:type="dxa"/>
            <w:tcBorders/>
            <w:vAlign w:val="center"/>
          </w:tcPr>
          <w:p>
            <w:pPr>
              <w:jc w:val="right"/>
            </w:pPr>
            <w:r>
              <w:rPr>
                <w:rFonts w:ascii="宋体" w:eastAsia="宋体" w:hAnsi="宋体" w:cs="宋体"/>
                <w:b w:val="0"/>
                <w:i w:val="0"/>
                <w:color w:val="000000"/>
                <w:sz w:val="20"/>
              </w:rPr>
              <w:t xml:space="preserve">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11.60</w:t>
            </w:r>
          </w:p>
        </w:tc>
        <w:tc>
          <w:tcPr>
            <w:tcW w:w="1980" w:type="dxa"/>
            <w:tcBorders/>
            <w:vAlign w:val="center"/>
          </w:tcPr>
          <w:p>
            <w:pPr>
              <w:jc w:val="right"/>
            </w:pPr>
            <w:r>
              <w:rPr>
                <w:rFonts w:ascii="宋体" w:eastAsia="宋体" w:hAnsi="宋体" w:cs="宋体"/>
                <w:b w:val="0"/>
                <w:i w:val="0"/>
                <w:color w:val="000000"/>
                <w:sz w:val="20"/>
              </w:rPr>
              <w:t xml:space="preserve">11.60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11.43</w:t>
            </w:r>
          </w:p>
        </w:tc>
        <w:tc>
          <w:tcPr>
            <w:tcW w:w="1980" w:type="dxa"/>
            <w:tcBorders/>
            <w:vAlign w:val="center"/>
          </w:tcPr>
          <w:p>
            <w:pPr>
              <w:jc w:val="right"/>
            </w:pPr>
            <w:r>
              <w:rPr>
                <w:rFonts w:ascii="宋体" w:eastAsia="宋体" w:hAnsi="宋体" w:cs="宋体"/>
                <w:b w:val="0"/>
                <w:i w:val="0"/>
                <w:color w:val="000000"/>
                <w:sz w:val="20"/>
              </w:rPr>
              <w:t xml:space="preserve">11.43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80" w:type="dxa"/>
            <w:tcBorders/>
            <w:vAlign w:val="center"/>
          </w:tcPr>
          <w:p>
            <w:pPr>
              <w:jc w:val="right"/>
            </w:pPr>
            <w:r>
              <w:rPr>
                <w:rFonts w:ascii="宋体" w:eastAsia="宋体" w:hAnsi="宋体" w:cs="宋体"/>
                <w:b w:val="0"/>
                <w:i w:val="0"/>
                <w:color w:val="000000"/>
                <w:sz w:val="20"/>
              </w:rPr>
              <w:t xml:space="preserve">0.17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商业服务业等支出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商业流通事务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2160250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80" w:type="dxa"/>
            <w:tcBorders/>
            <w:vAlign w:val="center"/>
          </w:tcPr>
          <w:p>
            <w:pPr>
              <w:jc w:val="right"/>
            </w:pPr>
            <w:r>
              <w:rPr>
                <w:rFonts w:ascii="宋体" w:eastAsia="宋体" w:hAnsi="宋体" w:cs="宋体"/>
                <w:b w:val="0"/>
                <w:i w:val="0"/>
                <w:color w:val="000000"/>
                <w:sz w:val="20"/>
              </w:rPr>
              <w:t xml:space="preserve">21.31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255.65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11.21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106.06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5.15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6.23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0.76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77.61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0.74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28.45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4.06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11.43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2.81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21.31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1.83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1.67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2.50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257.48</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11.95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2.50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单位：辽宁省盘锦市大洼区商贸服务中心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057002盘锦市大洼区商贸服务中心本级-211104000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10.89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221.91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21.59</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（一）在提振消费上精准发力。（二）鼓励企业拓展国际市场。（三）培育新生外贸力量。（四）加快推进引进外资工作。（五）加大电子商务发展力度。（六）着力打造特色楼宇。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对外业务培训</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人</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经济效益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“走出去”企业数量</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经贸活动与投资促进企业满意度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完善部门内部控制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完善内控</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建立重点项目督导与监督机制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建立机制</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2024年12月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