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辽宁省盘锦市大洼区企业发展服务中心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辽宁省盘锦市大洼区企业发展服务中心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辽宁省盘锦市大洼区企业发展服务中心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辽宁省盘锦市大洼区企业发展服务中心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辽宁省盘锦市大洼区企业发展服务中心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辽宁省盘锦市大洼区企业发展服务中心概况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1、围绕支柱产业链条延伸、新兴产业、工业新业态等领域，开展工业企业精准招商引资工作;</w:t>
        <w:br/>
        <w:t xml:space="preserve">    2、开展为域内工业企业、工业项目提供政策咨询、立项指导、协调调度、工业人才经营管理等全过程服务;</w:t>
        <w:br/>
        <w:t xml:space="preserve">    3、根据国家产业发展政策及投资导向目录，引导域内工业企业调整产业结构和产品结构;</w:t>
        <w:br/>
        <w:t xml:space="preserve">    4、构建金融机构与中小企业的融资平台，推进中小微企业投融资市场的完善;</w:t>
        <w:br/>
        <w:t xml:space="preserve">    5、建立和完善企业帮扶制度，帮助工业企业做大做强，为工业企业提供相关业务指引服务;</w:t>
        <w:br/>
        <w:t xml:space="preserve">    6、承担服务民营经济和促进产业升级的有关工作;</w:t>
        <w:br/>
        <w:t xml:space="preserve">    7、负责对企业员工开展基本政策、规章制度和相关专业知识的培训，使员工准确把握行业政策法规，熟练掌握必备的业务知识和职业技能;</w:t>
        <w:br/>
        <w:t xml:space="preserve">    8、负责对企业员工开展机械设备理论和操作培训，让企业员工充分了解岗位职责、操作规程等，并能熟练掌握相关机械设备的操作应用;</w:t>
        <w:br/>
        <w:t xml:space="preserve">    9、承担区委、区政府和区工信局交办的其他工作任务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辽宁省盘锦市大洼区企业发展服务中心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盘锦市大洼区企业发展服务中心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225.85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224.78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99.53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224.78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0.47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主要是事业基金等。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减少2.01万元，降低0.88%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人员经费和公用经费减少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224.78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212.00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94.31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工资福利支出197.78万元；商品和服务支出8.52万元；对个人和家庭的补助5.69万元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主要包括招商经费、劳务派遣等业务支出。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减少2.01万元，降低0.89%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人员经费和公用经费减少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1.07</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主要是事业基金等原因形成的结余。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无业务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224.78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212.00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12.78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减少2.01万元，降低0.89%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人员经费和公用经费减少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93.10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96.83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56.82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2023年度一般公共预算财政拨款支出224.78万元。按支出功能分类科目分，包括：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1.一般公共服务支出153.37万元，具体包括：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（1）一般公共服务支出（类）商贸事务（款）招商引资（项）7.08万元,主要是招商差旅费、租车费等支出，完成年初预算的56.64%，决算数与年初预算数存在差异的主要原因是招商活动减少。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（2）一般公共服务支出（类）商贸事务（款）事业运行（项）140.58万元,主要是人员工资、公用经费等支出，完成年初预算的87.25%，决算数与年初预算数存在差异的主要原因是退休3人。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（3）一般公共服务支出（类）商贸事务（款）其他商贸事务支出（项）5.71万元,主要是科技活动经费等支出，完成年初预算的57.1%，决算数与年初预算数存在差异的主要原因是科技活动经费减少。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2.社会保障和就业支出47.67万元，具体包括：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5.64万元,主要是退休取暖费、独生子女费等支出，完成年初预算的89.24%，决算数与年初预算数存在差异的主要原因是少发2人取暖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20.49万元,主要是养老保险缴费等支出，完成年初预算的87.94%，决算数与年初预算数存在差异的主要原因是养老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21.30万元,主要是职业年金缴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（4）社会保障和就业支出（类）其他社会保障和就业支出（款）其他社会保障和就业支出（项）0.24万元,主要是工伤保险等支出，完成年初预算的80%，决算数与年初预算数存在差异的主要原因是在职人员退休。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8.18万元,主要是医疗保险缴费等支出，完成年初预算的78.5%，决算数与年初预算数存在差异的主要原因是医疗保险缴费基数调整、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（2）卫生健康支出（类）行政事业单位医疗（款）其他行政事业单位医疗支出（项）0.22万元,主要是大额医疗等支出，完成年初预算的100%，决算数与年初预算数存在差异的主要原因是无差异。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4.住房保障支出15.35万元，具体包括：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（1）住房保障支出（类）住房改革支出（款）住房公积金（项）15.35万元,主要是住房公积金缴费等支出，完成年初预算的87.86%，决算数与年初预算数存在差异的主要原因是公积金缴费基数调整、在职人员退休。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53.60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无年初预算</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无年初预算</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无年初预算</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无年初预算</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53.60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比上年减少1.14万元，降低45.97%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主要用于车辆保险、加油费、车辆维护费等，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211.99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203.47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8.52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无年初预算</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0.29</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0.29</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0.29</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0.29</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2个，涉及资金22.5万元，自评覆盖率（开展绩效自评的项目数/年初批复绩效目标的项目数）达到100%，自评平均分（开展绩效自评的项目分数总和/开展绩效自评的项目数）99.5分。组织对1个单位开展整体绩效自评，涉及资金224.78万元，自评平均分99.5分。</w:t>
        <w:br/>
        <w:t xml:space="preserve">    （2）部门评价情况。我部门组织对“工业攻坚小分队工作经费、科技活动经费”等2个项目开展了部门评价，涉及资金22.5万元。</w:t>
        <w:br/>
        <w:t xml:space="preserve">    2.部门决算中项目绩效自评结果。</w:t>
        <w:br/>
        <w:t xml:space="preserve">    （1）“工业攻坚小分队工作经费、科技活动经费”项目自评综述：根据年初设定的绩效目标，项目自评得分99.5分。项目年初预算数为22.5万元，执行数为12.78万元，完成预算的56.8%。项目绩效目标完成情况：1.鼓励工业企业升规纳统，提升规上企业生产质量和效益，引导企业走数字化、绿色化道路，推动全区工业经济高质量运行。2.为做好区产学研创新联盟建设、双创载体建设、持续高质量开展科技活动。3.为做好区小微企业融资担保业务审核工作。</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16.一般公共服务支出（类）商贸事务（款）事业运行（项）：反映事业单位的基本支出，不包括行政单位（包括实行公务员管理事业单位）后勤服务中心、医务室等附属事业单位。</w:t>
        <w:br/>
        <w:t xml:space="preserve">    17.一般公共服务支出（类）商贸事务（款）其他商贸事务支出（项）：反映除上述项目以外其他商贸事务方面的支出。</w:t>
        <w:br/>
        <w:t xml:space="preserve">    18.一般公共服务支出（类）商贸事务（款）招商引资（项）：反映用于招商引资、优化经济环境等方面的支出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224.78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153.36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224.78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224.78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225.85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225.85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224.78</w:t>
            </w:r>
          </w:p>
        </w:tc>
        <w:tc>
          <w:tcPr>
            <w:tcW w:w="1160" w:type="dxa"/>
            <w:tcBorders/>
            <w:vAlign w:val="center"/>
          </w:tcPr>
          <w:p>
            <w:pPr>
              <w:jc w:val="right"/>
            </w:pPr>
            <w:r>
              <w:rPr>
                <w:rFonts w:ascii="宋体" w:eastAsia="宋体" w:hAnsi="宋体" w:cs="宋体"/>
                <w:b/>
                <w:i w:val="0"/>
                <w:color w:val="000000"/>
                <w:sz w:val="14"/>
              </w:rPr>
              <w:t xml:space="preserve">224.78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153.37</w:t>
            </w:r>
          </w:p>
        </w:tc>
        <w:tc>
          <w:tcPr>
            <w:tcW w:w="1160" w:type="dxa"/>
            <w:tcBorders/>
            <w:vAlign w:val="center"/>
          </w:tcPr>
          <w:p>
            <w:pPr>
              <w:jc w:val="right"/>
            </w:pPr>
            <w:r>
              <w:rPr>
                <w:rFonts w:ascii="宋体" w:eastAsia="宋体" w:hAnsi="宋体" w:cs="宋体"/>
                <w:b w:val="0"/>
                <w:i w:val="0"/>
                <w:color w:val="000000"/>
                <w:sz w:val="14"/>
              </w:rPr>
              <w:t xml:space="preserve">153.37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153.37</w:t>
            </w:r>
          </w:p>
        </w:tc>
        <w:tc>
          <w:tcPr>
            <w:tcW w:w="1160" w:type="dxa"/>
            <w:tcBorders/>
            <w:vAlign w:val="center"/>
          </w:tcPr>
          <w:p>
            <w:pPr>
              <w:jc w:val="right"/>
            </w:pPr>
            <w:r>
              <w:rPr>
                <w:rFonts w:ascii="宋体" w:eastAsia="宋体" w:hAnsi="宋体" w:cs="宋体"/>
                <w:b w:val="0"/>
                <w:i w:val="0"/>
                <w:color w:val="000000"/>
                <w:sz w:val="14"/>
              </w:rPr>
              <w:t xml:space="preserve">153.37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7.08</w:t>
            </w:r>
          </w:p>
        </w:tc>
        <w:tc>
          <w:tcPr>
            <w:tcW w:w="1160" w:type="dxa"/>
            <w:tcBorders/>
            <w:vAlign w:val="center"/>
          </w:tcPr>
          <w:p>
            <w:pPr>
              <w:jc w:val="right"/>
            </w:pPr>
            <w:r>
              <w:rPr>
                <w:rFonts w:ascii="宋体" w:eastAsia="宋体" w:hAnsi="宋体" w:cs="宋体"/>
                <w:b w:val="0"/>
                <w:i w:val="0"/>
                <w:color w:val="000000"/>
                <w:sz w:val="14"/>
              </w:rPr>
              <w:t xml:space="preserve">7.08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140.58</w:t>
            </w:r>
          </w:p>
        </w:tc>
        <w:tc>
          <w:tcPr>
            <w:tcW w:w="1160" w:type="dxa"/>
            <w:tcBorders/>
            <w:vAlign w:val="center"/>
          </w:tcPr>
          <w:p>
            <w:pPr>
              <w:jc w:val="right"/>
            </w:pPr>
            <w:r>
              <w:rPr>
                <w:rFonts w:ascii="宋体" w:eastAsia="宋体" w:hAnsi="宋体" w:cs="宋体"/>
                <w:b w:val="0"/>
                <w:i w:val="0"/>
                <w:color w:val="000000"/>
                <w:sz w:val="14"/>
              </w:rPr>
              <w:t xml:space="preserve">140.58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其他商贸事务支出</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47.67</w:t>
            </w:r>
          </w:p>
        </w:tc>
        <w:tc>
          <w:tcPr>
            <w:tcW w:w="1160" w:type="dxa"/>
            <w:tcBorders/>
            <w:vAlign w:val="center"/>
          </w:tcPr>
          <w:p>
            <w:pPr>
              <w:jc w:val="right"/>
            </w:pPr>
            <w:r>
              <w:rPr>
                <w:rFonts w:ascii="宋体" w:eastAsia="宋体" w:hAnsi="宋体" w:cs="宋体"/>
                <w:b w:val="0"/>
                <w:i w:val="0"/>
                <w:color w:val="000000"/>
                <w:sz w:val="14"/>
              </w:rPr>
              <w:t xml:space="preserve">47.67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47.43</w:t>
            </w:r>
          </w:p>
        </w:tc>
        <w:tc>
          <w:tcPr>
            <w:tcW w:w="1160" w:type="dxa"/>
            <w:tcBorders/>
            <w:vAlign w:val="center"/>
          </w:tcPr>
          <w:p>
            <w:pPr>
              <w:jc w:val="right"/>
            </w:pPr>
            <w:r>
              <w:rPr>
                <w:rFonts w:ascii="宋体" w:eastAsia="宋体" w:hAnsi="宋体" w:cs="宋体"/>
                <w:b w:val="0"/>
                <w:i w:val="0"/>
                <w:color w:val="000000"/>
                <w:sz w:val="14"/>
              </w:rPr>
              <w:t xml:space="preserve">47.43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20.49</w:t>
            </w:r>
          </w:p>
        </w:tc>
        <w:tc>
          <w:tcPr>
            <w:tcW w:w="1160" w:type="dxa"/>
            <w:tcBorders/>
            <w:vAlign w:val="center"/>
          </w:tcPr>
          <w:p>
            <w:pPr>
              <w:jc w:val="right"/>
            </w:pPr>
            <w:r>
              <w:rPr>
                <w:rFonts w:ascii="宋体" w:eastAsia="宋体" w:hAnsi="宋体" w:cs="宋体"/>
                <w:b w:val="0"/>
                <w:i w:val="0"/>
                <w:color w:val="000000"/>
                <w:sz w:val="14"/>
              </w:rPr>
              <w:t xml:space="preserve">20.49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21.30</w:t>
            </w:r>
          </w:p>
        </w:tc>
        <w:tc>
          <w:tcPr>
            <w:tcW w:w="1160" w:type="dxa"/>
            <w:tcBorders/>
            <w:vAlign w:val="center"/>
          </w:tcPr>
          <w:p>
            <w:pPr>
              <w:jc w:val="right"/>
            </w:pPr>
            <w:r>
              <w:rPr>
                <w:rFonts w:ascii="宋体" w:eastAsia="宋体" w:hAnsi="宋体" w:cs="宋体"/>
                <w:b w:val="0"/>
                <w:i w:val="0"/>
                <w:color w:val="000000"/>
                <w:sz w:val="14"/>
              </w:rPr>
              <w:t xml:space="preserve">21.30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8.18</w:t>
            </w:r>
          </w:p>
        </w:tc>
        <w:tc>
          <w:tcPr>
            <w:tcW w:w="1160" w:type="dxa"/>
            <w:tcBorders/>
            <w:vAlign w:val="center"/>
          </w:tcPr>
          <w:p>
            <w:pPr>
              <w:jc w:val="right"/>
            </w:pPr>
            <w:r>
              <w:rPr>
                <w:rFonts w:ascii="宋体" w:eastAsia="宋体" w:hAnsi="宋体" w:cs="宋体"/>
                <w:b w:val="0"/>
                <w:i w:val="0"/>
                <w:color w:val="000000"/>
                <w:sz w:val="14"/>
              </w:rPr>
              <w:t xml:space="preserve">8.18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jc w:val="right"/>
            </w:pPr>
            <w:r>
              <w:rPr>
                <w:rFonts w:ascii="宋体" w:eastAsia="宋体" w:hAnsi="宋体" w:cs="宋体"/>
                <w:b w:val="0"/>
                <w:i w:val="0"/>
                <w:color w:val="000000"/>
                <w:sz w:val="14"/>
              </w:rPr>
              <w:t xml:space="preserve">15.35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224.78</w:t>
            </w:r>
          </w:p>
        </w:tc>
        <w:tc>
          <w:tcPr>
            <w:tcW w:w="1120" w:type="dxa"/>
            <w:tcBorders/>
            <w:vAlign w:val="center"/>
          </w:tcPr>
          <w:p>
            <w:pPr>
              <w:jc w:val="right"/>
            </w:pPr>
            <w:r>
              <w:rPr>
                <w:rFonts w:ascii="宋体" w:eastAsia="宋体" w:hAnsi="宋体" w:cs="宋体"/>
                <w:b/>
                <w:i w:val="0"/>
                <w:color w:val="000000"/>
                <w:sz w:val="16"/>
              </w:rPr>
              <w:t xml:space="preserve">212.00</w:t>
            </w:r>
          </w:p>
        </w:tc>
        <w:tc>
          <w:tcPr>
            <w:tcW w:w="1120" w:type="dxa"/>
            <w:tcBorders/>
            <w:vAlign w:val="center"/>
          </w:tcPr>
          <w:p>
            <w:pPr>
              <w:jc w:val="right"/>
            </w:pPr>
            <w:r>
              <w:rPr>
                <w:rFonts w:ascii="宋体" w:eastAsia="宋体" w:hAnsi="宋体" w:cs="宋体"/>
                <w:b/>
                <w:i w:val="0"/>
                <w:color w:val="000000"/>
                <w:sz w:val="16"/>
              </w:rPr>
              <w:t xml:space="preserve">12.78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153.37</w:t>
            </w:r>
          </w:p>
        </w:tc>
        <w:tc>
          <w:tcPr>
            <w:tcW w:w="1120" w:type="dxa"/>
            <w:tcBorders/>
            <w:vAlign w:val="center"/>
          </w:tcPr>
          <w:p>
            <w:pPr>
              <w:jc w:val="right"/>
            </w:pPr>
            <w:r>
              <w:rPr>
                <w:rFonts w:ascii="宋体" w:eastAsia="宋体" w:hAnsi="宋体" w:cs="宋体"/>
                <w:b w:val="0"/>
                <w:i w:val="0"/>
                <w:color w:val="000000"/>
                <w:sz w:val="16"/>
              </w:rPr>
              <w:t xml:space="preserve">140.58</w:t>
            </w:r>
          </w:p>
        </w:tc>
        <w:tc>
          <w:tcPr>
            <w:tcW w:w="1120" w:type="dxa"/>
            <w:tcBorders/>
            <w:vAlign w:val="center"/>
          </w:tcPr>
          <w:p>
            <w:pPr>
              <w:jc w:val="right"/>
            </w:pPr>
            <w:r>
              <w:rPr>
                <w:rFonts w:ascii="宋体" w:eastAsia="宋体" w:hAnsi="宋体" w:cs="宋体"/>
                <w:b w:val="0"/>
                <w:i w:val="0"/>
                <w:color w:val="000000"/>
                <w:sz w:val="16"/>
              </w:rPr>
              <w:t xml:space="preserve">12.79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153.37</w:t>
            </w:r>
          </w:p>
        </w:tc>
        <w:tc>
          <w:tcPr>
            <w:tcW w:w="1120" w:type="dxa"/>
            <w:tcBorders/>
            <w:vAlign w:val="center"/>
          </w:tcPr>
          <w:p>
            <w:pPr>
              <w:jc w:val="right"/>
            </w:pPr>
            <w:r>
              <w:rPr>
                <w:rFonts w:ascii="宋体" w:eastAsia="宋体" w:hAnsi="宋体" w:cs="宋体"/>
                <w:b w:val="0"/>
                <w:i w:val="0"/>
                <w:color w:val="000000"/>
                <w:sz w:val="16"/>
              </w:rPr>
              <w:t xml:space="preserve">140.58</w:t>
            </w:r>
          </w:p>
        </w:tc>
        <w:tc>
          <w:tcPr>
            <w:tcW w:w="1120" w:type="dxa"/>
            <w:tcBorders/>
            <w:vAlign w:val="center"/>
          </w:tcPr>
          <w:p>
            <w:pPr>
              <w:jc w:val="right"/>
            </w:pPr>
            <w:r>
              <w:rPr>
                <w:rFonts w:ascii="宋体" w:eastAsia="宋体" w:hAnsi="宋体" w:cs="宋体"/>
                <w:b w:val="0"/>
                <w:i w:val="0"/>
                <w:color w:val="000000"/>
                <w:sz w:val="16"/>
              </w:rPr>
              <w:t xml:space="preserve">12.79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7.08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140.58</w:t>
            </w:r>
          </w:p>
        </w:tc>
        <w:tc>
          <w:tcPr>
            <w:tcW w:w="1120" w:type="dxa"/>
            <w:tcBorders/>
            <w:vAlign w:val="center"/>
          </w:tcPr>
          <w:p>
            <w:pPr>
              <w:jc w:val="right"/>
            </w:pPr>
            <w:r>
              <w:rPr>
                <w:rFonts w:ascii="宋体" w:eastAsia="宋体" w:hAnsi="宋体" w:cs="宋体"/>
                <w:b w:val="0"/>
                <w:i w:val="0"/>
                <w:color w:val="000000"/>
                <w:sz w:val="16"/>
              </w:rPr>
              <w:t xml:space="preserve">140.58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其他商贸事务支出</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47.67</w:t>
            </w:r>
          </w:p>
        </w:tc>
        <w:tc>
          <w:tcPr>
            <w:tcW w:w="1120" w:type="dxa"/>
            <w:tcBorders/>
            <w:vAlign w:val="center"/>
          </w:tcPr>
          <w:p>
            <w:pPr>
              <w:jc w:val="right"/>
            </w:pPr>
            <w:r>
              <w:rPr>
                <w:rFonts w:ascii="宋体" w:eastAsia="宋体" w:hAnsi="宋体" w:cs="宋体"/>
                <w:b w:val="0"/>
                <w:i w:val="0"/>
                <w:color w:val="000000"/>
                <w:sz w:val="16"/>
              </w:rPr>
              <w:t xml:space="preserve">47.67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47.43</w:t>
            </w:r>
          </w:p>
        </w:tc>
        <w:tc>
          <w:tcPr>
            <w:tcW w:w="1120" w:type="dxa"/>
            <w:tcBorders/>
            <w:vAlign w:val="center"/>
          </w:tcPr>
          <w:p>
            <w:pPr>
              <w:jc w:val="right"/>
            </w:pPr>
            <w:r>
              <w:rPr>
                <w:rFonts w:ascii="宋体" w:eastAsia="宋体" w:hAnsi="宋体" w:cs="宋体"/>
                <w:b w:val="0"/>
                <w:i w:val="0"/>
                <w:color w:val="000000"/>
                <w:sz w:val="16"/>
              </w:rPr>
              <w:t xml:space="preserve">47.43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20.49</w:t>
            </w:r>
          </w:p>
        </w:tc>
        <w:tc>
          <w:tcPr>
            <w:tcW w:w="1120" w:type="dxa"/>
            <w:tcBorders/>
            <w:vAlign w:val="center"/>
          </w:tcPr>
          <w:p>
            <w:pPr>
              <w:jc w:val="right"/>
            </w:pPr>
            <w:r>
              <w:rPr>
                <w:rFonts w:ascii="宋体" w:eastAsia="宋体" w:hAnsi="宋体" w:cs="宋体"/>
                <w:b w:val="0"/>
                <w:i w:val="0"/>
                <w:color w:val="000000"/>
                <w:sz w:val="16"/>
              </w:rPr>
              <w:t xml:space="preserve">20.49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21.30</w:t>
            </w:r>
          </w:p>
        </w:tc>
        <w:tc>
          <w:tcPr>
            <w:tcW w:w="1120" w:type="dxa"/>
            <w:tcBorders/>
            <w:vAlign w:val="center"/>
          </w:tcPr>
          <w:p>
            <w:pPr>
              <w:jc w:val="right"/>
            </w:pPr>
            <w:r>
              <w:rPr>
                <w:rFonts w:ascii="宋体" w:eastAsia="宋体" w:hAnsi="宋体" w:cs="宋体"/>
                <w:b w:val="0"/>
                <w:i w:val="0"/>
                <w:color w:val="000000"/>
                <w:sz w:val="16"/>
              </w:rPr>
              <w:t xml:space="preserve">21.30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8.18</w:t>
            </w:r>
          </w:p>
        </w:tc>
        <w:tc>
          <w:tcPr>
            <w:tcW w:w="1120" w:type="dxa"/>
            <w:tcBorders/>
            <w:vAlign w:val="center"/>
          </w:tcPr>
          <w:p>
            <w:pPr>
              <w:jc w:val="right"/>
            </w:pPr>
            <w:r>
              <w:rPr>
                <w:rFonts w:ascii="宋体" w:eastAsia="宋体" w:hAnsi="宋体" w:cs="宋体"/>
                <w:b w:val="0"/>
                <w:i w:val="0"/>
                <w:color w:val="000000"/>
                <w:sz w:val="16"/>
              </w:rPr>
              <w:t xml:space="preserve">8.18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jc w:val="right"/>
            </w:pPr>
            <w:r>
              <w:rPr>
                <w:rFonts w:ascii="宋体" w:eastAsia="宋体" w:hAnsi="宋体" w:cs="宋体"/>
                <w:b w:val="0"/>
                <w:i w:val="0"/>
                <w:color w:val="000000"/>
                <w:sz w:val="16"/>
              </w:rPr>
              <w:t xml:space="preserve">15.35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153.36</w:t>
            </w:r>
          </w:p>
        </w:tc>
        <w:tc>
          <w:tcPr>
            <w:tcW w:w="1100" w:type="dxa"/>
            <w:tcBorders/>
            <w:vAlign w:val="center"/>
          </w:tcPr>
          <w:p>
            <w:pPr>
              <w:jc w:val="right"/>
            </w:pPr>
            <w:r>
              <w:rPr>
                <w:rFonts w:ascii="宋体" w:eastAsia="宋体" w:hAnsi="宋体" w:cs="宋体"/>
                <w:b w:val="0"/>
                <w:i w:val="0"/>
                <w:color w:val="000000"/>
                <w:sz w:val="14"/>
              </w:rPr>
              <w:t xml:space="preserve">153.36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47.67</w:t>
            </w:r>
          </w:p>
        </w:tc>
        <w:tc>
          <w:tcPr>
            <w:tcW w:w="1100" w:type="dxa"/>
            <w:tcBorders/>
            <w:vAlign w:val="center"/>
          </w:tcPr>
          <w:p>
            <w:pPr>
              <w:jc w:val="right"/>
            </w:pPr>
            <w:r>
              <w:rPr>
                <w:rFonts w:ascii="宋体" w:eastAsia="宋体" w:hAnsi="宋体" w:cs="宋体"/>
                <w:b w:val="0"/>
                <w:i w:val="0"/>
                <w:color w:val="000000"/>
                <w:sz w:val="14"/>
              </w:rPr>
              <w:t xml:space="preserve">47.67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8.40</w:t>
            </w:r>
          </w:p>
        </w:tc>
        <w:tc>
          <w:tcPr>
            <w:tcW w:w="1100" w:type="dxa"/>
            <w:tcBorders/>
            <w:vAlign w:val="center"/>
          </w:tcPr>
          <w:p>
            <w:pPr>
              <w:jc w:val="right"/>
            </w:pPr>
            <w:r>
              <w:rPr>
                <w:rFonts w:ascii="宋体" w:eastAsia="宋体" w:hAnsi="宋体" w:cs="宋体"/>
                <w:b w:val="0"/>
                <w:i w:val="0"/>
                <w:color w:val="000000"/>
                <w:sz w:val="14"/>
              </w:rPr>
              <w:t xml:space="preserve">8.40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15.35</w:t>
            </w:r>
          </w:p>
        </w:tc>
        <w:tc>
          <w:tcPr>
            <w:tcW w:w="1100" w:type="dxa"/>
            <w:tcBorders/>
            <w:vAlign w:val="center"/>
          </w:tcPr>
          <w:p>
            <w:pPr>
              <w:jc w:val="right"/>
            </w:pPr>
            <w:r>
              <w:rPr>
                <w:rFonts w:ascii="宋体" w:eastAsia="宋体" w:hAnsi="宋体" w:cs="宋体"/>
                <w:b w:val="0"/>
                <w:i w:val="0"/>
                <w:color w:val="000000"/>
                <w:sz w:val="14"/>
              </w:rPr>
              <w:t xml:space="preserve">15.35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1100" w:type="dxa"/>
            <w:tcBorders/>
            <w:vAlign w:val="center"/>
          </w:tcPr>
          <w:p>
            <w:pPr>
              <w:jc w:val="right"/>
            </w:pPr>
            <w:r>
              <w:rPr>
                <w:rFonts w:ascii="宋体" w:eastAsia="宋体" w:hAnsi="宋体" w:cs="宋体"/>
                <w:b w:val="0"/>
                <w:i w:val="0"/>
                <w:color w:val="000000"/>
                <w:sz w:val="14"/>
              </w:rPr>
              <w:t xml:space="preserve">224.78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224.78</w:t>
            </w:r>
          </w:p>
        </w:tc>
        <w:tc>
          <w:tcPr>
            <w:tcW w:w="1980" w:type="dxa"/>
            <w:tcBorders/>
            <w:vAlign w:val="center"/>
          </w:tcPr>
          <w:p>
            <w:pPr>
              <w:jc w:val="right"/>
            </w:pPr>
            <w:r>
              <w:rPr>
                <w:rFonts w:ascii="宋体" w:eastAsia="宋体" w:hAnsi="宋体" w:cs="宋体"/>
                <w:b/>
                <w:i w:val="0"/>
                <w:color w:val="000000"/>
                <w:sz w:val="20"/>
              </w:rPr>
              <w:t xml:space="preserve">212.00</w:t>
            </w:r>
          </w:p>
        </w:tc>
        <w:tc>
          <w:tcPr>
            <w:tcW w:w="1952" w:type="dxa"/>
            <w:tcBorders/>
            <w:vAlign w:val="center"/>
          </w:tcPr>
          <w:p>
            <w:pPr>
              <w:jc w:val="right"/>
            </w:pPr>
            <w:r>
              <w:rPr>
                <w:rFonts w:ascii="宋体" w:eastAsia="宋体" w:hAnsi="宋体" w:cs="宋体"/>
                <w:b/>
                <w:i w:val="0"/>
                <w:color w:val="000000"/>
                <w:sz w:val="20"/>
              </w:rPr>
              <w:t xml:space="preserve">12.78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153.37</w:t>
            </w:r>
          </w:p>
        </w:tc>
        <w:tc>
          <w:tcPr>
            <w:tcW w:w="1980" w:type="dxa"/>
            <w:tcBorders/>
            <w:vAlign w:val="center"/>
          </w:tcPr>
          <w:p>
            <w:pPr>
              <w:jc w:val="right"/>
            </w:pPr>
            <w:r>
              <w:rPr>
                <w:rFonts w:ascii="宋体" w:eastAsia="宋体" w:hAnsi="宋体" w:cs="宋体"/>
                <w:b w:val="0"/>
                <w:i w:val="0"/>
                <w:color w:val="000000"/>
                <w:sz w:val="20"/>
              </w:rPr>
              <w:t xml:space="preserve">140.58</w:t>
            </w:r>
          </w:p>
        </w:tc>
        <w:tc>
          <w:tcPr>
            <w:tcW w:w="1952" w:type="dxa"/>
            <w:tcBorders/>
            <w:vAlign w:val="center"/>
          </w:tcPr>
          <w:p>
            <w:pPr>
              <w:jc w:val="right"/>
            </w:pPr>
            <w:r>
              <w:rPr>
                <w:rFonts w:ascii="宋体" w:eastAsia="宋体" w:hAnsi="宋体" w:cs="宋体"/>
                <w:b w:val="0"/>
                <w:i w:val="0"/>
                <w:color w:val="000000"/>
                <w:sz w:val="20"/>
              </w:rPr>
              <w:t xml:space="preserve">12.79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153.37</w:t>
            </w:r>
          </w:p>
        </w:tc>
        <w:tc>
          <w:tcPr>
            <w:tcW w:w="1980" w:type="dxa"/>
            <w:tcBorders/>
            <w:vAlign w:val="center"/>
          </w:tcPr>
          <w:p>
            <w:pPr>
              <w:jc w:val="right"/>
            </w:pPr>
            <w:r>
              <w:rPr>
                <w:rFonts w:ascii="宋体" w:eastAsia="宋体" w:hAnsi="宋体" w:cs="宋体"/>
                <w:b w:val="0"/>
                <w:i w:val="0"/>
                <w:color w:val="000000"/>
                <w:sz w:val="20"/>
              </w:rPr>
              <w:t xml:space="preserve">140.58</w:t>
            </w:r>
          </w:p>
        </w:tc>
        <w:tc>
          <w:tcPr>
            <w:tcW w:w="1952" w:type="dxa"/>
            <w:tcBorders/>
            <w:vAlign w:val="center"/>
          </w:tcPr>
          <w:p>
            <w:pPr>
              <w:jc w:val="right"/>
            </w:pPr>
            <w:r>
              <w:rPr>
                <w:rFonts w:ascii="宋体" w:eastAsia="宋体" w:hAnsi="宋体" w:cs="宋体"/>
                <w:b w:val="0"/>
                <w:i w:val="0"/>
                <w:color w:val="000000"/>
                <w:sz w:val="20"/>
              </w:rPr>
              <w:t xml:space="preserve">12.79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7.08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140.58</w:t>
            </w:r>
          </w:p>
        </w:tc>
        <w:tc>
          <w:tcPr>
            <w:tcW w:w="1980" w:type="dxa"/>
            <w:tcBorders/>
            <w:vAlign w:val="center"/>
          </w:tcPr>
          <w:p>
            <w:pPr>
              <w:jc w:val="right"/>
            </w:pPr>
            <w:r>
              <w:rPr>
                <w:rFonts w:ascii="宋体" w:eastAsia="宋体" w:hAnsi="宋体" w:cs="宋体"/>
                <w:b w:val="0"/>
                <w:i w:val="0"/>
                <w:color w:val="000000"/>
                <w:sz w:val="20"/>
              </w:rPr>
              <w:t xml:space="preserve">140.58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其他商贸事务支出</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47.67</w:t>
            </w:r>
          </w:p>
        </w:tc>
        <w:tc>
          <w:tcPr>
            <w:tcW w:w="1980" w:type="dxa"/>
            <w:tcBorders/>
            <w:vAlign w:val="center"/>
          </w:tcPr>
          <w:p>
            <w:pPr>
              <w:jc w:val="right"/>
            </w:pPr>
            <w:r>
              <w:rPr>
                <w:rFonts w:ascii="宋体" w:eastAsia="宋体" w:hAnsi="宋体" w:cs="宋体"/>
                <w:b w:val="0"/>
                <w:i w:val="0"/>
                <w:color w:val="000000"/>
                <w:sz w:val="20"/>
              </w:rPr>
              <w:t xml:space="preserve">47.67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47.43</w:t>
            </w:r>
          </w:p>
        </w:tc>
        <w:tc>
          <w:tcPr>
            <w:tcW w:w="1980" w:type="dxa"/>
            <w:tcBorders/>
            <w:vAlign w:val="center"/>
          </w:tcPr>
          <w:p>
            <w:pPr>
              <w:jc w:val="right"/>
            </w:pPr>
            <w:r>
              <w:rPr>
                <w:rFonts w:ascii="宋体" w:eastAsia="宋体" w:hAnsi="宋体" w:cs="宋体"/>
                <w:b w:val="0"/>
                <w:i w:val="0"/>
                <w:color w:val="000000"/>
                <w:sz w:val="20"/>
              </w:rPr>
              <w:t xml:space="preserve">47.43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20.49</w:t>
            </w:r>
          </w:p>
        </w:tc>
        <w:tc>
          <w:tcPr>
            <w:tcW w:w="1980" w:type="dxa"/>
            <w:tcBorders/>
            <w:vAlign w:val="center"/>
          </w:tcPr>
          <w:p>
            <w:pPr>
              <w:jc w:val="right"/>
            </w:pPr>
            <w:r>
              <w:rPr>
                <w:rFonts w:ascii="宋体" w:eastAsia="宋体" w:hAnsi="宋体" w:cs="宋体"/>
                <w:b w:val="0"/>
                <w:i w:val="0"/>
                <w:color w:val="000000"/>
                <w:sz w:val="20"/>
              </w:rPr>
              <w:t xml:space="preserve">20.49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21.30</w:t>
            </w:r>
          </w:p>
        </w:tc>
        <w:tc>
          <w:tcPr>
            <w:tcW w:w="1980" w:type="dxa"/>
            <w:tcBorders/>
            <w:vAlign w:val="center"/>
          </w:tcPr>
          <w:p>
            <w:pPr>
              <w:jc w:val="right"/>
            </w:pPr>
            <w:r>
              <w:rPr>
                <w:rFonts w:ascii="宋体" w:eastAsia="宋体" w:hAnsi="宋体" w:cs="宋体"/>
                <w:b w:val="0"/>
                <w:i w:val="0"/>
                <w:color w:val="000000"/>
                <w:sz w:val="20"/>
              </w:rPr>
              <w:t xml:space="preserve">21.30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8.18</w:t>
            </w:r>
          </w:p>
        </w:tc>
        <w:tc>
          <w:tcPr>
            <w:tcW w:w="1980" w:type="dxa"/>
            <w:tcBorders/>
            <w:vAlign w:val="center"/>
          </w:tcPr>
          <w:p>
            <w:pPr>
              <w:jc w:val="right"/>
            </w:pPr>
            <w:r>
              <w:rPr>
                <w:rFonts w:ascii="宋体" w:eastAsia="宋体" w:hAnsi="宋体" w:cs="宋体"/>
                <w:b w:val="0"/>
                <w:i w:val="0"/>
                <w:color w:val="000000"/>
                <w:sz w:val="20"/>
              </w:rPr>
              <w:t xml:space="preserve">8.18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80" w:type="dxa"/>
            <w:tcBorders/>
            <w:vAlign w:val="center"/>
          </w:tcPr>
          <w:p>
            <w:pPr>
              <w:jc w:val="right"/>
            </w:pPr>
            <w:r>
              <w:rPr>
                <w:rFonts w:ascii="宋体" w:eastAsia="宋体" w:hAnsi="宋体" w:cs="宋体"/>
                <w:b w:val="0"/>
                <w:i w:val="0"/>
                <w:color w:val="000000"/>
                <w:sz w:val="20"/>
              </w:rPr>
              <w:t xml:space="preserve">15.35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197.78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78.60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7.18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39.21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14.19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20.49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21.30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15.35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5.69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5.59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203.47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8.52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单位：辽宁省盘锦市大洼区企业发展服务中心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045001盘锦市大洼区企业发展服务中心本级-211104000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197.1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