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辽宁省盘锦市大洼区法律援助中心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辽宁省盘锦市大洼区法律援助中心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辽宁省盘锦市大洼区法律援助中心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辽宁省盘锦市大洼区法律援助中心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辽宁省盘锦市大洼区法律援助中心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辽宁省盘锦市大洼区法律援助中心概况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（一）负责法律事务咨询、矛盾纠纷化解、困难群众维权、法律服务指引和提供，为群众提供“窗口化”“专业化”“一站式”的公共法律服务；</w:t>
        <w:br/>
        <w:t xml:space="preserve">    （二）负责全区公共法律服务“实体平台”、“网络平台”、“热线平台”建设、融合运行的指挥调度、组织协调和服务指导的事务性工作；  </w:t>
        <w:br/>
        <w:t xml:space="preserve">    （三）负责全区各级人民调解中心以及专业性、行业性调解组织建设运行的指挥调度、组织协调和服务指导的事务性工作；</w:t>
        <w:br/>
        <w:t xml:space="preserve">    （四）负责受理跨区域、跨行业、跨部门和群体性疑难复杂矛盾纠纷案件的调处工作以及开展人民调解员的业务培训工作；  </w:t>
        <w:br/>
        <w:t xml:space="preserve">    （五）负责全区人民调解与行政调解、司法调解、仲裁调解、信访事项调解以及网格中心的衔接联动等服务保障工作。</w:t>
        <w:br/>
        <w:t xml:space="preserve">    （六）负责接待到区委、区政府机关的群众来访，提供法律咨询，做好矛盾纠纷受理和分流处理工作；负责各类来访的登记、受理工作；组织指导全区信访接待处理工作；定期分析研究信访信息，通报全区信访工作情况；负责来访人员的疏导教育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辽宁省盘锦市大洼区法律援助中心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单位为盘锦市大洼区法律援助中心，单位性质为事业单位，决算编报类型为单户表，按照政府会计制度填报决算数据。</w:t>
        <w:br/>
        <w:t xml:space="preserve">    纳入本套决算编制范围的独立核算单位共1个，与上年无变化。</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468.26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468.26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468.26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增加1.03万元，增长0.22%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人员工资增加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468.26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468.26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工资福利支出456.98万元；商品和服务支出7.42万元；对个人和家庭的补助1.56万元；资本性支出2.31万元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增加1.03万元，增长0.22%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工资上调</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468.26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468.26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增加1.03万元，增长0.22%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工资调整</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105.12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106.03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2023年度一般公共预算财政拨款支出468.26万元。按支出功能分类科目分，包括：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1.公共安全支出352.69万元，具体包括：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（1）公共安全支出（类）司法（款）事业运行（项）352.69万元,主要是人员工资支出等支出，完成年初预算的100%，决算数与年初预算数存在差异的主要原因是工资调整。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2.社会保障和就业支出57.63万元，具体包括：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（1）社会保障和就业支出（类）行政事业单位养老支出（款）事业单位离退休（项）1.45万元,主要是事业单位离退休等支出，完成年初预算的100%，决算数与年初预算数存在差异的主要原因是无。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50.17万元,主要是在职人员基本养老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5.41万元,主要是在职人员职业年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（4）社会保障和就业支出（类）其他社会保障和就业支出（款）其他社会保障和就业支出（项）0.60万元,主要是在职人员工伤保险等支出，完成年初预算的100%，决算数与年初预算数存在差异的主要原因是无。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3.卫生健康支出20.27万元，具体包括：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（1）卫生健康支出（类）行政事业单位医疗（款）事业单位医疗（项）20.01万元,主要是在职人员医疗保险等支出，完成年初预算的100%，决算数与年初预算数存在差异的主要原因是无。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（2）卫生健康支出（类）行政事业单位医疗（款）其他行政事业单位医疗支出（项）0.26万元,主要是在职人员大额医疗保险等支出，完成年初预算的100%，决算数与年初预算数存在差异的主要原因是无。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4.住房保障支出37.68万元，具体包括：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（1）住房保障支出（类）住房改革支出（款）住房公积金（项）37.68万元,主要是在职人员住房公积金等支出，完成年初预算的100%，决算数与年初预算数存在差异的主要原因是无。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468.27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458.54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9.73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本年预算项目的执行按项目资金的管理办法执行，严格按照财政专项资金的审批拨付，实行专款专用。资金到位及时，会计核算做到真实、完整、及时，支出审批程序严谨，符合国家财经法规和财务管理及项目资金管理等规定。度按照要求完成绩效目标。</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16.公共安全支出（类）司法（款）事业运行（项）：反映财政部门集中安排的人员工资支出。</w:t>
        <w:br/>
        <w:t xml:space="preserve">    17.社会保障和就业支出（类）行政事业单位养老支出（款）机关事业单位基本养老保险缴费支出（项）：反应财政部门集中安排的在职人员基本养老等支出。</w:t>
        <w:br/>
        <w:t xml:space="preserve">    18.社会保障和就业支出（类）行政事业单位养老支出（款）机关事业单位职业年金缴费支出（项）：反映财政部门集中安排的在职人员职业年金等支出。</w:t>
        <w:br/>
        <w:t xml:space="preserve">    19.社会保障和就业支出（类）其他社会保障和就业支出（款）其他社会保障和就业支出（项）：反映财政部门集中安排的在职人员工伤保险等支出。</w:t>
        <w:br/>
        <w:t xml:space="preserve">    20.社会保障和就业支出（类）行政事业单位养老支出（款）事业单位离退休（项）：反映财政部门集中安排的退休人员相关支出。</w:t>
        <w:br/>
        <w:t xml:space="preserve">    21.卫生健康支出（类）行政事业单位医疗（款）事业单位医疗（项）：反映财政部门集中安排的事业单位基本医疗保险缴费。</w:t>
        <w:br/>
        <w:t xml:space="preserve">    22.卫生健康支出（类）行政事业单位医疗（款）其他行政事业单位医疗支出（项）：反映在职人员大额医疗保险等支出。</w:t>
        <w:br/>
        <w:t xml:space="preserve">    23.</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468.26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352.69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57.63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20.27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37.68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468.26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468.26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468.26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468.26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468.26</w:t>
            </w:r>
          </w:p>
        </w:tc>
        <w:tc>
          <w:tcPr>
            <w:tcW w:w="1160" w:type="dxa"/>
            <w:tcBorders/>
            <w:vAlign w:val="center"/>
          </w:tcPr>
          <w:p>
            <w:pPr>
              <w:jc w:val="right"/>
            </w:pPr>
            <w:r>
              <w:rPr>
                <w:rFonts w:ascii="宋体" w:eastAsia="宋体" w:hAnsi="宋体" w:cs="宋体"/>
                <w:b/>
                <w:i w:val="0"/>
                <w:color w:val="000000"/>
                <w:sz w:val="14"/>
              </w:rPr>
              <w:t xml:space="preserve">468.26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352.69</w:t>
            </w:r>
          </w:p>
        </w:tc>
        <w:tc>
          <w:tcPr>
            <w:tcW w:w="1160" w:type="dxa"/>
            <w:tcBorders/>
            <w:vAlign w:val="center"/>
          </w:tcPr>
          <w:p>
            <w:pPr>
              <w:jc w:val="right"/>
            </w:pPr>
            <w:r>
              <w:rPr>
                <w:rFonts w:ascii="宋体" w:eastAsia="宋体" w:hAnsi="宋体" w:cs="宋体"/>
                <w:b w:val="0"/>
                <w:i w:val="0"/>
                <w:color w:val="000000"/>
                <w:sz w:val="14"/>
              </w:rPr>
              <w:t xml:space="preserve">352.69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352.69</w:t>
            </w:r>
          </w:p>
        </w:tc>
        <w:tc>
          <w:tcPr>
            <w:tcW w:w="1160" w:type="dxa"/>
            <w:tcBorders/>
            <w:vAlign w:val="center"/>
          </w:tcPr>
          <w:p>
            <w:pPr>
              <w:jc w:val="right"/>
            </w:pPr>
            <w:r>
              <w:rPr>
                <w:rFonts w:ascii="宋体" w:eastAsia="宋体" w:hAnsi="宋体" w:cs="宋体"/>
                <w:b w:val="0"/>
                <w:i w:val="0"/>
                <w:color w:val="000000"/>
                <w:sz w:val="14"/>
              </w:rPr>
              <w:t xml:space="preserve">352.69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352.69</w:t>
            </w:r>
          </w:p>
        </w:tc>
        <w:tc>
          <w:tcPr>
            <w:tcW w:w="1160" w:type="dxa"/>
            <w:tcBorders/>
            <w:vAlign w:val="center"/>
          </w:tcPr>
          <w:p>
            <w:pPr>
              <w:jc w:val="right"/>
            </w:pPr>
            <w:r>
              <w:rPr>
                <w:rFonts w:ascii="宋体" w:eastAsia="宋体" w:hAnsi="宋体" w:cs="宋体"/>
                <w:b w:val="0"/>
                <w:i w:val="0"/>
                <w:color w:val="000000"/>
                <w:sz w:val="14"/>
              </w:rPr>
              <w:t xml:space="preserve">352.69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57.63</w:t>
            </w:r>
          </w:p>
        </w:tc>
        <w:tc>
          <w:tcPr>
            <w:tcW w:w="1160" w:type="dxa"/>
            <w:tcBorders/>
            <w:vAlign w:val="center"/>
          </w:tcPr>
          <w:p>
            <w:pPr>
              <w:jc w:val="right"/>
            </w:pPr>
            <w:r>
              <w:rPr>
                <w:rFonts w:ascii="宋体" w:eastAsia="宋体" w:hAnsi="宋体" w:cs="宋体"/>
                <w:b w:val="0"/>
                <w:i w:val="0"/>
                <w:color w:val="000000"/>
                <w:sz w:val="14"/>
              </w:rPr>
              <w:t xml:space="preserve">57.63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57.03</w:t>
            </w:r>
          </w:p>
        </w:tc>
        <w:tc>
          <w:tcPr>
            <w:tcW w:w="1160" w:type="dxa"/>
            <w:tcBorders/>
            <w:vAlign w:val="center"/>
          </w:tcPr>
          <w:p>
            <w:pPr>
              <w:jc w:val="right"/>
            </w:pPr>
            <w:r>
              <w:rPr>
                <w:rFonts w:ascii="宋体" w:eastAsia="宋体" w:hAnsi="宋体" w:cs="宋体"/>
                <w:b w:val="0"/>
                <w:i w:val="0"/>
                <w:color w:val="000000"/>
                <w:sz w:val="14"/>
              </w:rPr>
              <w:t xml:space="preserve">57.03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1.45</w:t>
            </w:r>
          </w:p>
        </w:tc>
        <w:tc>
          <w:tcPr>
            <w:tcW w:w="1160" w:type="dxa"/>
            <w:tcBorders/>
            <w:vAlign w:val="center"/>
          </w:tcPr>
          <w:p>
            <w:pPr>
              <w:jc w:val="right"/>
            </w:pPr>
            <w:r>
              <w:rPr>
                <w:rFonts w:ascii="宋体" w:eastAsia="宋体" w:hAnsi="宋体" w:cs="宋体"/>
                <w:b w:val="0"/>
                <w:i w:val="0"/>
                <w:color w:val="000000"/>
                <w:sz w:val="14"/>
              </w:rPr>
              <w:t xml:space="preserve">1.45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50.17</w:t>
            </w:r>
          </w:p>
        </w:tc>
        <w:tc>
          <w:tcPr>
            <w:tcW w:w="1160" w:type="dxa"/>
            <w:tcBorders/>
            <w:vAlign w:val="center"/>
          </w:tcPr>
          <w:p>
            <w:pPr>
              <w:jc w:val="right"/>
            </w:pPr>
            <w:r>
              <w:rPr>
                <w:rFonts w:ascii="宋体" w:eastAsia="宋体" w:hAnsi="宋体" w:cs="宋体"/>
                <w:b w:val="0"/>
                <w:i w:val="0"/>
                <w:color w:val="000000"/>
                <w:sz w:val="14"/>
              </w:rPr>
              <w:t xml:space="preserve">50.17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5.41</w:t>
            </w:r>
          </w:p>
        </w:tc>
        <w:tc>
          <w:tcPr>
            <w:tcW w:w="1160" w:type="dxa"/>
            <w:tcBorders/>
            <w:vAlign w:val="center"/>
          </w:tcPr>
          <w:p>
            <w:pPr>
              <w:jc w:val="right"/>
            </w:pPr>
            <w:r>
              <w:rPr>
                <w:rFonts w:ascii="宋体" w:eastAsia="宋体" w:hAnsi="宋体" w:cs="宋体"/>
                <w:b w:val="0"/>
                <w:i w:val="0"/>
                <w:color w:val="000000"/>
                <w:sz w:val="14"/>
              </w:rPr>
              <w:t xml:space="preserve">5.41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20.27</w:t>
            </w:r>
          </w:p>
        </w:tc>
        <w:tc>
          <w:tcPr>
            <w:tcW w:w="1160" w:type="dxa"/>
            <w:tcBorders/>
            <w:vAlign w:val="center"/>
          </w:tcPr>
          <w:p>
            <w:pPr>
              <w:jc w:val="right"/>
            </w:pPr>
            <w:r>
              <w:rPr>
                <w:rFonts w:ascii="宋体" w:eastAsia="宋体" w:hAnsi="宋体" w:cs="宋体"/>
                <w:b w:val="0"/>
                <w:i w:val="0"/>
                <w:color w:val="000000"/>
                <w:sz w:val="14"/>
              </w:rPr>
              <w:t xml:space="preserve">20.27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20.27</w:t>
            </w:r>
          </w:p>
        </w:tc>
        <w:tc>
          <w:tcPr>
            <w:tcW w:w="1160" w:type="dxa"/>
            <w:tcBorders/>
            <w:vAlign w:val="center"/>
          </w:tcPr>
          <w:p>
            <w:pPr>
              <w:jc w:val="right"/>
            </w:pPr>
            <w:r>
              <w:rPr>
                <w:rFonts w:ascii="宋体" w:eastAsia="宋体" w:hAnsi="宋体" w:cs="宋体"/>
                <w:b w:val="0"/>
                <w:i w:val="0"/>
                <w:color w:val="000000"/>
                <w:sz w:val="14"/>
              </w:rPr>
              <w:t xml:space="preserve">20.27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20.01</w:t>
            </w:r>
          </w:p>
        </w:tc>
        <w:tc>
          <w:tcPr>
            <w:tcW w:w="1160" w:type="dxa"/>
            <w:tcBorders/>
            <w:vAlign w:val="center"/>
          </w:tcPr>
          <w:p>
            <w:pPr>
              <w:jc w:val="right"/>
            </w:pPr>
            <w:r>
              <w:rPr>
                <w:rFonts w:ascii="宋体" w:eastAsia="宋体" w:hAnsi="宋体" w:cs="宋体"/>
                <w:b w:val="0"/>
                <w:i w:val="0"/>
                <w:color w:val="000000"/>
                <w:sz w:val="14"/>
              </w:rPr>
              <w:t xml:space="preserve">20.01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37.68</w:t>
            </w:r>
          </w:p>
        </w:tc>
        <w:tc>
          <w:tcPr>
            <w:tcW w:w="1160" w:type="dxa"/>
            <w:tcBorders/>
            <w:vAlign w:val="center"/>
          </w:tcPr>
          <w:p>
            <w:pPr>
              <w:jc w:val="right"/>
            </w:pPr>
            <w:r>
              <w:rPr>
                <w:rFonts w:ascii="宋体" w:eastAsia="宋体" w:hAnsi="宋体" w:cs="宋体"/>
                <w:b w:val="0"/>
                <w:i w:val="0"/>
                <w:color w:val="000000"/>
                <w:sz w:val="14"/>
              </w:rPr>
              <w:t xml:space="preserve">37.68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37.68</w:t>
            </w:r>
          </w:p>
        </w:tc>
        <w:tc>
          <w:tcPr>
            <w:tcW w:w="1160" w:type="dxa"/>
            <w:tcBorders/>
            <w:vAlign w:val="center"/>
          </w:tcPr>
          <w:p>
            <w:pPr>
              <w:jc w:val="right"/>
            </w:pPr>
            <w:r>
              <w:rPr>
                <w:rFonts w:ascii="宋体" w:eastAsia="宋体" w:hAnsi="宋体" w:cs="宋体"/>
                <w:b w:val="0"/>
                <w:i w:val="0"/>
                <w:color w:val="000000"/>
                <w:sz w:val="14"/>
              </w:rPr>
              <w:t xml:space="preserve">37.68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37.68</w:t>
            </w:r>
          </w:p>
        </w:tc>
        <w:tc>
          <w:tcPr>
            <w:tcW w:w="1160" w:type="dxa"/>
            <w:tcBorders/>
            <w:vAlign w:val="center"/>
          </w:tcPr>
          <w:p>
            <w:pPr>
              <w:jc w:val="right"/>
            </w:pPr>
            <w:r>
              <w:rPr>
                <w:rFonts w:ascii="宋体" w:eastAsia="宋体" w:hAnsi="宋体" w:cs="宋体"/>
                <w:b w:val="0"/>
                <w:i w:val="0"/>
                <w:color w:val="000000"/>
                <w:sz w:val="14"/>
              </w:rPr>
              <w:t xml:space="preserve">37.68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468.26</w:t>
            </w:r>
          </w:p>
        </w:tc>
        <w:tc>
          <w:tcPr>
            <w:tcW w:w="1120" w:type="dxa"/>
            <w:tcBorders/>
            <w:vAlign w:val="center"/>
          </w:tcPr>
          <w:p>
            <w:pPr>
              <w:jc w:val="right"/>
            </w:pPr>
            <w:r>
              <w:rPr>
                <w:rFonts w:ascii="宋体" w:eastAsia="宋体" w:hAnsi="宋体" w:cs="宋体"/>
                <w:b/>
                <w:i w:val="0"/>
                <w:color w:val="000000"/>
                <w:sz w:val="16"/>
              </w:rPr>
              <w:t xml:space="preserve">468.26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352.69</w:t>
            </w:r>
          </w:p>
        </w:tc>
        <w:tc>
          <w:tcPr>
            <w:tcW w:w="1120" w:type="dxa"/>
            <w:tcBorders/>
            <w:vAlign w:val="center"/>
          </w:tcPr>
          <w:p>
            <w:pPr>
              <w:jc w:val="right"/>
            </w:pPr>
            <w:r>
              <w:rPr>
                <w:rFonts w:ascii="宋体" w:eastAsia="宋体" w:hAnsi="宋体" w:cs="宋体"/>
                <w:b w:val="0"/>
                <w:i w:val="0"/>
                <w:color w:val="000000"/>
                <w:sz w:val="16"/>
              </w:rPr>
              <w:t xml:space="preserve">352.69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352.69</w:t>
            </w:r>
          </w:p>
        </w:tc>
        <w:tc>
          <w:tcPr>
            <w:tcW w:w="1120" w:type="dxa"/>
            <w:tcBorders/>
            <w:vAlign w:val="center"/>
          </w:tcPr>
          <w:p>
            <w:pPr>
              <w:jc w:val="right"/>
            </w:pPr>
            <w:r>
              <w:rPr>
                <w:rFonts w:ascii="宋体" w:eastAsia="宋体" w:hAnsi="宋体" w:cs="宋体"/>
                <w:b w:val="0"/>
                <w:i w:val="0"/>
                <w:color w:val="000000"/>
                <w:sz w:val="16"/>
              </w:rPr>
              <w:t xml:space="preserve">352.69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352.69</w:t>
            </w:r>
          </w:p>
        </w:tc>
        <w:tc>
          <w:tcPr>
            <w:tcW w:w="1120" w:type="dxa"/>
            <w:tcBorders/>
            <w:vAlign w:val="center"/>
          </w:tcPr>
          <w:p>
            <w:pPr>
              <w:jc w:val="right"/>
            </w:pPr>
            <w:r>
              <w:rPr>
                <w:rFonts w:ascii="宋体" w:eastAsia="宋体" w:hAnsi="宋体" w:cs="宋体"/>
                <w:b w:val="0"/>
                <w:i w:val="0"/>
                <w:color w:val="000000"/>
                <w:sz w:val="16"/>
              </w:rPr>
              <w:t xml:space="preserve">352.69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57.63</w:t>
            </w:r>
          </w:p>
        </w:tc>
        <w:tc>
          <w:tcPr>
            <w:tcW w:w="1120" w:type="dxa"/>
            <w:tcBorders/>
            <w:vAlign w:val="center"/>
          </w:tcPr>
          <w:p>
            <w:pPr>
              <w:jc w:val="right"/>
            </w:pPr>
            <w:r>
              <w:rPr>
                <w:rFonts w:ascii="宋体" w:eastAsia="宋体" w:hAnsi="宋体" w:cs="宋体"/>
                <w:b w:val="0"/>
                <w:i w:val="0"/>
                <w:color w:val="000000"/>
                <w:sz w:val="16"/>
              </w:rPr>
              <w:t xml:space="preserve">57.63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57.03</w:t>
            </w:r>
          </w:p>
        </w:tc>
        <w:tc>
          <w:tcPr>
            <w:tcW w:w="1120" w:type="dxa"/>
            <w:tcBorders/>
            <w:vAlign w:val="center"/>
          </w:tcPr>
          <w:p>
            <w:pPr>
              <w:jc w:val="right"/>
            </w:pPr>
            <w:r>
              <w:rPr>
                <w:rFonts w:ascii="宋体" w:eastAsia="宋体" w:hAnsi="宋体" w:cs="宋体"/>
                <w:b w:val="0"/>
                <w:i w:val="0"/>
                <w:color w:val="000000"/>
                <w:sz w:val="16"/>
              </w:rPr>
              <w:t xml:space="preserve">57.03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1.45</w:t>
            </w:r>
          </w:p>
        </w:tc>
        <w:tc>
          <w:tcPr>
            <w:tcW w:w="1120" w:type="dxa"/>
            <w:tcBorders/>
            <w:vAlign w:val="center"/>
          </w:tcPr>
          <w:p>
            <w:pPr>
              <w:jc w:val="right"/>
            </w:pPr>
            <w:r>
              <w:rPr>
                <w:rFonts w:ascii="宋体" w:eastAsia="宋体" w:hAnsi="宋体" w:cs="宋体"/>
                <w:b w:val="0"/>
                <w:i w:val="0"/>
                <w:color w:val="000000"/>
                <w:sz w:val="16"/>
              </w:rPr>
              <w:t xml:space="preserve">1.45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50.17</w:t>
            </w:r>
          </w:p>
        </w:tc>
        <w:tc>
          <w:tcPr>
            <w:tcW w:w="1120" w:type="dxa"/>
            <w:tcBorders/>
            <w:vAlign w:val="center"/>
          </w:tcPr>
          <w:p>
            <w:pPr>
              <w:jc w:val="right"/>
            </w:pPr>
            <w:r>
              <w:rPr>
                <w:rFonts w:ascii="宋体" w:eastAsia="宋体" w:hAnsi="宋体" w:cs="宋体"/>
                <w:b w:val="0"/>
                <w:i w:val="0"/>
                <w:color w:val="000000"/>
                <w:sz w:val="16"/>
              </w:rPr>
              <w:t xml:space="preserve">50.17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5.41</w:t>
            </w:r>
          </w:p>
        </w:tc>
        <w:tc>
          <w:tcPr>
            <w:tcW w:w="1120" w:type="dxa"/>
            <w:tcBorders/>
            <w:vAlign w:val="center"/>
          </w:tcPr>
          <w:p>
            <w:pPr>
              <w:jc w:val="right"/>
            </w:pPr>
            <w:r>
              <w:rPr>
                <w:rFonts w:ascii="宋体" w:eastAsia="宋体" w:hAnsi="宋体" w:cs="宋体"/>
                <w:b w:val="0"/>
                <w:i w:val="0"/>
                <w:color w:val="000000"/>
                <w:sz w:val="16"/>
              </w:rPr>
              <w:t xml:space="preserve">5.41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20.27</w:t>
            </w:r>
          </w:p>
        </w:tc>
        <w:tc>
          <w:tcPr>
            <w:tcW w:w="1120" w:type="dxa"/>
            <w:tcBorders/>
            <w:vAlign w:val="center"/>
          </w:tcPr>
          <w:p>
            <w:pPr>
              <w:jc w:val="right"/>
            </w:pPr>
            <w:r>
              <w:rPr>
                <w:rFonts w:ascii="宋体" w:eastAsia="宋体" w:hAnsi="宋体" w:cs="宋体"/>
                <w:b w:val="0"/>
                <w:i w:val="0"/>
                <w:color w:val="000000"/>
                <w:sz w:val="16"/>
              </w:rPr>
              <w:t xml:space="preserve">20.27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20.27</w:t>
            </w:r>
          </w:p>
        </w:tc>
        <w:tc>
          <w:tcPr>
            <w:tcW w:w="1120" w:type="dxa"/>
            <w:tcBorders/>
            <w:vAlign w:val="center"/>
          </w:tcPr>
          <w:p>
            <w:pPr>
              <w:jc w:val="right"/>
            </w:pPr>
            <w:r>
              <w:rPr>
                <w:rFonts w:ascii="宋体" w:eastAsia="宋体" w:hAnsi="宋体" w:cs="宋体"/>
                <w:b w:val="0"/>
                <w:i w:val="0"/>
                <w:color w:val="000000"/>
                <w:sz w:val="16"/>
              </w:rPr>
              <w:t xml:space="preserve">20.27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20.01</w:t>
            </w:r>
          </w:p>
        </w:tc>
        <w:tc>
          <w:tcPr>
            <w:tcW w:w="1120" w:type="dxa"/>
            <w:tcBorders/>
            <w:vAlign w:val="center"/>
          </w:tcPr>
          <w:p>
            <w:pPr>
              <w:jc w:val="right"/>
            </w:pPr>
            <w:r>
              <w:rPr>
                <w:rFonts w:ascii="宋体" w:eastAsia="宋体" w:hAnsi="宋体" w:cs="宋体"/>
                <w:b w:val="0"/>
                <w:i w:val="0"/>
                <w:color w:val="000000"/>
                <w:sz w:val="16"/>
              </w:rPr>
              <w:t xml:space="preserve">20.01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37.68</w:t>
            </w:r>
          </w:p>
        </w:tc>
        <w:tc>
          <w:tcPr>
            <w:tcW w:w="1120" w:type="dxa"/>
            <w:tcBorders/>
            <w:vAlign w:val="center"/>
          </w:tcPr>
          <w:p>
            <w:pPr>
              <w:jc w:val="right"/>
            </w:pPr>
            <w:r>
              <w:rPr>
                <w:rFonts w:ascii="宋体" w:eastAsia="宋体" w:hAnsi="宋体" w:cs="宋体"/>
                <w:b w:val="0"/>
                <w:i w:val="0"/>
                <w:color w:val="000000"/>
                <w:sz w:val="16"/>
              </w:rPr>
              <w:t xml:space="preserve">37.68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37.68</w:t>
            </w:r>
          </w:p>
        </w:tc>
        <w:tc>
          <w:tcPr>
            <w:tcW w:w="1120" w:type="dxa"/>
            <w:tcBorders/>
            <w:vAlign w:val="center"/>
          </w:tcPr>
          <w:p>
            <w:pPr>
              <w:jc w:val="right"/>
            </w:pPr>
            <w:r>
              <w:rPr>
                <w:rFonts w:ascii="宋体" w:eastAsia="宋体" w:hAnsi="宋体" w:cs="宋体"/>
                <w:b w:val="0"/>
                <w:i w:val="0"/>
                <w:color w:val="000000"/>
                <w:sz w:val="16"/>
              </w:rPr>
              <w:t xml:space="preserve">37.68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37.68</w:t>
            </w:r>
          </w:p>
        </w:tc>
        <w:tc>
          <w:tcPr>
            <w:tcW w:w="1120" w:type="dxa"/>
            <w:tcBorders/>
            <w:vAlign w:val="center"/>
          </w:tcPr>
          <w:p>
            <w:pPr>
              <w:jc w:val="right"/>
            </w:pPr>
            <w:r>
              <w:rPr>
                <w:rFonts w:ascii="宋体" w:eastAsia="宋体" w:hAnsi="宋体" w:cs="宋体"/>
                <w:b w:val="0"/>
                <w:i w:val="0"/>
                <w:color w:val="000000"/>
                <w:sz w:val="16"/>
              </w:rPr>
              <w:t xml:space="preserve">37.68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468.26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352.69</w:t>
            </w:r>
          </w:p>
        </w:tc>
        <w:tc>
          <w:tcPr>
            <w:tcW w:w="1100" w:type="dxa"/>
            <w:tcBorders/>
            <w:vAlign w:val="center"/>
          </w:tcPr>
          <w:p>
            <w:pPr>
              <w:jc w:val="right"/>
            </w:pPr>
            <w:r>
              <w:rPr>
                <w:rFonts w:ascii="宋体" w:eastAsia="宋体" w:hAnsi="宋体" w:cs="宋体"/>
                <w:b w:val="0"/>
                <w:i w:val="0"/>
                <w:color w:val="000000"/>
                <w:sz w:val="14"/>
              </w:rPr>
              <w:t xml:space="preserve">352.69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57.63</w:t>
            </w:r>
          </w:p>
        </w:tc>
        <w:tc>
          <w:tcPr>
            <w:tcW w:w="1100" w:type="dxa"/>
            <w:tcBorders/>
            <w:vAlign w:val="center"/>
          </w:tcPr>
          <w:p>
            <w:pPr>
              <w:jc w:val="right"/>
            </w:pPr>
            <w:r>
              <w:rPr>
                <w:rFonts w:ascii="宋体" w:eastAsia="宋体" w:hAnsi="宋体" w:cs="宋体"/>
                <w:b w:val="0"/>
                <w:i w:val="0"/>
                <w:color w:val="000000"/>
                <w:sz w:val="14"/>
              </w:rPr>
              <w:t xml:space="preserve">57.63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20.27</w:t>
            </w:r>
          </w:p>
        </w:tc>
        <w:tc>
          <w:tcPr>
            <w:tcW w:w="1100" w:type="dxa"/>
            <w:tcBorders/>
            <w:vAlign w:val="center"/>
          </w:tcPr>
          <w:p>
            <w:pPr>
              <w:jc w:val="right"/>
            </w:pPr>
            <w:r>
              <w:rPr>
                <w:rFonts w:ascii="宋体" w:eastAsia="宋体" w:hAnsi="宋体" w:cs="宋体"/>
                <w:b w:val="0"/>
                <w:i w:val="0"/>
                <w:color w:val="000000"/>
                <w:sz w:val="14"/>
              </w:rPr>
              <w:t xml:space="preserve">20.27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37.68</w:t>
            </w:r>
          </w:p>
        </w:tc>
        <w:tc>
          <w:tcPr>
            <w:tcW w:w="1100" w:type="dxa"/>
            <w:tcBorders/>
            <w:vAlign w:val="center"/>
          </w:tcPr>
          <w:p>
            <w:pPr>
              <w:jc w:val="right"/>
            </w:pPr>
            <w:r>
              <w:rPr>
                <w:rFonts w:ascii="宋体" w:eastAsia="宋体" w:hAnsi="宋体" w:cs="宋体"/>
                <w:b w:val="0"/>
                <w:i w:val="0"/>
                <w:color w:val="000000"/>
                <w:sz w:val="14"/>
              </w:rPr>
              <w:t xml:space="preserve">37.68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468.26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468.26</w:t>
            </w:r>
          </w:p>
        </w:tc>
        <w:tc>
          <w:tcPr>
            <w:tcW w:w="1100" w:type="dxa"/>
            <w:tcBorders/>
            <w:vAlign w:val="center"/>
          </w:tcPr>
          <w:p>
            <w:pPr>
              <w:jc w:val="right"/>
            </w:pPr>
            <w:r>
              <w:rPr>
                <w:rFonts w:ascii="宋体" w:eastAsia="宋体" w:hAnsi="宋体" w:cs="宋体"/>
                <w:b w:val="0"/>
                <w:i w:val="0"/>
                <w:color w:val="000000"/>
                <w:sz w:val="14"/>
              </w:rPr>
              <w:t xml:space="preserve">468.26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468.26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468.26</w:t>
            </w:r>
          </w:p>
        </w:tc>
        <w:tc>
          <w:tcPr>
            <w:tcW w:w="1100" w:type="dxa"/>
            <w:tcBorders/>
            <w:vAlign w:val="center"/>
          </w:tcPr>
          <w:p>
            <w:pPr>
              <w:jc w:val="right"/>
            </w:pPr>
            <w:r>
              <w:rPr>
                <w:rFonts w:ascii="宋体" w:eastAsia="宋体" w:hAnsi="宋体" w:cs="宋体"/>
                <w:b w:val="0"/>
                <w:i w:val="0"/>
                <w:color w:val="000000"/>
                <w:sz w:val="14"/>
              </w:rPr>
              <w:t xml:space="preserve">468.26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468.26</w:t>
            </w:r>
          </w:p>
        </w:tc>
        <w:tc>
          <w:tcPr>
            <w:tcW w:w="1980" w:type="dxa"/>
            <w:tcBorders/>
            <w:vAlign w:val="center"/>
          </w:tcPr>
          <w:p>
            <w:pPr>
              <w:jc w:val="right"/>
            </w:pPr>
            <w:r>
              <w:rPr>
                <w:rFonts w:ascii="宋体" w:eastAsia="宋体" w:hAnsi="宋体" w:cs="宋体"/>
                <w:b/>
                <w:i w:val="0"/>
                <w:color w:val="000000"/>
                <w:sz w:val="20"/>
              </w:rPr>
              <w:t xml:space="preserve">468.26</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352.69</w:t>
            </w:r>
          </w:p>
        </w:tc>
        <w:tc>
          <w:tcPr>
            <w:tcW w:w="1980" w:type="dxa"/>
            <w:tcBorders/>
            <w:vAlign w:val="center"/>
          </w:tcPr>
          <w:p>
            <w:pPr>
              <w:jc w:val="right"/>
            </w:pPr>
            <w:r>
              <w:rPr>
                <w:rFonts w:ascii="宋体" w:eastAsia="宋体" w:hAnsi="宋体" w:cs="宋体"/>
                <w:b w:val="0"/>
                <w:i w:val="0"/>
                <w:color w:val="000000"/>
                <w:sz w:val="20"/>
              </w:rPr>
              <w:t xml:space="preserve">352.69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352.69</w:t>
            </w:r>
          </w:p>
        </w:tc>
        <w:tc>
          <w:tcPr>
            <w:tcW w:w="1980" w:type="dxa"/>
            <w:tcBorders/>
            <w:vAlign w:val="center"/>
          </w:tcPr>
          <w:p>
            <w:pPr>
              <w:jc w:val="right"/>
            </w:pPr>
            <w:r>
              <w:rPr>
                <w:rFonts w:ascii="宋体" w:eastAsia="宋体" w:hAnsi="宋体" w:cs="宋体"/>
                <w:b w:val="0"/>
                <w:i w:val="0"/>
                <w:color w:val="000000"/>
                <w:sz w:val="20"/>
              </w:rPr>
              <w:t xml:space="preserve">352.69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352.69</w:t>
            </w:r>
          </w:p>
        </w:tc>
        <w:tc>
          <w:tcPr>
            <w:tcW w:w="1980" w:type="dxa"/>
            <w:tcBorders/>
            <w:vAlign w:val="center"/>
          </w:tcPr>
          <w:p>
            <w:pPr>
              <w:jc w:val="right"/>
            </w:pPr>
            <w:r>
              <w:rPr>
                <w:rFonts w:ascii="宋体" w:eastAsia="宋体" w:hAnsi="宋体" w:cs="宋体"/>
                <w:b w:val="0"/>
                <w:i w:val="0"/>
                <w:color w:val="000000"/>
                <w:sz w:val="20"/>
              </w:rPr>
              <w:t xml:space="preserve">352.69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57.63</w:t>
            </w:r>
          </w:p>
        </w:tc>
        <w:tc>
          <w:tcPr>
            <w:tcW w:w="1980" w:type="dxa"/>
            <w:tcBorders/>
            <w:vAlign w:val="center"/>
          </w:tcPr>
          <w:p>
            <w:pPr>
              <w:jc w:val="right"/>
            </w:pPr>
            <w:r>
              <w:rPr>
                <w:rFonts w:ascii="宋体" w:eastAsia="宋体" w:hAnsi="宋体" w:cs="宋体"/>
                <w:b w:val="0"/>
                <w:i w:val="0"/>
                <w:color w:val="000000"/>
                <w:sz w:val="20"/>
              </w:rPr>
              <w:t xml:space="preserve">57.63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57.03</w:t>
            </w:r>
          </w:p>
        </w:tc>
        <w:tc>
          <w:tcPr>
            <w:tcW w:w="1980" w:type="dxa"/>
            <w:tcBorders/>
            <w:vAlign w:val="center"/>
          </w:tcPr>
          <w:p>
            <w:pPr>
              <w:jc w:val="right"/>
            </w:pPr>
            <w:r>
              <w:rPr>
                <w:rFonts w:ascii="宋体" w:eastAsia="宋体" w:hAnsi="宋体" w:cs="宋体"/>
                <w:b w:val="0"/>
                <w:i w:val="0"/>
                <w:color w:val="000000"/>
                <w:sz w:val="20"/>
              </w:rPr>
              <w:t xml:space="preserve">57.03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1.45</w:t>
            </w:r>
          </w:p>
        </w:tc>
        <w:tc>
          <w:tcPr>
            <w:tcW w:w="1980" w:type="dxa"/>
            <w:tcBorders/>
            <w:vAlign w:val="center"/>
          </w:tcPr>
          <w:p>
            <w:pPr>
              <w:jc w:val="right"/>
            </w:pPr>
            <w:r>
              <w:rPr>
                <w:rFonts w:ascii="宋体" w:eastAsia="宋体" w:hAnsi="宋体" w:cs="宋体"/>
                <w:b w:val="0"/>
                <w:i w:val="0"/>
                <w:color w:val="000000"/>
                <w:sz w:val="20"/>
              </w:rPr>
              <w:t xml:space="preserve">1.45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50.17</w:t>
            </w:r>
          </w:p>
        </w:tc>
        <w:tc>
          <w:tcPr>
            <w:tcW w:w="1980" w:type="dxa"/>
            <w:tcBorders/>
            <w:vAlign w:val="center"/>
          </w:tcPr>
          <w:p>
            <w:pPr>
              <w:jc w:val="right"/>
            </w:pPr>
            <w:r>
              <w:rPr>
                <w:rFonts w:ascii="宋体" w:eastAsia="宋体" w:hAnsi="宋体" w:cs="宋体"/>
                <w:b w:val="0"/>
                <w:i w:val="0"/>
                <w:color w:val="000000"/>
                <w:sz w:val="20"/>
              </w:rPr>
              <w:t xml:space="preserve">50.17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5.41</w:t>
            </w:r>
          </w:p>
        </w:tc>
        <w:tc>
          <w:tcPr>
            <w:tcW w:w="1980" w:type="dxa"/>
            <w:tcBorders/>
            <w:vAlign w:val="center"/>
          </w:tcPr>
          <w:p>
            <w:pPr>
              <w:jc w:val="right"/>
            </w:pPr>
            <w:r>
              <w:rPr>
                <w:rFonts w:ascii="宋体" w:eastAsia="宋体" w:hAnsi="宋体" w:cs="宋体"/>
                <w:b w:val="0"/>
                <w:i w:val="0"/>
                <w:color w:val="000000"/>
                <w:sz w:val="20"/>
              </w:rPr>
              <w:t xml:space="preserve">5.41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20.27</w:t>
            </w:r>
          </w:p>
        </w:tc>
        <w:tc>
          <w:tcPr>
            <w:tcW w:w="1980" w:type="dxa"/>
            <w:tcBorders/>
            <w:vAlign w:val="center"/>
          </w:tcPr>
          <w:p>
            <w:pPr>
              <w:jc w:val="right"/>
            </w:pPr>
            <w:r>
              <w:rPr>
                <w:rFonts w:ascii="宋体" w:eastAsia="宋体" w:hAnsi="宋体" w:cs="宋体"/>
                <w:b w:val="0"/>
                <w:i w:val="0"/>
                <w:color w:val="000000"/>
                <w:sz w:val="20"/>
              </w:rPr>
              <w:t xml:space="preserve">20.27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20.27</w:t>
            </w:r>
          </w:p>
        </w:tc>
        <w:tc>
          <w:tcPr>
            <w:tcW w:w="1980" w:type="dxa"/>
            <w:tcBorders/>
            <w:vAlign w:val="center"/>
          </w:tcPr>
          <w:p>
            <w:pPr>
              <w:jc w:val="right"/>
            </w:pPr>
            <w:r>
              <w:rPr>
                <w:rFonts w:ascii="宋体" w:eastAsia="宋体" w:hAnsi="宋体" w:cs="宋体"/>
                <w:b w:val="0"/>
                <w:i w:val="0"/>
                <w:color w:val="000000"/>
                <w:sz w:val="20"/>
              </w:rPr>
              <w:t xml:space="preserve">20.27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20.01</w:t>
            </w:r>
          </w:p>
        </w:tc>
        <w:tc>
          <w:tcPr>
            <w:tcW w:w="1980" w:type="dxa"/>
            <w:tcBorders/>
            <w:vAlign w:val="center"/>
          </w:tcPr>
          <w:p>
            <w:pPr>
              <w:jc w:val="right"/>
            </w:pPr>
            <w:r>
              <w:rPr>
                <w:rFonts w:ascii="宋体" w:eastAsia="宋体" w:hAnsi="宋体" w:cs="宋体"/>
                <w:b w:val="0"/>
                <w:i w:val="0"/>
                <w:color w:val="000000"/>
                <w:sz w:val="20"/>
              </w:rPr>
              <w:t xml:space="preserve">20.01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37.68</w:t>
            </w:r>
          </w:p>
        </w:tc>
        <w:tc>
          <w:tcPr>
            <w:tcW w:w="1980" w:type="dxa"/>
            <w:tcBorders/>
            <w:vAlign w:val="center"/>
          </w:tcPr>
          <w:p>
            <w:pPr>
              <w:jc w:val="right"/>
            </w:pPr>
            <w:r>
              <w:rPr>
                <w:rFonts w:ascii="宋体" w:eastAsia="宋体" w:hAnsi="宋体" w:cs="宋体"/>
                <w:b w:val="0"/>
                <w:i w:val="0"/>
                <w:color w:val="000000"/>
                <w:sz w:val="20"/>
              </w:rPr>
              <w:t xml:space="preserve">37.68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37.68</w:t>
            </w:r>
          </w:p>
        </w:tc>
        <w:tc>
          <w:tcPr>
            <w:tcW w:w="1980" w:type="dxa"/>
            <w:tcBorders/>
            <w:vAlign w:val="center"/>
          </w:tcPr>
          <w:p>
            <w:pPr>
              <w:jc w:val="right"/>
            </w:pPr>
            <w:r>
              <w:rPr>
                <w:rFonts w:ascii="宋体" w:eastAsia="宋体" w:hAnsi="宋体" w:cs="宋体"/>
                <w:b w:val="0"/>
                <w:i w:val="0"/>
                <w:color w:val="000000"/>
                <w:sz w:val="20"/>
              </w:rPr>
              <w:t xml:space="preserve">37.68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37.68</w:t>
            </w:r>
          </w:p>
        </w:tc>
        <w:tc>
          <w:tcPr>
            <w:tcW w:w="1980" w:type="dxa"/>
            <w:tcBorders/>
            <w:vAlign w:val="center"/>
          </w:tcPr>
          <w:p>
            <w:pPr>
              <w:jc w:val="right"/>
            </w:pPr>
            <w:r>
              <w:rPr>
                <w:rFonts w:ascii="宋体" w:eastAsia="宋体" w:hAnsi="宋体" w:cs="宋体"/>
                <w:b w:val="0"/>
                <w:i w:val="0"/>
                <w:color w:val="000000"/>
                <w:sz w:val="20"/>
              </w:rPr>
              <w:t xml:space="preserve">37.68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456.98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7.42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182.84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2.89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18.75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1.62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2.31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141.27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2.31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50.17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5.41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20.01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1.30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0.86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37.68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1.56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1.43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458.54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9.73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司法专项业务经费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盘锦市大洼区法律援助中心-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专题宣传活动次数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思想政治工作目标管理考核完成及时率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年度维护成本增长率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残疾人参与活动人数增长率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人民群众满意度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受益居民满意度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群众对所提供文化产品满意度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加大服务质量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022002盘锦市大洼区法律援助中心-211104000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441.64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441.64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395.007264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9.72722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接待法律咨询，法律宣传，案件办理，为群众提供一站式法律服务，为困难群众维护法律权益，提供非诉讼法律援助。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59"/>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有利于保护公民合法权利，尊重和保障人权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尊重</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窗口服务效率满意度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建立内控业务流程</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加大经费支出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