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中共辽宁省盘锦市大洼区委区政府信访局（本级）</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4"/>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中共辽宁省盘锦市大洼区委区政府信访局（本级）</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中共辽宁省盘锦市大洼区委区政府信访局（本级）</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中共辽宁省盘锦市大洼区委区政府信访局（本级）</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中共辽宁省盘锦市大洼区委区政府信访局（本级）</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5"/>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中共辽宁省盘锦市大洼区委区政府信访局（本级）概况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1、贯彻落实党的群众路线，负责研究部署和指导全区的群众权益保障工作；</w:t>
        <w:br/>
        <w:t xml:space="preserve">    2、代表区委、区政府接待人民来访，受理人民来信和电话、网络投诉，交办和转送信访人提出的信访事项；</w:t>
        <w:br/>
        <w:t xml:space="preserve">    3、承办上级机关和区委、区政府领导交办的信访事项，督促检查领导同志批示件的落实情况；向有单位和部门转办、交办信访事项，对落实情况进行审理和督查督办，并反馈有关情况；</w:t>
        <w:br/>
        <w:t xml:space="preserve">    4、协调处理群众集体进京、去省、到市、来区上访和突发事件；直接查处重大疑难信访案件；</w:t>
        <w:br/>
        <w:t xml:space="preserve">    5、征集群众意见，反映社情民意，及时向区委、区政府提供信访信息，并对涉及群众利益的政策性问题提出意见和建议；</w:t>
        <w:br/>
        <w:t xml:space="preserve">    6、负责信访联席会议办公室日常工作；负责信访复查复核事项的调查取证，监督复查复核决定的执行；</w:t>
        <w:br/>
        <w:t xml:space="preserve">    7、负责本部门、本系统信访突发事件的应急管理工作，贯彻落实突发事件应急预案，预防和处置本部门、本系统的突发事件；</w:t>
        <w:br/>
        <w:t xml:space="preserve">    8、协调指导对困难群体的帮扶救助和对重要特殊上访群体的稳定，协调对信访人员中违法行为的依法处理；</w:t>
        <w:br/>
        <w:t xml:space="preserve">    9、宣传党的政策，对来访群众进行思想教育和疏导；为来访群众提供有关法律、法规和政策咨询服务；</w:t>
        <w:br/>
        <w:t xml:space="preserve">    11、承办区委、区政府交办的其他事项。</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中共辽宁省盘锦市大洼区委区政府信访局（本级）</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中共盘锦市大洼区委区政府信访局</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242.91</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242.91</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242.91</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增加116.41万元，增长92.02%</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人员增加2人，项目业务活动费用增加</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242.91</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140.67</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57.91</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工资福利支出84.96万元；商品和服务支出9.61万元；对个人和家庭的补助46.10万元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102.24</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42.09</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主要包括1、2022年信访工作人员进京值班差旅费2、信访工作人员差旅费3、接访劝返所需经费4、拖欠已故企业退休职工取暖费等业务支出。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增加116.41万元，增长92.02%</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人员增加2人，项目业务活动费用增加</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结转和结余都是0元</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242.91</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140.67</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102.24</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增加116.41万元，增长92.02%</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人员增加2人，项目业务活动费用增加</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287.43</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166.45</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2023年度一般公共预算财政拨款支出242.91万元。按支出功能分类科目分，包括：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1.一般公共服务支出217.78万元，具体包括：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政府办公厅（室）及相关机构事务（款）行政运行（项）68.47万元,主要是工资福利支出、商品和服务支出、对个人家庭的补助等支出，完成年初预算的105.22%，决算数与年初预算数存在差异的主要原因是新增加2名工作人员。</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一般公共服务支出（类）政府办公厅（室）及相关机构事务（款）信访事务（项）149.31万元,主要是工资福利支出、商品和服务支出、对个人家庭的补助等支出，完成年初预算的0%，决算数与年初预算数存在差异的主要原因是2023年预算中未包含信访事务项目。</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2.社会保障和就业支出14.41万元，具体包括：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行政单位离退休（项）0.01万元,主要是退休人员独生子女光荣费等支出，完成年初预算的0%，决算数与年初预算数存在差异的主要原因是年初预算未包含退休人员独生子女光荣费。</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8.85万元,主要是养老保险等支出，完成年初预算的103.27%，决算数与年初预算数存在差异的主要原因是新增2名工作人员。</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5.37万元,主要是职业年金缴费等支出，完成年初预算的0%，决算数与年初预算数存在差异的主要原因是有一名退休人员一次性补缴全额退休职业年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其他社会保障和就业支出（款）其他社会保障和就业支出（项）0.18万元,主要是工伤保险等支出，完成年初预算的163.64%，决算数与年初预算数存在差异的主要原因是新增加2名工作人员。</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3.卫生健康支出3.38万元，具体包括：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（1）卫生健康支出（类）行政事业单位医疗（款）行政单位医疗（项）3.35万元,主要是医疗保险等支出，完成年初预算的88.62%，决算数与年初预算数存在差异的主要原因是医疗基数调整。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（2）卫生健康支出（类）行政事业单位医疗（款）其他行政事业单位医疗支出（项）0.03万元,主要是大额医疗等支出，完成年初预算的100%，决算数与年初预算数存在差异的主要原因是无。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4.住房保障支出7.33万元，具体包括：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（1）住房保障支出（类）住房改革支出（款）住房公积金（项）7.33万元,主要是住房公积金等支出，完成年初预算的105.01%，决算数与年初预算数存在差异的主要原因是新增加2名工作人员。</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left"/>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0.65</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26.00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公车费用减少</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0.65</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无支出项</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无支出项</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无支出项</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无支出项</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0.65</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26.00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办公费用减少</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比上年减少0.22万元，降低25.29%</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办公费用减少</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0.65</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主要用于公车保险加油等，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1</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140.67</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131.06</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9.61</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9.61</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比上年增加2.48万元，增长34.78%</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人员变动</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left"/>
        <w:rPr>
          <w:sz w:val="32"/>
          <w:szCs w:val="32"/>
        </w:rPr>
      </w:pPr>
      <w:r>
        <w:rPr>
          <w:rFonts w:ascii="仿宋_GB2312" w:eastAsia="仿宋_GB2312" w:hAnsi="宋体" w:cs="仿宋_GB2312" w:hint="eastAsia"/>
          <w:kern w:val="0"/>
          <w:sz w:val="32"/>
          <w:szCs w:val="32"/>
        </w:rPr>
        <w:t xml:space="preserve">1.绩效评价工作开展情况。</w:t>
        <w:br/>
        <w:t xml:space="preserve">    根据预算绩效管理要求，本部门组织对2023年度预算项目支出全面开展绩效自评，共涉及预算支出项目0个。</w:t>
        <w:br/>
        <w:t xml:space="preserve">    2.项目绩效自评结果。</w:t>
        <w:br/>
        <w:t xml:space="preserve">    本部门在2023年度省直部门决算中反映0个项目绩效自评结果。</w:t>
      </w:r>
    </w:p>
    <w:p>
      <w:pPr>
        <w:spacing w:line="540" w:lineRule="exact"/>
        <w:ind w:firstLine="723" w:firstLineChars="200"/>
        <w:rPr>
          <w:rFonts w:ascii="仿宋_GB2312" w:eastAsia="宋体" w:hint="eastAsia"/>
          <w:b/>
          <w:bCs/>
          <w:sz w:val="32"/>
          <w:szCs w:val="32"/>
          <w:lang w:val="en-US" w:eastAsia="zh-CN"/>
        </w:rPr>
        <w:sectPr>
          <w:pgSz w:w="11906" w:h="16838" w:orient="portrait"/>
          <w:pgMar w:top="1701" w:right="1417" w:bottom="567" w:left="1417" w:header="851" w:footer="992" w:gutter="0"/>
          <w:pgNumType w:start="1"/>
          <w:cols w:num="1" w:space="720">
            <w:col w:w="9072" w:space="720"/>
          </w:cols>
          <w:docGrid w:type="lines" w:linePitch="312" w:charSpace="0"/>
        </w:sectPr>
      </w:pPr>
      <w:r>
        <w:br w:type="page"/>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w:t>
      </w:r>
      <w:bookmarkStart w:id="0" w:name="_GoBack"/>
      <w:bookmarkEnd w:id="0"/>
      <w:r>
        <w:rPr>
          <w:rFonts w:ascii="仿宋_GB2312" w:eastAsia="仿宋_GB2312" w:hint="eastAsia"/>
          <w:sz w:val="32"/>
          <w:szCs w:val="32"/>
        </w:rPr>
        <w:t xml:space="preserve">“上级补助收入”、“事业收入”、“经营收入”、“附属单位上缴收入”等以外的收入。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Ansi="宋体" w:cs="仿宋_GB2312" w:hint="eastAsia"/>
          <w:kern w:val="0"/>
          <w:sz w:val="32"/>
          <w:szCs w:val="32"/>
        </w:rPr>
        <w:t xml:space="preserve">16． 行政事业性收费收入：指依据法律、行政法规、国务院有关规定、国务院财政部门会同价格主管部门共同发布的规章或者规定，省、自治区、直辖市人民政府财政部门会同价格主管部门共同发布的规定所收取的各项收费收入。</w:t>
        <w:br/>
        <w:t xml:space="preserve">    17.政府性基金收入：反映各级政府及其所属部门根据法律、行政法规规定并经国务院或财政部批准，向公民、法人和其他组织征收的政府性基金，以及参照政府性基金管理或纳入基金预算、具有特定用途的财政资金。</w:t>
        <w:br/>
        <w:t xml:space="preserve">    18.社会保障和就业（类）行政事业单位养老支出（款）行政单位离退休（项）：反映行政单位（包括实行公务员管理的事业单位）开支的离退休经费。</w:t>
        <w:br/>
        <w:t xml:space="preserve">    19.社会保障和就业（类）行政事业单位养老支出（款）事业单位离退休（项）：反映事业单位开支的离退休经费。</w:t>
        <w:br/>
        <w:t xml:space="preserve">    20.社会保障和就业（类）行政事业单位养老支出（款）机关事业单位基本养老保险缴费支出（项）：反映机关事业单位实施养老保险制度由单位缴纳的基本养老保险费支出。</w:t>
        <w:br/>
        <w:t xml:space="preserve">    21.社会保障和就业（类）行政事业单位养老支出（款）机关事业单位职业年金缴费支出（项）：反映机关事业单位实施养老保险制度由单位实际缴纳的职业年金支出。</w:t>
        <w:br/>
        <w:t xml:space="preserve">    22.卫生健康支出（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br/>
        <w:t xml:space="preserve">    23.卫生健康支出（类）行政事业单位医疗（款）事业单位医疗（项）：反映财政部门安排的事业单位基本医疗保险缴费经费，未参加医疗保险的事业单位的公费医疗经费，按国家规定享受离休人员待遇的医疗经费。</w:t>
        <w:br/>
        <w:t xml:space="preserve">    24.住房保障（类）住房改革（款）住房公积金（项）：反映行政事业单位按人力资源和社会保障部、财政部规定的基本工资和津贴补贴以及规定比例为职工缴纳的住房公积金。    </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单位：中共辽宁省盘锦市大洼区委区政府信访局（本级）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242.91</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217.78</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14.41</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3.38</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7.33</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242.91</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242.91</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242.91</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242.91</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单位：中共辽宁省盘锦市大洼区委区政府信访局（本级）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242.91</w:t>
            </w:r>
          </w:p>
        </w:tc>
        <w:tc>
          <w:tcPr>
            <w:tcW w:w="1160" w:type="dxa"/>
            <w:tcBorders/>
            <w:vAlign w:val="center"/>
          </w:tcPr>
          <w:p>
            <w:pPr>
              <w:jc w:val="right"/>
            </w:pPr>
            <w:r>
              <w:rPr>
                <w:rFonts w:ascii="宋体" w:eastAsia="宋体" w:hAnsi="宋体" w:cs="宋体"/>
                <w:b/>
                <w:i w:val="0"/>
                <w:color w:val="000000"/>
                <w:sz w:val="14"/>
              </w:rPr>
              <w:t xml:space="preserve">242.91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217.78</w:t>
            </w:r>
          </w:p>
        </w:tc>
        <w:tc>
          <w:tcPr>
            <w:tcW w:w="1160" w:type="dxa"/>
            <w:tcBorders/>
            <w:vAlign w:val="center"/>
          </w:tcPr>
          <w:p>
            <w:pPr>
              <w:jc w:val="right"/>
            </w:pPr>
            <w:r>
              <w:rPr>
                <w:rFonts w:ascii="宋体" w:eastAsia="宋体" w:hAnsi="宋体" w:cs="宋体"/>
                <w:b w:val="0"/>
                <w:i w:val="0"/>
                <w:color w:val="000000"/>
                <w:sz w:val="14"/>
              </w:rPr>
              <w:t xml:space="preserve">217.78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政府办公厅（室）及相关机构事务</w:t>
            </w:r>
          </w:p>
        </w:tc>
        <w:tc>
          <w:tcPr>
            <w:tcW w:w="1160" w:type="dxa"/>
            <w:tcBorders/>
            <w:vAlign w:val="center"/>
          </w:tcPr>
          <w:p>
            <w:pPr>
              <w:jc w:val="right"/>
            </w:pPr>
            <w:r>
              <w:rPr>
                <w:rFonts w:ascii="宋体" w:eastAsia="宋体" w:hAnsi="宋体" w:cs="宋体"/>
                <w:b w:val="0"/>
                <w:i w:val="0"/>
                <w:color w:val="000000"/>
                <w:sz w:val="14"/>
              </w:rPr>
              <w:t xml:space="preserve">217.78</w:t>
            </w:r>
          </w:p>
        </w:tc>
        <w:tc>
          <w:tcPr>
            <w:tcW w:w="1160" w:type="dxa"/>
            <w:tcBorders/>
            <w:vAlign w:val="center"/>
          </w:tcPr>
          <w:p>
            <w:pPr>
              <w:jc w:val="right"/>
            </w:pPr>
            <w:r>
              <w:rPr>
                <w:rFonts w:ascii="宋体" w:eastAsia="宋体" w:hAnsi="宋体" w:cs="宋体"/>
                <w:b w:val="0"/>
                <w:i w:val="0"/>
                <w:color w:val="000000"/>
                <w:sz w:val="14"/>
              </w:rPr>
              <w:t xml:space="preserve">217.78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68.47</w:t>
            </w:r>
          </w:p>
        </w:tc>
        <w:tc>
          <w:tcPr>
            <w:tcW w:w="1160" w:type="dxa"/>
            <w:tcBorders/>
            <w:vAlign w:val="center"/>
          </w:tcPr>
          <w:p>
            <w:pPr>
              <w:jc w:val="right"/>
            </w:pPr>
            <w:r>
              <w:rPr>
                <w:rFonts w:ascii="宋体" w:eastAsia="宋体" w:hAnsi="宋体" w:cs="宋体"/>
                <w:b w:val="0"/>
                <w:i w:val="0"/>
                <w:color w:val="000000"/>
                <w:sz w:val="14"/>
              </w:rPr>
              <w:t xml:space="preserve">68.47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信访事务</w:t>
            </w:r>
          </w:p>
        </w:tc>
        <w:tc>
          <w:tcPr>
            <w:tcW w:w="1160" w:type="dxa"/>
            <w:tcBorders/>
            <w:vAlign w:val="center"/>
          </w:tcPr>
          <w:p>
            <w:pPr>
              <w:jc w:val="right"/>
            </w:pPr>
            <w:r>
              <w:rPr>
                <w:rFonts w:ascii="宋体" w:eastAsia="宋体" w:hAnsi="宋体" w:cs="宋体"/>
                <w:b w:val="0"/>
                <w:i w:val="0"/>
                <w:color w:val="000000"/>
                <w:sz w:val="14"/>
              </w:rPr>
              <w:t xml:space="preserve">149.31</w:t>
            </w:r>
          </w:p>
        </w:tc>
        <w:tc>
          <w:tcPr>
            <w:tcW w:w="1160" w:type="dxa"/>
            <w:tcBorders/>
            <w:vAlign w:val="center"/>
          </w:tcPr>
          <w:p>
            <w:pPr>
              <w:jc w:val="right"/>
            </w:pPr>
            <w:r>
              <w:rPr>
                <w:rFonts w:ascii="宋体" w:eastAsia="宋体" w:hAnsi="宋体" w:cs="宋体"/>
                <w:b w:val="0"/>
                <w:i w:val="0"/>
                <w:color w:val="000000"/>
                <w:sz w:val="14"/>
              </w:rPr>
              <w:t xml:space="preserve">149.31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14.41</w:t>
            </w:r>
          </w:p>
        </w:tc>
        <w:tc>
          <w:tcPr>
            <w:tcW w:w="1160" w:type="dxa"/>
            <w:tcBorders/>
            <w:vAlign w:val="center"/>
          </w:tcPr>
          <w:p>
            <w:pPr>
              <w:jc w:val="right"/>
            </w:pPr>
            <w:r>
              <w:rPr>
                <w:rFonts w:ascii="宋体" w:eastAsia="宋体" w:hAnsi="宋体" w:cs="宋体"/>
                <w:b w:val="0"/>
                <w:i w:val="0"/>
                <w:color w:val="000000"/>
                <w:sz w:val="14"/>
              </w:rPr>
              <w:t xml:space="preserve">14.41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14.23</w:t>
            </w:r>
          </w:p>
        </w:tc>
        <w:tc>
          <w:tcPr>
            <w:tcW w:w="1160" w:type="dxa"/>
            <w:tcBorders/>
            <w:vAlign w:val="center"/>
          </w:tcPr>
          <w:p>
            <w:pPr>
              <w:jc w:val="right"/>
            </w:pPr>
            <w:r>
              <w:rPr>
                <w:rFonts w:ascii="宋体" w:eastAsia="宋体" w:hAnsi="宋体" w:cs="宋体"/>
                <w:b w:val="0"/>
                <w:i w:val="0"/>
                <w:color w:val="000000"/>
                <w:sz w:val="14"/>
              </w:rPr>
              <w:t xml:space="preserve">14.23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行政单位离退休</w:t>
            </w:r>
          </w:p>
        </w:tc>
        <w:tc>
          <w:tcPr>
            <w:tcW w:w="1160" w:type="dxa"/>
            <w:tcBorders/>
            <w:vAlign w:val="center"/>
          </w:tcPr>
          <w:p>
            <w:pPr>
              <w:jc w:val="right"/>
            </w:pPr>
            <w:r>
              <w:rPr>
                <w:rFonts w:ascii="宋体" w:eastAsia="宋体" w:hAnsi="宋体" w:cs="宋体"/>
                <w:b w:val="0"/>
                <w:i w:val="0"/>
                <w:color w:val="000000"/>
                <w:sz w:val="14"/>
              </w:rPr>
              <w:t xml:space="preserve">0.01</w:t>
            </w:r>
          </w:p>
        </w:tc>
        <w:tc>
          <w:tcPr>
            <w:tcW w:w="1160" w:type="dxa"/>
            <w:tcBorders/>
            <w:vAlign w:val="center"/>
          </w:tcPr>
          <w:p>
            <w:pPr>
              <w:jc w:val="right"/>
            </w:pPr>
            <w:r>
              <w:rPr>
                <w:rFonts w:ascii="宋体" w:eastAsia="宋体" w:hAnsi="宋体" w:cs="宋体"/>
                <w:b w:val="0"/>
                <w:i w:val="0"/>
                <w:color w:val="000000"/>
                <w:sz w:val="14"/>
              </w:rPr>
              <w:t xml:space="preserve">0.01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8.85</w:t>
            </w:r>
          </w:p>
        </w:tc>
        <w:tc>
          <w:tcPr>
            <w:tcW w:w="1160" w:type="dxa"/>
            <w:tcBorders/>
            <w:vAlign w:val="center"/>
          </w:tcPr>
          <w:p>
            <w:pPr>
              <w:jc w:val="right"/>
            </w:pPr>
            <w:r>
              <w:rPr>
                <w:rFonts w:ascii="宋体" w:eastAsia="宋体" w:hAnsi="宋体" w:cs="宋体"/>
                <w:b w:val="0"/>
                <w:i w:val="0"/>
                <w:color w:val="000000"/>
                <w:sz w:val="14"/>
              </w:rPr>
              <w:t xml:space="preserve">8.85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5.37</w:t>
            </w:r>
          </w:p>
        </w:tc>
        <w:tc>
          <w:tcPr>
            <w:tcW w:w="1160" w:type="dxa"/>
            <w:tcBorders/>
            <w:vAlign w:val="center"/>
          </w:tcPr>
          <w:p>
            <w:pPr>
              <w:jc w:val="right"/>
            </w:pPr>
            <w:r>
              <w:rPr>
                <w:rFonts w:ascii="宋体" w:eastAsia="宋体" w:hAnsi="宋体" w:cs="宋体"/>
                <w:b w:val="0"/>
                <w:i w:val="0"/>
                <w:color w:val="000000"/>
                <w:sz w:val="14"/>
              </w:rPr>
              <w:t xml:space="preserve">5.37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0.18</w:t>
            </w:r>
          </w:p>
        </w:tc>
        <w:tc>
          <w:tcPr>
            <w:tcW w:w="1160" w:type="dxa"/>
            <w:tcBorders/>
            <w:vAlign w:val="center"/>
          </w:tcPr>
          <w:p>
            <w:pPr>
              <w:jc w:val="right"/>
            </w:pPr>
            <w:r>
              <w:rPr>
                <w:rFonts w:ascii="宋体" w:eastAsia="宋体" w:hAnsi="宋体" w:cs="宋体"/>
                <w:b w:val="0"/>
                <w:i w:val="0"/>
                <w:color w:val="000000"/>
                <w:sz w:val="14"/>
              </w:rPr>
              <w:t xml:space="preserve">0.18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0.18</w:t>
            </w:r>
          </w:p>
        </w:tc>
        <w:tc>
          <w:tcPr>
            <w:tcW w:w="1160" w:type="dxa"/>
            <w:tcBorders/>
            <w:vAlign w:val="center"/>
          </w:tcPr>
          <w:p>
            <w:pPr>
              <w:jc w:val="right"/>
            </w:pPr>
            <w:r>
              <w:rPr>
                <w:rFonts w:ascii="宋体" w:eastAsia="宋体" w:hAnsi="宋体" w:cs="宋体"/>
                <w:b w:val="0"/>
                <w:i w:val="0"/>
                <w:color w:val="000000"/>
                <w:sz w:val="14"/>
              </w:rPr>
              <w:t xml:space="preserve">0.18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3.38</w:t>
            </w:r>
          </w:p>
        </w:tc>
        <w:tc>
          <w:tcPr>
            <w:tcW w:w="1160" w:type="dxa"/>
            <w:tcBorders/>
            <w:vAlign w:val="center"/>
          </w:tcPr>
          <w:p>
            <w:pPr>
              <w:jc w:val="right"/>
            </w:pPr>
            <w:r>
              <w:rPr>
                <w:rFonts w:ascii="宋体" w:eastAsia="宋体" w:hAnsi="宋体" w:cs="宋体"/>
                <w:b w:val="0"/>
                <w:i w:val="0"/>
                <w:color w:val="000000"/>
                <w:sz w:val="14"/>
              </w:rPr>
              <w:t xml:space="preserve">3.38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3.38</w:t>
            </w:r>
          </w:p>
        </w:tc>
        <w:tc>
          <w:tcPr>
            <w:tcW w:w="1160" w:type="dxa"/>
            <w:tcBorders/>
            <w:vAlign w:val="center"/>
          </w:tcPr>
          <w:p>
            <w:pPr>
              <w:jc w:val="right"/>
            </w:pPr>
            <w:r>
              <w:rPr>
                <w:rFonts w:ascii="宋体" w:eastAsia="宋体" w:hAnsi="宋体" w:cs="宋体"/>
                <w:b w:val="0"/>
                <w:i w:val="0"/>
                <w:color w:val="000000"/>
                <w:sz w:val="14"/>
              </w:rPr>
              <w:t xml:space="preserve">3.38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3.35</w:t>
            </w:r>
          </w:p>
        </w:tc>
        <w:tc>
          <w:tcPr>
            <w:tcW w:w="1160" w:type="dxa"/>
            <w:tcBorders/>
            <w:vAlign w:val="center"/>
          </w:tcPr>
          <w:p>
            <w:pPr>
              <w:jc w:val="right"/>
            </w:pPr>
            <w:r>
              <w:rPr>
                <w:rFonts w:ascii="宋体" w:eastAsia="宋体" w:hAnsi="宋体" w:cs="宋体"/>
                <w:b w:val="0"/>
                <w:i w:val="0"/>
                <w:color w:val="000000"/>
                <w:sz w:val="14"/>
              </w:rPr>
              <w:t xml:space="preserve">3.35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0.03</w:t>
            </w:r>
          </w:p>
        </w:tc>
        <w:tc>
          <w:tcPr>
            <w:tcW w:w="1160" w:type="dxa"/>
            <w:tcBorders/>
            <w:vAlign w:val="center"/>
          </w:tcPr>
          <w:p>
            <w:pPr>
              <w:jc w:val="right"/>
            </w:pPr>
            <w:r>
              <w:rPr>
                <w:rFonts w:ascii="宋体" w:eastAsia="宋体" w:hAnsi="宋体" w:cs="宋体"/>
                <w:b w:val="0"/>
                <w:i w:val="0"/>
                <w:color w:val="000000"/>
                <w:sz w:val="14"/>
              </w:rPr>
              <w:t xml:space="preserve">0.03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7.33</w:t>
            </w:r>
          </w:p>
        </w:tc>
        <w:tc>
          <w:tcPr>
            <w:tcW w:w="1160" w:type="dxa"/>
            <w:tcBorders/>
            <w:vAlign w:val="center"/>
          </w:tcPr>
          <w:p>
            <w:pPr>
              <w:jc w:val="right"/>
            </w:pPr>
            <w:r>
              <w:rPr>
                <w:rFonts w:ascii="宋体" w:eastAsia="宋体" w:hAnsi="宋体" w:cs="宋体"/>
                <w:b w:val="0"/>
                <w:i w:val="0"/>
                <w:color w:val="000000"/>
                <w:sz w:val="14"/>
              </w:rPr>
              <w:t xml:space="preserve">7.33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7.33</w:t>
            </w:r>
          </w:p>
        </w:tc>
        <w:tc>
          <w:tcPr>
            <w:tcW w:w="1160" w:type="dxa"/>
            <w:tcBorders/>
            <w:vAlign w:val="center"/>
          </w:tcPr>
          <w:p>
            <w:pPr>
              <w:jc w:val="right"/>
            </w:pPr>
            <w:r>
              <w:rPr>
                <w:rFonts w:ascii="宋体" w:eastAsia="宋体" w:hAnsi="宋体" w:cs="宋体"/>
                <w:b w:val="0"/>
                <w:i w:val="0"/>
                <w:color w:val="000000"/>
                <w:sz w:val="14"/>
              </w:rPr>
              <w:t xml:space="preserve">7.33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7.33</w:t>
            </w:r>
          </w:p>
        </w:tc>
        <w:tc>
          <w:tcPr>
            <w:tcW w:w="1160" w:type="dxa"/>
            <w:tcBorders/>
            <w:vAlign w:val="center"/>
          </w:tcPr>
          <w:p>
            <w:pPr>
              <w:jc w:val="right"/>
            </w:pPr>
            <w:r>
              <w:rPr>
                <w:rFonts w:ascii="宋体" w:eastAsia="宋体" w:hAnsi="宋体" w:cs="宋体"/>
                <w:b w:val="0"/>
                <w:i w:val="0"/>
                <w:color w:val="000000"/>
                <w:sz w:val="14"/>
              </w:rPr>
              <w:t xml:space="preserve">7.33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单位：中共辽宁省盘锦市大洼区委区政府信访局（本级）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242.91</w:t>
            </w:r>
          </w:p>
        </w:tc>
        <w:tc>
          <w:tcPr>
            <w:tcW w:w="1120" w:type="dxa"/>
            <w:tcBorders/>
            <w:vAlign w:val="center"/>
          </w:tcPr>
          <w:p>
            <w:pPr>
              <w:jc w:val="right"/>
            </w:pPr>
            <w:r>
              <w:rPr>
                <w:rFonts w:ascii="宋体" w:eastAsia="宋体" w:hAnsi="宋体" w:cs="宋体"/>
                <w:b/>
                <w:i w:val="0"/>
                <w:color w:val="000000"/>
                <w:sz w:val="16"/>
              </w:rPr>
              <w:t xml:space="preserve">140.67</w:t>
            </w:r>
          </w:p>
        </w:tc>
        <w:tc>
          <w:tcPr>
            <w:tcW w:w="1120" w:type="dxa"/>
            <w:tcBorders/>
            <w:vAlign w:val="center"/>
          </w:tcPr>
          <w:p>
            <w:pPr>
              <w:jc w:val="right"/>
            </w:pPr>
            <w:r>
              <w:rPr>
                <w:rFonts w:ascii="宋体" w:eastAsia="宋体" w:hAnsi="宋体" w:cs="宋体"/>
                <w:b/>
                <w:i w:val="0"/>
                <w:color w:val="000000"/>
                <w:sz w:val="16"/>
              </w:rPr>
              <w:t xml:space="preserve">102.24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217.78</w:t>
            </w:r>
          </w:p>
        </w:tc>
        <w:tc>
          <w:tcPr>
            <w:tcW w:w="1120" w:type="dxa"/>
            <w:tcBorders/>
            <w:vAlign w:val="center"/>
          </w:tcPr>
          <w:p>
            <w:pPr>
              <w:jc w:val="right"/>
            </w:pPr>
            <w:r>
              <w:rPr>
                <w:rFonts w:ascii="宋体" w:eastAsia="宋体" w:hAnsi="宋体" w:cs="宋体"/>
                <w:b w:val="0"/>
                <w:i w:val="0"/>
                <w:color w:val="000000"/>
                <w:sz w:val="16"/>
              </w:rPr>
              <w:t xml:space="preserve">115.54</w:t>
            </w:r>
          </w:p>
        </w:tc>
        <w:tc>
          <w:tcPr>
            <w:tcW w:w="1120" w:type="dxa"/>
            <w:tcBorders/>
            <w:vAlign w:val="center"/>
          </w:tcPr>
          <w:p>
            <w:pPr>
              <w:jc w:val="right"/>
            </w:pPr>
            <w:r>
              <w:rPr>
                <w:rFonts w:ascii="宋体" w:eastAsia="宋体" w:hAnsi="宋体" w:cs="宋体"/>
                <w:b w:val="0"/>
                <w:i w:val="0"/>
                <w:color w:val="000000"/>
                <w:sz w:val="16"/>
              </w:rPr>
              <w:t xml:space="preserve">102.24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政府办公厅（室）及相关机构事务</w:t>
            </w:r>
          </w:p>
        </w:tc>
        <w:tc>
          <w:tcPr>
            <w:tcW w:w="1120" w:type="dxa"/>
            <w:tcBorders/>
            <w:vAlign w:val="center"/>
          </w:tcPr>
          <w:p>
            <w:pPr>
              <w:jc w:val="right"/>
            </w:pPr>
            <w:r>
              <w:rPr>
                <w:rFonts w:ascii="宋体" w:eastAsia="宋体" w:hAnsi="宋体" w:cs="宋体"/>
                <w:b w:val="0"/>
                <w:i w:val="0"/>
                <w:color w:val="000000"/>
                <w:sz w:val="16"/>
              </w:rPr>
              <w:t xml:space="preserve">217.78</w:t>
            </w:r>
          </w:p>
        </w:tc>
        <w:tc>
          <w:tcPr>
            <w:tcW w:w="1120" w:type="dxa"/>
            <w:tcBorders/>
            <w:vAlign w:val="center"/>
          </w:tcPr>
          <w:p>
            <w:pPr>
              <w:jc w:val="right"/>
            </w:pPr>
            <w:r>
              <w:rPr>
                <w:rFonts w:ascii="宋体" w:eastAsia="宋体" w:hAnsi="宋体" w:cs="宋体"/>
                <w:b w:val="0"/>
                <w:i w:val="0"/>
                <w:color w:val="000000"/>
                <w:sz w:val="16"/>
              </w:rPr>
              <w:t xml:space="preserve">115.54</w:t>
            </w:r>
          </w:p>
        </w:tc>
        <w:tc>
          <w:tcPr>
            <w:tcW w:w="1120" w:type="dxa"/>
            <w:tcBorders/>
            <w:vAlign w:val="center"/>
          </w:tcPr>
          <w:p>
            <w:pPr>
              <w:jc w:val="right"/>
            </w:pPr>
            <w:r>
              <w:rPr>
                <w:rFonts w:ascii="宋体" w:eastAsia="宋体" w:hAnsi="宋体" w:cs="宋体"/>
                <w:b w:val="0"/>
                <w:i w:val="0"/>
                <w:color w:val="000000"/>
                <w:sz w:val="16"/>
              </w:rPr>
              <w:t xml:space="preserve">102.24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68.47</w:t>
            </w:r>
          </w:p>
        </w:tc>
        <w:tc>
          <w:tcPr>
            <w:tcW w:w="1120" w:type="dxa"/>
            <w:tcBorders/>
            <w:vAlign w:val="center"/>
          </w:tcPr>
          <w:p>
            <w:pPr>
              <w:jc w:val="right"/>
            </w:pPr>
            <w:r>
              <w:rPr>
                <w:rFonts w:ascii="宋体" w:eastAsia="宋体" w:hAnsi="宋体" w:cs="宋体"/>
                <w:b w:val="0"/>
                <w:i w:val="0"/>
                <w:color w:val="000000"/>
                <w:sz w:val="16"/>
              </w:rPr>
              <w:t xml:space="preserve">68.47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信访事务</w:t>
            </w:r>
          </w:p>
        </w:tc>
        <w:tc>
          <w:tcPr>
            <w:tcW w:w="1120" w:type="dxa"/>
            <w:tcBorders/>
            <w:vAlign w:val="center"/>
          </w:tcPr>
          <w:p>
            <w:pPr>
              <w:jc w:val="right"/>
            </w:pPr>
            <w:r>
              <w:rPr>
                <w:rFonts w:ascii="宋体" w:eastAsia="宋体" w:hAnsi="宋体" w:cs="宋体"/>
                <w:b w:val="0"/>
                <w:i w:val="0"/>
                <w:color w:val="000000"/>
                <w:sz w:val="16"/>
              </w:rPr>
              <w:t xml:space="preserve">149.31</w:t>
            </w:r>
          </w:p>
        </w:tc>
        <w:tc>
          <w:tcPr>
            <w:tcW w:w="1120" w:type="dxa"/>
            <w:tcBorders/>
            <w:vAlign w:val="center"/>
          </w:tcPr>
          <w:p>
            <w:pPr>
              <w:jc w:val="right"/>
            </w:pPr>
            <w:r>
              <w:rPr>
                <w:rFonts w:ascii="宋体" w:eastAsia="宋体" w:hAnsi="宋体" w:cs="宋体"/>
                <w:b w:val="0"/>
                <w:i w:val="0"/>
                <w:color w:val="000000"/>
                <w:sz w:val="16"/>
              </w:rPr>
              <w:t xml:space="preserve">47.07</w:t>
            </w:r>
          </w:p>
        </w:tc>
        <w:tc>
          <w:tcPr>
            <w:tcW w:w="1120" w:type="dxa"/>
            <w:tcBorders/>
            <w:vAlign w:val="center"/>
          </w:tcPr>
          <w:p>
            <w:pPr>
              <w:jc w:val="right"/>
            </w:pPr>
            <w:r>
              <w:rPr>
                <w:rFonts w:ascii="宋体" w:eastAsia="宋体" w:hAnsi="宋体" w:cs="宋体"/>
                <w:b w:val="0"/>
                <w:i w:val="0"/>
                <w:color w:val="000000"/>
                <w:sz w:val="16"/>
              </w:rPr>
              <w:t xml:space="preserve">102.24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14.41</w:t>
            </w:r>
          </w:p>
        </w:tc>
        <w:tc>
          <w:tcPr>
            <w:tcW w:w="1120" w:type="dxa"/>
            <w:tcBorders/>
            <w:vAlign w:val="center"/>
          </w:tcPr>
          <w:p>
            <w:pPr>
              <w:jc w:val="right"/>
            </w:pPr>
            <w:r>
              <w:rPr>
                <w:rFonts w:ascii="宋体" w:eastAsia="宋体" w:hAnsi="宋体" w:cs="宋体"/>
                <w:b w:val="0"/>
                <w:i w:val="0"/>
                <w:color w:val="000000"/>
                <w:sz w:val="16"/>
              </w:rPr>
              <w:t xml:space="preserve">14.41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14.23</w:t>
            </w:r>
          </w:p>
        </w:tc>
        <w:tc>
          <w:tcPr>
            <w:tcW w:w="1120" w:type="dxa"/>
            <w:tcBorders/>
            <w:vAlign w:val="center"/>
          </w:tcPr>
          <w:p>
            <w:pPr>
              <w:jc w:val="right"/>
            </w:pPr>
            <w:r>
              <w:rPr>
                <w:rFonts w:ascii="宋体" w:eastAsia="宋体" w:hAnsi="宋体" w:cs="宋体"/>
                <w:b w:val="0"/>
                <w:i w:val="0"/>
                <w:color w:val="000000"/>
                <w:sz w:val="16"/>
              </w:rPr>
              <w:t xml:space="preserve">14.23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行政单位离退休</w:t>
            </w:r>
          </w:p>
        </w:tc>
        <w:tc>
          <w:tcPr>
            <w:tcW w:w="1120" w:type="dxa"/>
            <w:tcBorders/>
            <w:vAlign w:val="center"/>
          </w:tcPr>
          <w:p>
            <w:pPr>
              <w:jc w:val="right"/>
            </w:pPr>
            <w:r>
              <w:rPr>
                <w:rFonts w:ascii="宋体" w:eastAsia="宋体" w:hAnsi="宋体" w:cs="宋体"/>
                <w:b w:val="0"/>
                <w:i w:val="0"/>
                <w:color w:val="000000"/>
                <w:sz w:val="16"/>
              </w:rPr>
              <w:t xml:space="preserve">0.01</w:t>
            </w:r>
          </w:p>
        </w:tc>
        <w:tc>
          <w:tcPr>
            <w:tcW w:w="1120" w:type="dxa"/>
            <w:tcBorders/>
            <w:vAlign w:val="center"/>
          </w:tcPr>
          <w:p>
            <w:pPr>
              <w:jc w:val="right"/>
            </w:pPr>
            <w:r>
              <w:rPr>
                <w:rFonts w:ascii="宋体" w:eastAsia="宋体" w:hAnsi="宋体" w:cs="宋体"/>
                <w:b w:val="0"/>
                <w:i w:val="0"/>
                <w:color w:val="000000"/>
                <w:sz w:val="16"/>
              </w:rPr>
              <w:t xml:space="preserve">0.01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8.85</w:t>
            </w:r>
          </w:p>
        </w:tc>
        <w:tc>
          <w:tcPr>
            <w:tcW w:w="1120" w:type="dxa"/>
            <w:tcBorders/>
            <w:vAlign w:val="center"/>
          </w:tcPr>
          <w:p>
            <w:pPr>
              <w:jc w:val="right"/>
            </w:pPr>
            <w:r>
              <w:rPr>
                <w:rFonts w:ascii="宋体" w:eastAsia="宋体" w:hAnsi="宋体" w:cs="宋体"/>
                <w:b w:val="0"/>
                <w:i w:val="0"/>
                <w:color w:val="000000"/>
                <w:sz w:val="16"/>
              </w:rPr>
              <w:t xml:space="preserve">8.85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5.37</w:t>
            </w:r>
          </w:p>
        </w:tc>
        <w:tc>
          <w:tcPr>
            <w:tcW w:w="1120" w:type="dxa"/>
            <w:tcBorders/>
            <w:vAlign w:val="center"/>
          </w:tcPr>
          <w:p>
            <w:pPr>
              <w:jc w:val="right"/>
            </w:pPr>
            <w:r>
              <w:rPr>
                <w:rFonts w:ascii="宋体" w:eastAsia="宋体" w:hAnsi="宋体" w:cs="宋体"/>
                <w:b w:val="0"/>
                <w:i w:val="0"/>
                <w:color w:val="000000"/>
                <w:sz w:val="16"/>
              </w:rPr>
              <w:t xml:space="preserve">5.37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0.18</w:t>
            </w:r>
          </w:p>
        </w:tc>
        <w:tc>
          <w:tcPr>
            <w:tcW w:w="1120" w:type="dxa"/>
            <w:tcBorders/>
            <w:vAlign w:val="center"/>
          </w:tcPr>
          <w:p>
            <w:pPr>
              <w:jc w:val="right"/>
            </w:pPr>
            <w:r>
              <w:rPr>
                <w:rFonts w:ascii="宋体" w:eastAsia="宋体" w:hAnsi="宋体" w:cs="宋体"/>
                <w:b w:val="0"/>
                <w:i w:val="0"/>
                <w:color w:val="000000"/>
                <w:sz w:val="16"/>
              </w:rPr>
              <w:t xml:space="preserve">0.18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0.18</w:t>
            </w:r>
          </w:p>
        </w:tc>
        <w:tc>
          <w:tcPr>
            <w:tcW w:w="1120" w:type="dxa"/>
            <w:tcBorders/>
            <w:vAlign w:val="center"/>
          </w:tcPr>
          <w:p>
            <w:pPr>
              <w:jc w:val="right"/>
            </w:pPr>
            <w:r>
              <w:rPr>
                <w:rFonts w:ascii="宋体" w:eastAsia="宋体" w:hAnsi="宋体" w:cs="宋体"/>
                <w:b w:val="0"/>
                <w:i w:val="0"/>
                <w:color w:val="000000"/>
                <w:sz w:val="16"/>
              </w:rPr>
              <w:t xml:space="preserve">0.18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3.38</w:t>
            </w:r>
          </w:p>
        </w:tc>
        <w:tc>
          <w:tcPr>
            <w:tcW w:w="1120" w:type="dxa"/>
            <w:tcBorders/>
            <w:vAlign w:val="center"/>
          </w:tcPr>
          <w:p>
            <w:pPr>
              <w:jc w:val="right"/>
            </w:pPr>
            <w:r>
              <w:rPr>
                <w:rFonts w:ascii="宋体" w:eastAsia="宋体" w:hAnsi="宋体" w:cs="宋体"/>
                <w:b w:val="0"/>
                <w:i w:val="0"/>
                <w:color w:val="000000"/>
                <w:sz w:val="16"/>
              </w:rPr>
              <w:t xml:space="preserve">3.38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3.38</w:t>
            </w:r>
          </w:p>
        </w:tc>
        <w:tc>
          <w:tcPr>
            <w:tcW w:w="1120" w:type="dxa"/>
            <w:tcBorders/>
            <w:vAlign w:val="center"/>
          </w:tcPr>
          <w:p>
            <w:pPr>
              <w:jc w:val="right"/>
            </w:pPr>
            <w:r>
              <w:rPr>
                <w:rFonts w:ascii="宋体" w:eastAsia="宋体" w:hAnsi="宋体" w:cs="宋体"/>
                <w:b w:val="0"/>
                <w:i w:val="0"/>
                <w:color w:val="000000"/>
                <w:sz w:val="16"/>
              </w:rPr>
              <w:t xml:space="preserve">3.38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3.35</w:t>
            </w:r>
          </w:p>
        </w:tc>
        <w:tc>
          <w:tcPr>
            <w:tcW w:w="1120" w:type="dxa"/>
            <w:tcBorders/>
            <w:vAlign w:val="center"/>
          </w:tcPr>
          <w:p>
            <w:pPr>
              <w:jc w:val="right"/>
            </w:pPr>
            <w:r>
              <w:rPr>
                <w:rFonts w:ascii="宋体" w:eastAsia="宋体" w:hAnsi="宋体" w:cs="宋体"/>
                <w:b w:val="0"/>
                <w:i w:val="0"/>
                <w:color w:val="000000"/>
                <w:sz w:val="16"/>
              </w:rPr>
              <w:t xml:space="preserve">3.35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0.03</w:t>
            </w:r>
          </w:p>
        </w:tc>
        <w:tc>
          <w:tcPr>
            <w:tcW w:w="1120" w:type="dxa"/>
            <w:tcBorders/>
            <w:vAlign w:val="center"/>
          </w:tcPr>
          <w:p>
            <w:pPr>
              <w:jc w:val="right"/>
            </w:pPr>
            <w:r>
              <w:rPr>
                <w:rFonts w:ascii="宋体" w:eastAsia="宋体" w:hAnsi="宋体" w:cs="宋体"/>
                <w:b w:val="0"/>
                <w:i w:val="0"/>
                <w:color w:val="000000"/>
                <w:sz w:val="16"/>
              </w:rPr>
              <w:t xml:space="preserve">0.03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7.33</w:t>
            </w:r>
          </w:p>
        </w:tc>
        <w:tc>
          <w:tcPr>
            <w:tcW w:w="1120" w:type="dxa"/>
            <w:tcBorders/>
            <w:vAlign w:val="center"/>
          </w:tcPr>
          <w:p>
            <w:pPr>
              <w:jc w:val="right"/>
            </w:pPr>
            <w:r>
              <w:rPr>
                <w:rFonts w:ascii="宋体" w:eastAsia="宋体" w:hAnsi="宋体" w:cs="宋体"/>
                <w:b w:val="0"/>
                <w:i w:val="0"/>
                <w:color w:val="000000"/>
                <w:sz w:val="16"/>
              </w:rPr>
              <w:t xml:space="preserve">7.33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7.33</w:t>
            </w:r>
          </w:p>
        </w:tc>
        <w:tc>
          <w:tcPr>
            <w:tcW w:w="1120" w:type="dxa"/>
            <w:tcBorders/>
            <w:vAlign w:val="center"/>
          </w:tcPr>
          <w:p>
            <w:pPr>
              <w:jc w:val="right"/>
            </w:pPr>
            <w:r>
              <w:rPr>
                <w:rFonts w:ascii="宋体" w:eastAsia="宋体" w:hAnsi="宋体" w:cs="宋体"/>
                <w:b w:val="0"/>
                <w:i w:val="0"/>
                <w:color w:val="000000"/>
                <w:sz w:val="16"/>
              </w:rPr>
              <w:t xml:space="preserve">7.33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7.33</w:t>
            </w:r>
          </w:p>
        </w:tc>
        <w:tc>
          <w:tcPr>
            <w:tcW w:w="1120" w:type="dxa"/>
            <w:tcBorders/>
            <w:vAlign w:val="center"/>
          </w:tcPr>
          <w:p>
            <w:pPr>
              <w:jc w:val="right"/>
            </w:pPr>
            <w:r>
              <w:rPr>
                <w:rFonts w:ascii="宋体" w:eastAsia="宋体" w:hAnsi="宋体" w:cs="宋体"/>
                <w:b w:val="0"/>
                <w:i w:val="0"/>
                <w:color w:val="000000"/>
                <w:sz w:val="16"/>
              </w:rPr>
              <w:t xml:space="preserve">7.33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单位：中共辽宁省盘锦市大洼区委区政府信访局（本级）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242.91</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217.78</w:t>
            </w:r>
          </w:p>
        </w:tc>
        <w:tc>
          <w:tcPr>
            <w:tcW w:w="1100" w:type="dxa"/>
            <w:tcBorders/>
            <w:vAlign w:val="center"/>
          </w:tcPr>
          <w:p>
            <w:pPr>
              <w:jc w:val="right"/>
            </w:pPr>
            <w:r>
              <w:rPr>
                <w:rFonts w:ascii="宋体" w:eastAsia="宋体" w:hAnsi="宋体" w:cs="宋体"/>
                <w:b w:val="0"/>
                <w:i w:val="0"/>
                <w:color w:val="000000"/>
                <w:sz w:val="14"/>
              </w:rPr>
              <w:t xml:space="preserve">217.78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14.41</w:t>
            </w:r>
          </w:p>
        </w:tc>
        <w:tc>
          <w:tcPr>
            <w:tcW w:w="1100" w:type="dxa"/>
            <w:tcBorders/>
            <w:vAlign w:val="center"/>
          </w:tcPr>
          <w:p>
            <w:pPr>
              <w:jc w:val="right"/>
            </w:pPr>
            <w:r>
              <w:rPr>
                <w:rFonts w:ascii="宋体" w:eastAsia="宋体" w:hAnsi="宋体" w:cs="宋体"/>
                <w:b w:val="0"/>
                <w:i w:val="0"/>
                <w:color w:val="000000"/>
                <w:sz w:val="14"/>
              </w:rPr>
              <w:t xml:space="preserve">14.41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3.38</w:t>
            </w:r>
          </w:p>
        </w:tc>
        <w:tc>
          <w:tcPr>
            <w:tcW w:w="1100" w:type="dxa"/>
            <w:tcBorders/>
            <w:vAlign w:val="center"/>
          </w:tcPr>
          <w:p>
            <w:pPr>
              <w:jc w:val="right"/>
            </w:pPr>
            <w:r>
              <w:rPr>
                <w:rFonts w:ascii="宋体" w:eastAsia="宋体" w:hAnsi="宋体" w:cs="宋体"/>
                <w:b w:val="0"/>
                <w:i w:val="0"/>
                <w:color w:val="000000"/>
                <w:sz w:val="14"/>
              </w:rPr>
              <w:t xml:space="preserve">3.38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7.33</w:t>
            </w:r>
          </w:p>
        </w:tc>
        <w:tc>
          <w:tcPr>
            <w:tcW w:w="1100" w:type="dxa"/>
            <w:tcBorders/>
            <w:vAlign w:val="center"/>
          </w:tcPr>
          <w:p>
            <w:pPr>
              <w:jc w:val="right"/>
            </w:pPr>
            <w:r>
              <w:rPr>
                <w:rFonts w:ascii="宋体" w:eastAsia="宋体" w:hAnsi="宋体" w:cs="宋体"/>
                <w:b w:val="0"/>
                <w:i w:val="0"/>
                <w:color w:val="000000"/>
                <w:sz w:val="14"/>
              </w:rPr>
              <w:t xml:space="preserve">7.33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242.91</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242.91</w:t>
            </w:r>
          </w:p>
        </w:tc>
        <w:tc>
          <w:tcPr>
            <w:tcW w:w="1100" w:type="dxa"/>
            <w:tcBorders/>
            <w:vAlign w:val="center"/>
          </w:tcPr>
          <w:p>
            <w:pPr>
              <w:jc w:val="right"/>
            </w:pPr>
            <w:r>
              <w:rPr>
                <w:rFonts w:ascii="宋体" w:eastAsia="宋体" w:hAnsi="宋体" w:cs="宋体"/>
                <w:b w:val="0"/>
                <w:i w:val="0"/>
                <w:color w:val="000000"/>
                <w:sz w:val="14"/>
              </w:rPr>
              <w:t xml:space="preserve">242.91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242.91</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242.91</w:t>
            </w:r>
          </w:p>
        </w:tc>
        <w:tc>
          <w:tcPr>
            <w:tcW w:w="1100" w:type="dxa"/>
            <w:tcBorders/>
            <w:vAlign w:val="center"/>
          </w:tcPr>
          <w:p>
            <w:pPr>
              <w:jc w:val="right"/>
            </w:pPr>
            <w:r>
              <w:rPr>
                <w:rFonts w:ascii="宋体" w:eastAsia="宋体" w:hAnsi="宋体" w:cs="宋体"/>
                <w:b w:val="0"/>
                <w:i w:val="0"/>
                <w:color w:val="000000"/>
                <w:sz w:val="14"/>
              </w:rPr>
              <w:t xml:space="preserve">242.91</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单位：中共辽宁省盘锦市大洼区委区政府信访局（本级）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242.91</w:t>
            </w:r>
          </w:p>
        </w:tc>
        <w:tc>
          <w:tcPr>
            <w:tcW w:w="1980" w:type="dxa"/>
            <w:tcBorders/>
            <w:vAlign w:val="center"/>
          </w:tcPr>
          <w:p>
            <w:pPr>
              <w:jc w:val="right"/>
            </w:pPr>
            <w:r>
              <w:rPr>
                <w:rFonts w:ascii="宋体" w:eastAsia="宋体" w:hAnsi="宋体" w:cs="宋体"/>
                <w:b/>
                <w:i w:val="0"/>
                <w:color w:val="000000"/>
                <w:sz w:val="20"/>
              </w:rPr>
              <w:t xml:space="preserve">140.67</w:t>
            </w:r>
          </w:p>
        </w:tc>
        <w:tc>
          <w:tcPr>
            <w:tcW w:w="1952" w:type="dxa"/>
            <w:tcBorders/>
            <w:vAlign w:val="center"/>
          </w:tcPr>
          <w:p>
            <w:pPr>
              <w:jc w:val="right"/>
            </w:pPr>
            <w:r>
              <w:rPr>
                <w:rFonts w:ascii="宋体" w:eastAsia="宋体" w:hAnsi="宋体" w:cs="宋体"/>
                <w:b/>
                <w:i w:val="0"/>
                <w:color w:val="000000"/>
                <w:sz w:val="20"/>
              </w:rPr>
              <w:t xml:space="preserve">102.24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217.78</w:t>
            </w:r>
          </w:p>
        </w:tc>
        <w:tc>
          <w:tcPr>
            <w:tcW w:w="1980" w:type="dxa"/>
            <w:tcBorders/>
            <w:vAlign w:val="center"/>
          </w:tcPr>
          <w:p>
            <w:pPr>
              <w:jc w:val="right"/>
            </w:pPr>
            <w:r>
              <w:rPr>
                <w:rFonts w:ascii="宋体" w:eastAsia="宋体" w:hAnsi="宋体" w:cs="宋体"/>
                <w:b w:val="0"/>
                <w:i w:val="0"/>
                <w:color w:val="000000"/>
                <w:sz w:val="20"/>
              </w:rPr>
              <w:t xml:space="preserve">115.54</w:t>
            </w:r>
          </w:p>
        </w:tc>
        <w:tc>
          <w:tcPr>
            <w:tcW w:w="1952" w:type="dxa"/>
            <w:tcBorders/>
            <w:vAlign w:val="center"/>
          </w:tcPr>
          <w:p>
            <w:pPr>
              <w:jc w:val="right"/>
            </w:pPr>
            <w:r>
              <w:rPr>
                <w:rFonts w:ascii="宋体" w:eastAsia="宋体" w:hAnsi="宋体" w:cs="宋体"/>
                <w:b w:val="0"/>
                <w:i w:val="0"/>
                <w:color w:val="000000"/>
                <w:sz w:val="20"/>
              </w:rPr>
              <w:t xml:space="preserve">102.24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政府办公厅（室）及相关机构事务</w:t>
            </w:r>
          </w:p>
        </w:tc>
        <w:tc>
          <w:tcPr>
            <w:tcW w:w="1980" w:type="dxa"/>
            <w:tcBorders/>
            <w:vAlign w:val="center"/>
          </w:tcPr>
          <w:p>
            <w:pPr>
              <w:jc w:val="right"/>
            </w:pPr>
            <w:r>
              <w:rPr>
                <w:rFonts w:ascii="宋体" w:eastAsia="宋体" w:hAnsi="宋体" w:cs="宋体"/>
                <w:b w:val="0"/>
                <w:i w:val="0"/>
                <w:color w:val="000000"/>
                <w:sz w:val="20"/>
              </w:rPr>
              <w:t xml:space="preserve">217.78</w:t>
            </w:r>
          </w:p>
        </w:tc>
        <w:tc>
          <w:tcPr>
            <w:tcW w:w="1980" w:type="dxa"/>
            <w:tcBorders/>
            <w:vAlign w:val="center"/>
          </w:tcPr>
          <w:p>
            <w:pPr>
              <w:jc w:val="right"/>
            </w:pPr>
            <w:r>
              <w:rPr>
                <w:rFonts w:ascii="宋体" w:eastAsia="宋体" w:hAnsi="宋体" w:cs="宋体"/>
                <w:b w:val="0"/>
                <w:i w:val="0"/>
                <w:color w:val="000000"/>
                <w:sz w:val="20"/>
              </w:rPr>
              <w:t xml:space="preserve">115.54</w:t>
            </w:r>
          </w:p>
        </w:tc>
        <w:tc>
          <w:tcPr>
            <w:tcW w:w="1952" w:type="dxa"/>
            <w:tcBorders/>
            <w:vAlign w:val="center"/>
          </w:tcPr>
          <w:p>
            <w:pPr>
              <w:jc w:val="right"/>
            </w:pPr>
            <w:r>
              <w:rPr>
                <w:rFonts w:ascii="宋体" w:eastAsia="宋体" w:hAnsi="宋体" w:cs="宋体"/>
                <w:b w:val="0"/>
                <w:i w:val="0"/>
                <w:color w:val="000000"/>
                <w:sz w:val="20"/>
              </w:rPr>
              <w:t xml:space="preserve">102.24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68.47</w:t>
            </w:r>
          </w:p>
        </w:tc>
        <w:tc>
          <w:tcPr>
            <w:tcW w:w="1980" w:type="dxa"/>
            <w:tcBorders/>
            <w:vAlign w:val="center"/>
          </w:tcPr>
          <w:p>
            <w:pPr>
              <w:jc w:val="right"/>
            </w:pPr>
            <w:r>
              <w:rPr>
                <w:rFonts w:ascii="宋体" w:eastAsia="宋体" w:hAnsi="宋体" w:cs="宋体"/>
                <w:b w:val="0"/>
                <w:i w:val="0"/>
                <w:color w:val="000000"/>
                <w:sz w:val="20"/>
              </w:rPr>
              <w:t xml:space="preserve">68.47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信访事务</w:t>
            </w:r>
          </w:p>
        </w:tc>
        <w:tc>
          <w:tcPr>
            <w:tcW w:w="1980" w:type="dxa"/>
            <w:tcBorders/>
            <w:vAlign w:val="center"/>
          </w:tcPr>
          <w:p>
            <w:pPr>
              <w:jc w:val="right"/>
            </w:pPr>
            <w:r>
              <w:rPr>
                <w:rFonts w:ascii="宋体" w:eastAsia="宋体" w:hAnsi="宋体" w:cs="宋体"/>
                <w:b w:val="0"/>
                <w:i w:val="0"/>
                <w:color w:val="000000"/>
                <w:sz w:val="20"/>
              </w:rPr>
              <w:t xml:space="preserve">149.31</w:t>
            </w:r>
          </w:p>
        </w:tc>
        <w:tc>
          <w:tcPr>
            <w:tcW w:w="1980" w:type="dxa"/>
            <w:tcBorders/>
            <w:vAlign w:val="center"/>
          </w:tcPr>
          <w:p>
            <w:pPr>
              <w:jc w:val="right"/>
            </w:pPr>
            <w:r>
              <w:rPr>
                <w:rFonts w:ascii="宋体" w:eastAsia="宋体" w:hAnsi="宋体" w:cs="宋体"/>
                <w:b w:val="0"/>
                <w:i w:val="0"/>
                <w:color w:val="000000"/>
                <w:sz w:val="20"/>
              </w:rPr>
              <w:t xml:space="preserve">47.07</w:t>
            </w:r>
          </w:p>
        </w:tc>
        <w:tc>
          <w:tcPr>
            <w:tcW w:w="1952" w:type="dxa"/>
            <w:tcBorders/>
            <w:vAlign w:val="center"/>
          </w:tcPr>
          <w:p>
            <w:pPr>
              <w:jc w:val="right"/>
            </w:pPr>
            <w:r>
              <w:rPr>
                <w:rFonts w:ascii="宋体" w:eastAsia="宋体" w:hAnsi="宋体" w:cs="宋体"/>
                <w:b w:val="0"/>
                <w:i w:val="0"/>
                <w:color w:val="000000"/>
                <w:sz w:val="20"/>
              </w:rPr>
              <w:t xml:space="preserve">102.24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14.41</w:t>
            </w:r>
          </w:p>
        </w:tc>
        <w:tc>
          <w:tcPr>
            <w:tcW w:w="1980" w:type="dxa"/>
            <w:tcBorders/>
            <w:vAlign w:val="center"/>
          </w:tcPr>
          <w:p>
            <w:pPr>
              <w:jc w:val="right"/>
            </w:pPr>
            <w:r>
              <w:rPr>
                <w:rFonts w:ascii="宋体" w:eastAsia="宋体" w:hAnsi="宋体" w:cs="宋体"/>
                <w:b w:val="0"/>
                <w:i w:val="0"/>
                <w:color w:val="000000"/>
                <w:sz w:val="20"/>
              </w:rPr>
              <w:t xml:space="preserve">14.41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14.23</w:t>
            </w:r>
          </w:p>
        </w:tc>
        <w:tc>
          <w:tcPr>
            <w:tcW w:w="1980" w:type="dxa"/>
            <w:tcBorders/>
            <w:vAlign w:val="center"/>
          </w:tcPr>
          <w:p>
            <w:pPr>
              <w:jc w:val="right"/>
            </w:pPr>
            <w:r>
              <w:rPr>
                <w:rFonts w:ascii="宋体" w:eastAsia="宋体" w:hAnsi="宋体" w:cs="宋体"/>
                <w:b w:val="0"/>
                <w:i w:val="0"/>
                <w:color w:val="000000"/>
                <w:sz w:val="20"/>
              </w:rPr>
              <w:t xml:space="preserve">14.23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行政单位离退休</w:t>
            </w:r>
          </w:p>
        </w:tc>
        <w:tc>
          <w:tcPr>
            <w:tcW w:w="1980" w:type="dxa"/>
            <w:tcBorders/>
            <w:vAlign w:val="center"/>
          </w:tcPr>
          <w:p>
            <w:pPr>
              <w:jc w:val="right"/>
            </w:pPr>
            <w:r>
              <w:rPr>
                <w:rFonts w:ascii="宋体" w:eastAsia="宋体" w:hAnsi="宋体" w:cs="宋体"/>
                <w:b w:val="0"/>
                <w:i w:val="0"/>
                <w:color w:val="000000"/>
                <w:sz w:val="20"/>
              </w:rPr>
              <w:t xml:space="preserve">0.01</w:t>
            </w:r>
          </w:p>
        </w:tc>
        <w:tc>
          <w:tcPr>
            <w:tcW w:w="1980" w:type="dxa"/>
            <w:tcBorders/>
            <w:vAlign w:val="center"/>
          </w:tcPr>
          <w:p>
            <w:pPr>
              <w:jc w:val="right"/>
            </w:pPr>
            <w:r>
              <w:rPr>
                <w:rFonts w:ascii="宋体" w:eastAsia="宋体" w:hAnsi="宋体" w:cs="宋体"/>
                <w:b w:val="0"/>
                <w:i w:val="0"/>
                <w:color w:val="000000"/>
                <w:sz w:val="20"/>
              </w:rPr>
              <w:t xml:space="preserve">0.01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8.85</w:t>
            </w:r>
          </w:p>
        </w:tc>
        <w:tc>
          <w:tcPr>
            <w:tcW w:w="1980" w:type="dxa"/>
            <w:tcBorders/>
            <w:vAlign w:val="center"/>
          </w:tcPr>
          <w:p>
            <w:pPr>
              <w:jc w:val="right"/>
            </w:pPr>
            <w:r>
              <w:rPr>
                <w:rFonts w:ascii="宋体" w:eastAsia="宋体" w:hAnsi="宋体" w:cs="宋体"/>
                <w:b w:val="0"/>
                <w:i w:val="0"/>
                <w:color w:val="000000"/>
                <w:sz w:val="20"/>
              </w:rPr>
              <w:t xml:space="preserve">8.85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5.37</w:t>
            </w:r>
          </w:p>
        </w:tc>
        <w:tc>
          <w:tcPr>
            <w:tcW w:w="1980" w:type="dxa"/>
            <w:tcBorders/>
            <w:vAlign w:val="center"/>
          </w:tcPr>
          <w:p>
            <w:pPr>
              <w:jc w:val="right"/>
            </w:pPr>
            <w:r>
              <w:rPr>
                <w:rFonts w:ascii="宋体" w:eastAsia="宋体" w:hAnsi="宋体" w:cs="宋体"/>
                <w:b w:val="0"/>
                <w:i w:val="0"/>
                <w:color w:val="000000"/>
                <w:sz w:val="20"/>
              </w:rPr>
              <w:t xml:space="preserve">5.37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0.18</w:t>
            </w:r>
          </w:p>
        </w:tc>
        <w:tc>
          <w:tcPr>
            <w:tcW w:w="1980" w:type="dxa"/>
            <w:tcBorders/>
            <w:vAlign w:val="center"/>
          </w:tcPr>
          <w:p>
            <w:pPr>
              <w:jc w:val="right"/>
            </w:pPr>
            <w:r>
              <w:rPr>
                <w:rFonts w:ascii="宋体" w:eastAsia="宋体" w:hAnsi="宋体" w:cs="宋体"/>
                <w:b w:val="0"/>
                <w:i w:val="0"/>
                <w:color w:val="000000"/>
                <w:sz w:val="20"/>
              </w:rPr>
              <w:t xml:space="preserve">0.18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0.18</w:t>
            </w:r>
          </w:p>
        </w:tc>
        <w:tc>
          <w:tcPr>
            <w:tcW w:w="1980" w:type="dxa"/>
            <w:tcBorders/>
            <w:vAlign w:val="center"/>
          </w:tcPr>
          <w:p>
            <w:pPr>
              <w:jc w:val="right"/>
            </w:pPr>
            <w:r>
              <w:rPr>
                <w:rFonts w:ascii="宋体" w:eastAsia="宋体" w:hAnsi="宋体" w:cs="宋体"/>
                <w:b w:val="0"/>
                <w:i w:val="0"/>
                <w:color w:val="000000"/>
                <w:sz w:val="20"/>
              </w:rPr>
              <w:t xml:space="preserve">0.18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3.38</w:t>
            </w:r>
          </w:p>
        </w:tc>
        <w:tc>
          <w:tcPr>
            <w:tcW w:w="1980" w:type="dxa"/>
            <w:tcBorders/>
            <w:vAlign w:val="center"/>
          </w:tcPr>
          <w:p>
            <w:pPr>
              <w:jc w:val="right"/>
            </w:pPr>
            <w:r>
              <w:rPr>
                <w:rFonts w:ascii="宋体" w:eastAsia="宋体" w:hAnsi="宋体" w:cs="宋体"/>
                <w:b w:val="0"/>
                <w:i w:val="0"/>
                <w:color w:val="000000"/>
                <w:sz w:val="20"/>
              </w:rPr>
              <w:t xml:space="preserve">3.38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3.38</w:t>
            </w:r>
          </w:p>
        </w:tc>
        <w:tc>
          <w:tcPr>
            <w:tcW w:w="1980" w:type="dxa"/>
            <w:tcBorders/>
            <w:vAlign w:val="center"/>
          </w:tcPr>
          <w:p>
            <w:pPr>
              <w:jc w:val="right"/>
            </w:pPr>
            <w:r>
              <w:rPr>
                <w:rFonts w:ascii="宋体" w:eastAsia="宋体" w:hAnsi="宋体" w:cs="宋体"/>
                <w:b w:val="0"/>
                <w:i w:val="0"/>
                <w:color w:val="000000"/>
                <w:sz w:val="20"/>
              </w:rPr>
              <w:t xml:space="preserve">3.38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3.35</w:t>
            </w:r>
          </w:p>
        </w:tc>
        <w:tc>
          <w:tcPr>
            <w:tcW w:w="1980" w:type="dxa"/>
            <w:tcBorders/>
            <w:vAlign w:val="center"/>
          </w:tcPr>
          <w:p>
            <w:pPr>
              <w:jc w:val="right"/>
            </w:pPr>
            <w:r>
              <w:rPr>
                <w:rFonts w:ascii="宋体" w:eastAsia="宋体" w:hAnsi="宋体" w:cs="宋体"/>
                <w:b w:val="0"/>
                <w:i w:val="0"/>
                <w:color w:val="000000"/>
                <w:sz w:val="20"/>
              </w:rPr>
              <w:t xml:space="preserve">3.35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0.03</w:t>
            </w:r>
          </w:p>
        </w:tc>
        <w:tc>
          <w:tcPr>
            <w:tcW w:w="1980" w:type="dxa"/>
            <w:tcBorders/>
            <w:vAlign w:val="center"/>
          </w:tcPr>
          <w:p>
            <w:pPr>
              <w:jc w:val="right"/>
            </w:pPr>
            <w:r>
              <w:rPr>
                <w:rFonts w:ascii="宋体" w:eastAsia="宋体" w:hAnsi="宋体" w:cs="宋体"/>
                <w:b w:val="0"/>
                <w:i w:val="0"/>
                <w:color w:val="000000"/>
                <w:sz w:val="20"/>
              </w:rPr>
              <w:t xml:space="preserve">0.03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7.33</w:t>
            </w:r>
          </w:p>
        </w:tc>
        <w:tc>
          <w:tcPr>
            <w:tcW w:w="1980" w:type="dxa"/>
            <w:tcBorders/>
            <w:vAlign w:val="center"/>
          </w:tcPr>
          <w:p>
            <w:pPr>
              <w:jc w:val="right"/>
            </w:pPr>
            <w:r>
              <w:rPr>
                <w:rFonts w:ascii="宋体" w:eastAsia="宋体" w:hAnsi="宋体" w:cs="宋体"/>
                <w:b w:val="0"/>
                <w:i w:val="0"/>
                <w:color w:val="000000"/>
                <w:sz w:val="20"/>
              </w:rPr>
              <w:t xml:space="preserve">7.33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7.33</w:t>
            </w:r>
          </w:p>
        </w:tc>
        <w:tc>
          <w:tcPr>
            <w:tcW w:w="1980" w:type="dxa"/>
            <w:tcBorders/>
            <w:vAlign w:val="center"/>
          </w:tcPr>
          <w:p>
            <w:pPr>
              <w:jc w:val="right"/>
            </w:pPr>
            <w:r>
              <w:rPr>
                <w:rFonts w:ascii="宋体" w:eastAsia="宋体" w:hAnsi="宋体" w:cs="宋体"/>
                <w:b w:val="0"/>
                <w:i w:val="0"/>
                <w:color w:val="000000"/>
                <w:sz w:val="20"/>
              </w:rPr>
              <w:t xml:space="preserve">7.33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7.33</w:t>
            </w:r>
          </w:p>
        </w:tc>
        <w:tc>
          <w:tcPr>
            <w:tcW w:w="1980" w:type="dxa"/>
            <w:tcBorders/>
            <w:vAlign w:val="center"/>
          </w:tcPr>
          <w:p>
            <w:pPr>
              <w:jc w:val="right"/>
            </w:pPr>
            <w:r>
              <w:rPr>
                <w:rFonts w:ascii="宋体" w:eastAsia="宋体" w:hAnsi="宋体" w:cs="宋体"/>
                <w:b w:val="0"/>
                <w:i w:val="0"/>
                <w:color w:val="000000"/>
                <w:sz w:val="20"/>
              </w:rPr>
              <w:t xml:space="preserve">7.33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单位：中共辽宁省盘锦市大洼区委区政府信访局（本级）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84.96</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9.61</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27.80</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3.56</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19.91</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12.13</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8.85</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5.37</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3.35</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0.21</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7.33</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46.10</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jc w:val="right"/>
            </w:pPr>
            <w:r>
              <w:rPr>
                <w:rFonts w:ascii="宋体" w:eastAsia="宋体" w:hAnsi="宋体" w:cs="宋体"/>
                <w:b w:val="0"/>
                <w:i w:val="0"/>
                <w:color w:val="000000"/>
                <w:sz w:val="14"/>
              </w:rPr>
              <w:t xml:space="preserve">46.07</w:t>
            </w: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jc w:val="right"/>
            </w:pPr>
            <w:r>
              <w:rPr>
                <w:rFonts w:ascii="宋体" w:eastAsia="宋体" w:hAnsi="宋体" w:cs="宋体"/>
                <w:b w:val="0"/>
                <w:i w:val="0"/>
                <w:color w:val="000000"/>
                <w:sz w:val="14"/>
              </w:rPr>
              <w:t xml:space="preserve">0.01</w:t>
            </w: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jc w:val="right"/>
            </w:pPr>
            <w:r>
              <w:rPr>
                <w:rFonts w:ascii="宋体" w:eastAsia="宋体" w:hAnsi="宋体" w:cs="宋体"/>
                <w:b w:val="0"/>
                <w:i w:val="0"/>
                <w:color w:val="000000"/>
                <w:sz w:val="14"/>
              </w:rPr>
              <w:t xml:space="preserve">0.65</w:t>
            </w: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5.40</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jc w:val="right"/>
            </w:pPr>
            <w:r>
              <w:rPr>
                <w:rFonts w:ascii="宋体" w:eastAsia="宋体" w:hAnsi="宋体" w:cs="宋体"/>
                <w:b w:val="0"/>
                <w:i w:val="0"/>
                <w:color w:val="000000"/>
                <w:sz w:val="14"/>
              </w:rPr>
              <w:t xml:space="preserve">0.02</w:t>
            </w: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131.06</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9.61</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单位：中共辽宁省盘锦市大洼区委区政府信访局（本级）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jc w:val="right"/>
            </w:pPr>
            <w:r>
              <w:rPr>
                <w:rFonts w:ascii="宋体" w:eastAsia="宋体" w:hAnsi="宋体" w:cs="宋体"/>
                <w:b w:val="0"/>
                <w:i w:val="0"/>
                <w:color w:val="000000"/>
                <w:sz w:val="23"/>
              </w:rPr>
              <w:t xml:space="preserve">2.50</w:t>
            </w:r>
          </w:p>
        </w:tc>
        <w:tc>
          <w:tcPr>
            <w:tcW w:w="3092" w:type="dxa"/>
            <w:tcBorders/>
            <w:vAlign w:val="center"/>
          </w:tcPr>
          <w:p>
            <w:pPr>
              <w:jc w:val="right"/>
            </w:pPr>
            <w:r>
              <w:rPr>
                <w:rFonts w:ascii="宋体" w:eastAsia="宋体" w:hAnsi="宋体" w:cs="宋体"/>
                <w:b w:val="0"/>
                <w:i w:val="0"/>
                <w:color w:val="000000"/>
                <w:sz w:val="23"/>
              </w:rPr>
              <w:t xml:space="preserve">0.65</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jc w:val="right"/>
            </w:pPr>
            <w:r>
              <w:rPr>
                <w:rFonts w:ascii="宋体" w:eastAsia="宋体" w:hAnsi="宋体" w:cs="宋体"/>
                <w:b w:val="0"/>
                <w:i w:val="0"/>
                <w:color w:val="000000"/>
                <w:sz w:val="23"/>
              </w:rPr>
              <w:t xml:space="preserve">2.50</w:t>
            </w:r>
          </w:p>
        </w:tc>
        <w:tc>
          <w:tcPr>
            <w:tcW w:w="3092" w:type="dxa"/>
            <w:tcBorders/>
            <w:vAlign w:val="center"/>
          </w:tcPr>
          <w:p>
            <w:pPr>
              <w:jc w:val="right"/>
            </w:pPr>
            <w:r>
              <w:rPr>
                <w:rFonts w:ascii="宋体" w:eastAsia="宋体" w:hAnsi="宋体" w:cs="宋体"/>
                <w:b w:val="0"/>
                <w:i w:val="0"/>
                <w:color w:val="000000"/>
                <w:sz w:val="23"/>
              </w:rPr>
              <w:t xml:space="preserve">0.65</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jc w:val="right"/>
            </w:pPr>
            <w:r>
              <w:rPr>
                <w:rFonts w:ascii="宋体" w:eastAsia="宋体" w:hAnsi="宋体" w:cs="宋体"/>
                <w:b w:val="0"/>
                <w:i w:val="0"/>
                <w:color w:val="000000"/>
                <w:sz w:val="23"/>
              </w:rPr>
              <w:t xml:space="preserve">2.50</w:t>
            </w:r>
          </w:p>
        </w:tc>
        <w:tc>
          <w:tcPr>
            <w:tcW w:w="3092" w:type="dxa"/>
            <w:tcBorders/>
            <w:vAlign w:val="center"/>
          </w:tcPr>
          <w:p>
            <w:pPr>
              <w:jc w:val="right"/>
            </w:pPr>
            <w:r>
              <w:rPr>
                <w:rFonts w:ascii="宋体" w:eastAsia="宋体" w:hAnsi="宋体" w:cs="宋体"/>
                <w:b w:val="0"/>
                <w:i w:val="0"/>
                <w:color w:val="000000"/>
                <w:sz w:val="23"/>
              </w:rPr>
              <w:t xml:space="preserve">0.65</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单位：中共辽宁省盘锦市大洼区委区政府信访局（本级）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单位：中共辽宁省盘锦市大洼区委区政府信访局（本级）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666"/>
        <w:gridCol w:w="666"/>
        <w:gridCol w:w="666"/>
        <w:gridCol w:w="1420"/>
        <w:gridCol w:w="631"/>
        <w:gridCol w:w="631"/>
        <w:gridCol w:w="631"/>
        <w:gridCol w:w="631"/>
        <w:gridCol w:w="631"/>
        <w:gridCol w:w="631"/>
        <w:gridCol w:w="631"/>
        <w:gridCol w:w="876"/>
        <w:gridCol w:w="876"/>
        <w:gridCol w:w="876"/>
        <w:gridCol w:w="876"/>
        <w:gridCol w:w="876"/>
        <w:gridCol w:w="1752"/>
        <w:gridCol w:w="876"/>
      </w:tblGrid>
      <w:tr>
        <w:trPr>
          <w:trHeight w:hRule="exact" w:val="288"/>
          <w:jc w:val="center"/>
        </w:trPr>
        <w:tc>
          <w:tcPr>
            <w:tcW w:w="14843"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2"/>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2"/>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14843"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14843"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341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034001中共盘锦市大洼区委区政府信访局本级-211104000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3"/>
          <w:jc w:val="center"/>
        </w:trPr>
        <w:tc>
          <w:tcPr>
            <w:tcW w:w="341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部门年初预算收入金额（万元）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84.51</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3"/>
          <w:jc w:val="center"/>
        </w:trPr>
        <w:tc>
          <w:tcPr>
            <w:tcW w:w="341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部门年初预算支出金额（万元）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84.51</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06"/>
          <w:jc w:val="center"/>
        </w:trPr>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年度主要任务</w:t>
            </w: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项目下达金额（万元）</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项目执行金额（万元）</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得分</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8.65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8.64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13.3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13.3</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3.63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3.63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13.3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13.3</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69.01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69</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13.4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13.4</w:t>
            </w:r>
          </w:p>
        </w:tc>
      </w:tr>
      <w:tr>
        <w:trPr>
          <w:trHeight w:hRule="exact" w:val="303"/>
          <w:jc w:val="center"/>
        </w:trPr>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年度目标</w:t>
            </w:r>
          </w:p>
        </w:tc>
        <w:tc>
          <w:tcPr>
            <w:tcW w:w="716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0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16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完成全年履职效能、执行财政预算指标，完成区信访维稳工作。</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0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完成全年履职效能，执行财政预算指标，完成区信访维稳工作。</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绩效指标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一级指标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二级指标</w:t>
            </w:r>
          </w:p>
        </w:tc>
        <w:tc>
          <w:tcPr>
            <w:tcW w:w="14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三级指标</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运算符号</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指标值</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度量单位</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全年完成值</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完成程度</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分值</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得分</w:t>
            </w:r>
          </w:p>
        </w:tc>
        <w:tc>
          <w:tcPr>
            <w:tcW w:w="438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969"/>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经费保障原因分析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制度保障原因分析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人员保障原因分析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硬件条件保障原因分析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其他原因分析</w:t>
            </w:r>
          </w:p>
        </w:tc>
        <w:tc>
          <w:tcPr>
            <w:tcW w:w="2628"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履职效能</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重点工作履行情况</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重点工作办结率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整体工作完成情况</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总体工作完成率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工作完成及时率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工作质量达标率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基础管理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依法行政能力</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综合管理水平</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预算执行</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预算执行效率</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预算执行率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预算调整率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结转结余变动率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1.8</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1.8</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预算编制管理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预算绩效目标覆盖率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预算监督管理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预决算公开情况</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全部公开</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预算收支管理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预算收入管理规范性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预算支出管理规范性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财务管理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内控制度有效性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制度有效</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资产管理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固定资产利用率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0.8</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0.8</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业务管理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政府采购管理违法违规行为发生次数</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次</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运行成本</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成本控制成效</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“三公”经费变动率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在职人员控制率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社会效应</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政治效益</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信访量下降率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&gt;=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社会效益</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数据利用率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&gt;=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可持续性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创新驱动发展</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建立内控业务流程</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建立流程</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18"/>
          <w:jc w:val="center"/>
        </w:trPr>
        <w:tc>
          <w:tcPr>
            <w:tcW w:w="7835" w:type="dxa"/>
            <w:hMerge w:val="restart"/>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r>
              <w:rPr>
                <w:rFonts w:ascii="Calibri" w:eastAsia="Calibri" w:hAnsi="Calibri" w:cs="Calibri"/>
                <w:b/>
                <w:i w:val="0"/>
                <w:color w:val="000000"/>
                <w:sz w:val="22"/>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w="7008" w:type="dxa"/>
            <w:hMerge w:val="restart"/>
            <w:tcBorders>
              <w:top w:val="single" w:sz="4" w:space="0" w:color="000000"/>
              <w:left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r>
              <w:rPr>
                <w:rFonts w:ascii="Calibri" w:eastAsia="Calibri" w:hAnsi="Calibri" w:cs="Calibri"/>
                <w:b w:val="0"/>
                <w:i w:val="0"/>
                <w:color w:val="000000"/>
                <w:sz w:val="22"/>
              </w:rPr>
              <w:t xml:space="preserve">100.00</w:t>
            </w: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N2Y0NDg4Yzc3ODc3M2JjNjQ3MmFjZGU0ZjYyMGZkNzg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59</TotalTime>
  <Pages>28</Pages>
  <Words>4085</Words>
  <Characters>12794</Characters>
  <Application>WPS Office_12.1.0.17147_F1E327BC-269C-435d-A152-05C5408002CA</Application>
  <DocSecurity>0</DocSecurity>
  <Lines>90</Lines>
  <Paragraphs>25</Paragraphs>
  <Company>Microsoft</Company>
  <CharactersWithSpaces>12920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麽小嘴</cp:lastModifiedBy>
  <cp:revision>10</cp:revision>
  <cp:lastPrinted>2023-07-31T21:56:00Z</cp:lastPrinted>
  <dcterms:created xsi:type="dcterms:W3CDTF">2024-05-11T01:33:00Z</dcterms:created>
  <dcterms:modified xsi:type="dcterms:W3CDTF">2024-08-14T14:18:37Z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EC9CEE0467244214B2233E74EBAAD9F6_13</vt:lpwstr>
  </property>
</Properties>
</file>