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盘锦市2024年1-7月份财政预算执行情况</w:t>
      </w:r>
    </w:p>
    <w:p>
      <w:pPr>
        <w:snapToGrid w:val="0"/>
        <w:rPr>
          <w:rFonts w:ascii="仿宋" w:hAnsi="仿宋" w:eastAsia="仿宋" w:cs="宋体"/>
          <w:b/>
          <w:bCs/>
          <w:kern w:val="0"/>
          <w:sz w:val="32"/>
          <w:szCs w:val="32"/>
        </w:rPr>
      </w:pPr>
    </w:p>
    <w:p>
      <w:pPr>
        <w:pStyle w:val="2"/>
        <w:ind w:firstLine="840"/>
      </w:pP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2024年1-7月份，全市各级财政部门深入学习贯彻党的二十届三中全会精神，按照市委、市政府工作要求，</w:t>
      </w:r>
      <w:r>
        <w:rPr>
          <w:rFonts w:hint="eastAsia" w:ascii="仿宋_GB2312" w:hAnsi="仿宋" w:eastAsia="仿宋_GB2312" w:cs="宋体"/>
          <w:bCs/>
          <w:kern w:val="0"/>
          <w:sz w:val="32"/>
          <w:szCs w:val="32"/>
          <w:lang w:val="en-US" w:eastAsia="zh-CN"/>
        </w:rPr>
        <w:t>采取超常规手段，</w:t>
      </w:r>
      <w:r>
        <w:rPr>
          <w:rFonts w:hint="eastAsia" w:ascii="仿宋_GB2312" w:hAnsi="仿宋" w:eastAsia="仿宋_GB2312" w:cs="宋体"/>
          <w:bCs/>
          <w:kern w:val="0"/>
          <w:sz w:val="32"/>
          <w:szCs w:val="32"/>
        </w:rPr>
        <w:t>加大组织收入力度，深挖增收潜力，千方百计筹措调度资金，强化重点项目和民生等支出财力保障，全市财政收支运行平稳向好。</w:t>
      </w:r>
    </w:p>
    <w:p>
      <w:pPr>
        <w:snapToGrid w:val="0"/>
        <w:ind w:firstLine="640" w:firstLineChars="200"/>
        <w:rPr>
          <w:rFonts w:ascii="黑体" w:hAnsi="黑体" w:eastAsia="黑体" w:cs="宋体"/>
          <w:kern w:val="0"/>
          <w:sz w:val="32"/>
          <w:szCs w:val="32"/>
        </w:rPr>
      </w:pPr>
      <w:r>
        <w:rPr>
          <w:rFonts w:hint="eastAsia" w:ascii="黑体" w:hAnsi="黑体" w:eastAsia="黑体" w:cs="宋体"/>
          <w:kern w:val="0"/>
          <w:sz w:val="32"/>
          <w:szCs w:val="32"/>
        </w:rPr>
        <w:t>一、财政收入执行情况</w:t>
      </w:r>
    </w:p>
    <w:p>
      <w:pPr>
        <w:snapToGrid w:val="0"/>
        <w:rPr>
          <w:rFonts w:cs="宋体" w:asciiTheme="majorEastAsia" w:hAnsiTheme="majorEastAsia" w:eastAsiaTheme="majorEastAsia"/>
          <w:b/>
          <w:bCs/>
          <w:kern w:val="0"/>
          <w:sz w:val="32"/>
          <w:szCs w:val="32"/>
        </w:rPr>
      </w:pPr>
      <w:r>
        <w:rPr>
          <w:rFonts w:hint="eastAsia" w:cs="宋体" w:asciiTheme="majorEastAsia" w:hAnsiTheme="majorEastAsia" w:eastAsiaTheme="majorEastAsia"/>
          <w:b/>
          <w:bCs/>
          <w:kern w:val="0"/>
          <w:sz w:val="32"/>
          <w:szCs w:val="32"/>
        </w:rPr>
        <w:t xml:space="preserve">   （一）一般公共预算收入</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2024年1-7月份,全市一般公共预算收入91.9亿元，同比增加4.5亿元，增长5.2%。其中：税收收入64.3亿元，同比减少2.2亿元，下降3.4%；非税收入27.6亿元，同比增加6.8亿元，增长32.5%，占比为30.0%。</w:t>
      </w:r>
    </w:p>
    <w:p>
      <w:pPr>
        <w:pStyle w:val="2"/>
        <w:spacing w:line="300" w:lineRule="exact"/>
        <w:jc w:val="center"/>
        <w:rPr>
          <w:rFonts w:ascii="仿宋" w:hAnsi="仿宋" w:eastAsia="仿宋"/>
          <w:sz w:val="28"/>
          <w:szCs w:val="28"/>
        </w:rPr>
      </w:pPr>
    </w:p>
    <w:p>
      <w:pPr>
        <w:pStyle w:val="2"/>
        <w:spacing w:line="300" w:lineRule="exact"/>
        <w:jc w:val="center"/>
        <w:rPr>
          <w:rFonts w:ascii="仿宋" w:hAnsi="仿宋" w:eastAsia="仿宋"/>
          <w:sz w:val="28"/>
          <w:szCs w:val="28"/>
        </w:rPr>
      </w:pPr>
      <w:r>
        <w:rPr>
          <w:rFonts w:hint="eastAsia" w:ascii="仿宋" w:hAnsi="仿宋" w:eastAsia="仿宋"/>
          <w:sz w:val="28"/>
          <w:szCs w:val="28"/>
        </w:rPr>
        <w:t>2024年1-7月份全市一般公共预算收入完成情况</w:t>
      </w:r>
    </w:p>
    <w:p>
      <w:pPr>
        <w:pStyle w:val="2"/>
        <w:spacing w:line="300" w:lineRule="exact"/>
        <w:jc w:val="center"/>
        <w:rPr>
          <w:rFonts w:ascii="仿宋" w:hAnsi="仿宋" w:eastAsia="仿宋"/>
          <w:sz w:val="28"/>
          <w:szCs w:val="28"/>
        </w:rPr>
      </w:pPr>
      <w:r>
        <w:rPr>
          <w:rFonts w:hint="eastAsia" w:ascii="仿宋" w:hAnsi="仿宋" w:eastAsia="仿宋"/>
          <w:sz w:val="28"/>
          <w:szCs w:val="28"/>
        </w:rPr>
        <w:t>单位：万元</w:t>
      </w:r>
    </w:p>
    <w:p>
      <w:pPr>
        <w:pStyle w:val="2"/>
        <w:rPr>
          <w:rFonts w:ascii="仿宋_GB2312" w:hAnsi="仿宋" w:eastAsia="仿宋_GB2312" w:cs="宋体"/>
          <w:bCs/>
          <w:kern w:val="0"/>
          <w:sz w:val="32"/>
          <w:szCs w:val="32"/>
        </w:rPr>
      </w:pPr>
      <w:r>
        <w:rPr>
          <w:rFonts w:ascii="仿宋_GB2312" w:hAnsi="仿宋" w:eastAsia="仿宋_GB2312" w:cs="宋体"/>
          <w:bCs/>
          <w:kern w:val="0"/>
          <w:sz w:val="32"/>
          <w:szCs w:val="32"/>
        </w:rPr>
        <w:drawing>
          <wp:inline distT="0" distB="0" distL="0" distR="0">
            <wp:extent cx="5124450" cy="2047875"/>
            <wp:effectExtent l="19050" t="0" r="19050" b="0"/>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eastAsia" w:ascii="仿宋_GB2312" w:hAnsi="仿宋" w:eastAsia="仿宋_GB2312" w:cs="宋体"/>
          <w:bCs/>
          <w:kern w:val="0"/>
          <w:sz w:val="32"/>
          <w:szCs w:val="32"/>
        </w:rPr>
        <w:t xml:space="preserve">    </w:t>
      </w:r>
    </w:p>
    <w:p>
      <w:pPr>
        <w:snapToGrid w:val="0"/>
        <w:ind w:firstLine="643" w:firstLineChars="200"/>
        <w:rPr>
          <w:rFonts w:ascii="仿宋_GB2312" w:hAnsi="仿宋" w:eastAsia="仿宋_GB2312" w:cs="宋体"/>
          <w:bCs/>
          <w:kern w:val="0"/>
          <w:sz w:val="32"/>
          <w:szCs w:val="32"/>
        </w:rPr>
      </w:pPr>
      <w:r>
        <w:rPr>
          <w:rFonts w:hint="eastAsia" w:ascii="仿宋_GB2312" w:hAnsi="仿宋" w:eastAsia="仿宋_GB2312" w:cs="宋体"/>
          <w:b/>
          <w:bCs/>
          <w:kern w:val="0"/>
          <w:sz w:val="32"/>
          <w:szCs w:val="32"/>
        </w:rPr>
        <w:t>分级次：</w:t>
      </w:r>
      <w:r>
        <w:rPr>
          <w:rFonts w:hint="eastAsia" w:ascii="仿宋_GB2312" w:hAnsi="仿宋" w:eastAsia="仿宋_GB2312" w:cs="宋体"/>
          <w:bCs/>
          <w:kern w:val="0"/>
          <w:sz w:val="32"/>
          <w:szCs w:val="32"/>
        </w:rPr>
        <w:t>市本级34.2亿元，占比为37.3%；同比增长4.9%，为预算的64.4%。县区级57.6亿元，占比为62.7%；同比增长5.3%，为预算的69.4%，其中：盘山县7.1亿元，同比增长14.8%，为预算的58.6%；双台子区3.3亿元，同比增长1.2%，为预算的61.4%；兴隆台区14.6亿元，同比增长5.5%，为预算的66.4%；大洼区7.5亿元，同比增长13.7%，为预算的67.2%；辽滨经开区25.0亿元，同比增长1.1%，为预算的77.7%。</w:t>
      </w:r>
    </w:p>
    <w:p>
      <w:pPr>
        <w:pStyle w:val="2"/>
        <w:spacing w:line="300" w:lineRule="exact"/>
        <w:ind w:firstLine="1280"/>
        <w:jc w:val="center"/>
        <w:rPr>
          <w:rFonts w:ascii="仿宋_GB2312" w:hAnsi="仿宋" w:eastAsia="仿宋_GB2312" w:cs="宋体"/>
          <w:bCs/>
          <w:kern w:val="0"/>
          <w:sz w:val="32"/>
          <w:szCs w:val="32"/>
        </w:rPr>
      </w:pPr>
    </w:p>
    <w:p>
      <w:pPr>
        <w:pStyle w:val="2"/>
        <w:spacing w:line="300" w:lineRule="exact"/>
        <w:jc w:val="center"/>
        <w:rPr>
          <w:rFonts w:ascii="仿宋" w:hAnsi="仿宋" w:eastAsia="仿宋"/>
          <w:sz w:val="28"/>
          <w:szCs w:val="28"/>
        </w:rPr>
      </w:pPr>
    </w:p>
    <w:p>
      <w:pPr>
        <w:pStyle w:val="2"/>
        <w:spacing w:line="300" w:lineRule="exact"/>
        <w:jc w:val="center"/>
        <w:rPr>
          <w:rFonts w:ascii="仿宋" w:hAnsi="仿宋" w:eastAsia="仿宋"/>
          <w:sz w:val="28"/>
          <w:szCs w:val="28"/>
        </w:rPr>
      </w:pPr>
      <w:r>
        <w:rPr>
          <w:rFonts w:hint="eastAsia" w:ascii="仿宋" w:hAnsi="仿宋" w:eastAsia="仿宋"/>
          <w:sz w:val="28"/>
          <w:szCs w:val="28"/>
        </w:rPr>
        <w:t>2024年1-7月份全市一般公共预算收入分地区变动情况</w:t>
      </w:r>
    </w:p>
    <w:p>
      <w:pPr>
        <w:pStyle w:val="2"/>
        <w:spacing w:line="300" w:lineRule="exact"/>
        <w:jc w:val="center"/>
        <w:rPr>
          <w:rFonts w:ascii="仿宋" w:hAnsi="仿宋" w:eastAsia="仿宋"/>
          <w:sz w:val="28"/>
          <w:szCs w:val="28"/>
        </w:rPr>
      </w:pPr>
      <w:r>
        <w:rPr>
          <w:rFonts w:hint="eastAsia" w:ascii="仿宋" w:hAnsi="仿宋" w:eastAsia="仿宋"/>
          <w:sz w:val="28"/>
          <w:szCs w:val="28"/>
        </w:rPr>
        <w:t>单位：万元</w:t>
      </w:r>
    </w:p>
    <w:p>
      <w:pPr>
        <w:pStyle w:val="2"/>
        <w:rPr>
          <w:rFonts w:ascii="仿宋_GB2312" w:hAnsi="仿宋" w:eastAsia="仿宋_GB2312" w:cs="宋体"/>
          <w:bCs/>
          <w:kern w:val="0"/>
          <w:sz w:val="32"/>
          <w:szCs w:val="32"/>
        </w:rPr>
      </w:pPr>
      <w:r>
        <w:rPr>
          <w:rFonts w:ascii="仿宋_GB2312" w:hAnsi="仿宋" w:eastAsia="仿宋_GB2312" w:cs="宋体"/>
          <w:bCs/>
          <w:kern w:val="0"/>
          <w:sz w:val="32"/>
          <w:szCs w:val="32"/>
        </w:rPr>
        <w:drawing>
          <wp:inline distT="0" distB="0" distL="0" distR="0">
            <wp:extent cx="5895975" cy="2073275"/>
            <wp:effectExtent l="19050" t="0" r="9525" b="3175"/>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napToGrid w:val="0"/>
        <w:ind w:firstLine="643" w:firstLineChars="200"/>
        <w:rPr>
          <w:rFonts w:ascii="仿宋_GB2312" w:hAnsi="仿宋" w:eastAsia="仿宋_GB2312" w:cs="宋体"/>
          <w:b/>
          <w:bCs/>
          <w:kern w:val="0"/>
          <w:sz w:val="32"/>
          <w:szCs w:val="32"/>
        </w:rPr>
      </w:pPr>
    </w:p>
    <w:p>
      <w:pPr>
        <w:snapToGrid w:val="0"/>
        <w:ind w:firstLine="643" w:firstLineChars="200"/>
        <w:rPr>
          <w:rFonts w:ascii="仿宋" w:hAnsi="仿宋" w:eastAsia="仿宋"/>
          <w:sz w:val="28"/>
          <w:szCs w:val="28"/>
        </w:rPr>
      </w:pPr>
      <w:r>
        <w:rPr>
          <w:rFonts w:hint="eastAsia" w:ascii="仿宋_GB2312" w:hAnsi="仿宋" w:eastAsia="仿宋_GB2312" w:cs="宋体"/>
          <w:b/>
          <w:bCs/>
          <w:kern w:val="0"/>
          <w:sz w:val="32"/>
          <w:szCs w:val="32"/>
        </w:rPr>
        <w:t>分项目：</w:t>
      </w:r>
    </w:p>
    <w:p>
      <w:pPr>
        <w:snapToGrid w:val="0"/>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1.税收收入64.3亿元，同比减少2.2亿元，下降3.4%。其中：</w:t>
      </w:r>
    </w:p>
    <w:p>
      <w:pPr>
        <w:snapToGrid w:val="0"/>
        <w:ind w:firstLine="627" w:firstLineChars="196"/>
        <w:rPr>
          <w:rFonts w:ascii="仿宋_GB2312" w:hAnsi="仿宋" w:eastAsia="仿宋_GB2312" w:cs="宋体"/>
          <w:kern w:val="0"/>
          <w:sz w:val="32"/>
          <w:szCs w:val="32"/>
        </w:rPr>
      </w:pPr>
      <w:r>
        <w:rPr>
          <w:rFonts w:hint="eastAsia" w:ascii="仿宋_GB2312" w:hAnsi="仿宋" w:eastAsia="仿宋_GB2312" w:cs="宋体"/>
          <w:kern w:val="0"/>
          <w:sz w:val="32"/>
          <w:szCs w:val="32"/>
        </w:rPr>
        <w:t>（1）分产业</w:t>
      </w:r>
    </w:p>
    <w:p>
      <w:pPr>
        <w:snapToGrid w:val="0"/>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第一产业1.0亿元，占税收收入的1.5%，同比增加0.9亿元，增长996.8%；第二产业42.1亿元，占税收收入的65.5%，同比减少3.6亿元，下降7.9%；第三产业21.2亿元，占税收收入的33.0%，同比增加0.5亿元，增长2.4%。</w:t>
      </w:r>
    </w:p>
    <w:p>
      <w:pPr>
        <w:pStyle w:val="2"/>
        <w:jc w:val="center"/>
        <w:rPr>
          <w:rFonts w:ascii="仿宋" w:hAnsi="仿宋" w:eastAsia="仿宋"/>
          <w:sz w:val="28"/>
          <w:szCs w:val="28"/>
        </w:rPr>
      </w:pPr>
    </w:p>
    <w:p>
      <w:pPr>
        <w:pStyle w:val="2"/>
        <w:jc w:val="center"/>
        <w:rPr>
          <w:rFonts w:ascii="仿宋" w:hAnsi="仿宋" w:eastAsia="仿宋" w:cs="宋体"/>
          <w:bCs/>
          <w:kern w:val="0"/>
          <w:sz w:val="32"/>
          <w:szCs w:val="32"/>
        </w:rPr>
      </w:pPr>
      <w:r>
        <w:rPr>
          <w:rFonts w:hint="eastAsia" w:ascii="仿宋" w:hAnsi="仿宋" w:eastAsia="仿宋"/>
          <w:sz w:val="28"/>
          <w:szCs w:val="28"/>
        </w:rPr>
        <w:t>2024年1-7月份全市税收收入分产业占比情况</w:t>
      </w:r>
    </w:p>
    <w:p>
      <w:pPr>
        <w:pStyle w:val="2"/>
        <w:jc w:val="center"/>
        <w:rPr>
          <w:rFonts w:ascii="仿宋" w:hAnsi="仿宋" w:eastAsia="仿宋" w:cs="宋体"/>
          <w:bCs/>
          <w:kern w:val="0"/>
          <w:sz w:val="32"/>
          <w:szCs w:val="32"/>
        </w:rPr>
      </w:pPr>
      <w:r>
        <w:rPr>
          <w:rFonts w:ascii="仿宋" w:hAnsi="仿宋" w:eastAsia="仿宋" w:cs="宋体"/>
          <w:bCs/>
          <w:kern w:val="0"/>
          <w:sz w:val="32"/>
          <w:szCs w:val="32"/>
        </w:rPr>
        <w:drawing>
          <wp:inline distT="0" distB="0" distL="0" distR="0">
            <wp:extent cx="4164330" cy="2346325"/>
            <wp:effectExtent l="19050" t="0" r="26670" b="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napToGrid w:val="0"/>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（2）分行业</w:t>
      </w:r>
    </w:p>
    <w:p>
      <w:pPr>
        <w:snapToGrid w:val="0"/>
        <w:ind w:firstLine="640" w:firstLineChars="200"/>
        <w:rPr>
          <w:rFonts w:ascii="仿宋" w:hAnsi="仿宋" w:eastAsia="仿宋" w:cs="宋体"/>
          <w:bCs/>
          <w:kern w:val="0"/>
          <w:sz w:val="32"/>
          <w:szCs w:val="32"/>
        </w:rPr>
      </w:pPr>
      <w:r>
        <w:rPr>
          <w:rFonts w:ascii="仿宋" w:hAnsi="仿宋" w:eastAsia="仿宋" w:cs="宋体"/>
          <w:bCs/>
          <w:kern w:val="0"/>
          <w:sz w:val="32"/>
          <w:szCs w:val="32"/>
        </w:rPr>
        <w:fldChar w:fldCharType="begin"/>
      </w:r>
      <w:r>
        <w:rPr>
          <w:rFonts w:hint="eastAsia" w:ascii="仿宋" w:hAnsi="仿宋" w:eastAsia="仿宋" w:cs="宋体"/>
          <w:bCs/>
          <w:kern w:val="0"/>
          <w:sz w:val="32"/>
          <w:szCs w:val="32"/>
        </w:rPr>
        <w:instrText xml:space="preserve">= 1 \* GB3</w:instrText>
      </w:r>
      <w:r>
        <w:rPr>
          <w:rFonts w:ascii="仿宋" w:hAnsi="仿宋" w:eastAsia="仿宋" w:cs="宋体"/>
          <w:bCs/>
          <w:kern w:val="0"/>
          <w:sz w:val="32"/>
          <w:szCs w:val="32"/>
        </w:rPr>
        <w:fldChar w:fldCharType="separate"/>
      </w:r>
      <w:r>
        <w:rPr>
          <w:rFonts w:hint="eastAsia" w:ascii="仿宋" w:hAnsi="仿宋" w:eastAsia="仿宋" w:cs="宋体"/>
          <w:bCs/>
          <w:kern w:val="0"/>
          <w:sz w:val="32"/>
          <w:szCs w:val="32"/>
        </w:rPr>
        <w:t>①</w:t>
      </w:r>
      <w:r>
        <w:rPr>
          <w:rFonts w:ascii="仿宋" w:hAnsi="仿宋" w:eastAsia="仿宋" w:cs="宋体"/>
          <w:bCs/>
          <w:kern w:val="0"/>
          <w:sz w:val="32"/>
          <w:szCs w:val="32"/>
        </w:rPr>
        <w:fldChar w:fldCharType="end"/>
      </w:r>
      <w:r>
        <w:rPr>
          <w:rFonts w:hint="eastAsia" w:ascii="仿宋" w:hAnsi="仿宋" w:eastAsia="仿宋" w:cs="宋体"/>
          <w:bCs/>
          <w:kern w:val="0"/>
          <w:sz w:val="32"/>
          <w:szCs w:val="32"/>
        </w:rPr>
        <w:t>石油和天然气开采业15.5亿元，占采矿业税收总额的84.5%；同比增加2.0亿元，增长14.8%。主要是中国石油天然气股份有限公司辽河油田分公司本期油价上涨，带动增值税、资源税和城市维护建设税同比分别增加1.4亿元、0.1亿元和0.2亿元；天时集团能源有限公司利润增长，带动企业所得税同比增加0.3亿元。</w:t>
      </w:r>
    </w:p>
    <w:p>
      <w:pPr>
        <w:snapToGrid w:val="0"/>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②石化行业14.3亿元，同比减少4.2亿元，下降22.7%。其中：石油、煤炭及其他燃料加工业10.5亿元，占制造业税收总额的58.5%，同比减少2.6亿元，下降20.1%；化学原料和化学制品制造业3.7亿元，占制造业税收总额的20.8%，同比减少1.5亿元，下降29.2%。</w:t>
      </w:r>
    </w:p>
    <w:p>
      <w:pPr>
        <w:snapToGrid w:val="0"/>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减收因素：增值税7.1亿元，同比减少4.8亿元。其中：</w:t>
      </w:r>
      <w:r>
        <w:rPr>
          <w:rFonts w:hint="eastAsia" w:ascii="仿宋_GB2312" w:hAnsi="仿宋" w:eastAsia="仿宋_GB2312" w:cs="宋体"/>
          <w:bCs/>
          <w:kern w:val="0"/>
          <w:sz w:val="32"/>
          <w:szCs w:val="32"/>
        </w:rPr>
        <w:t>盘锦北方沥青燃料有限公司同期缴库垫高基数4.4亿元</w:t>
      </w:r>
      <w:r>
        <w:rPr>
          <w:rFonts w:hint="eastAsia" w:ascii="仿宋" w:hAnsi="仿宋" w:eastAsia="仿宋" w:cs="宋体"/>
          <w:bCs/>
          <w:kern w:val="0"/>
          <w:sz w:val="32"/>
          <w:szCs w:val="32"/>
        </w:rPr>
        <w:t>；</w:t>
      </w:r>
      <w:r>
        <w:rPr>
          <w:rFonts w:hint="eastAsia" w:ascii="仿宋_GB2312" w:hAnsi="仿宋" w:eastAsia="仿宋_GB2312" w:cs="宋体"/>
          <w:bCs/>
          <w:kern w:val="0"/>
          <w:sz w:val="32"/>
          <w:szCs w:val="32"/>
        </w:rPr>
        <w:t>中国石油天然气股份有限公司辽河石化分公司出口应税产品销量增加等因素同比减少0.5亿元；北方华锦化学工业集团有限公司同期进项税票取得不及时垫高基数0.3亿元</w:t>
      </w:r>
      <w:r>
        <w:rPr>
          <w:rFonts w:hint="eastAsia" w:ascii="仿宋" w:hAnsi="仿宋" w:eastAsia="仿宋" w:cs="宋体"/>
          <w:bCs/>
          <w:kern w:val="0"/>
          <w:sz w:val="32"/>
          <w:szCs w:val="32"/>
        </w:rPr>
        <w:t>。受增值税减收影响，石化行业城市维护建设税同比减少0.8亿元。</w:t>
      </w:r>
    </w:p>
    <w:p>
      <w:pPr>
        <w:snapToGrid w:val="0"/>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增收因素：一是盘锦北方沥青燃料有限公司补缴税款，带动印花税增收0.9亿元；</w:t>
      </w:r>
      <w:r>
        <w:rPr>
          <w:rFonts w:hint="eastAsia" w:ascii="仿宋_GB2312" w:hAnsi="仿宋" w:eastAsia="仿宋_GB2312" w:cs="宋体"/>
          <w:bCs/>
          <w:kern w:val="0"/>
          <w:sz w:val="32"/>
          <w:szCs w:val="32"/>
        </w:rPr>
        <w:t>二是城镇土地使用税同比增加0.5亿元，主要是企业补缴税款。</w:t>
      </w:r>
    </w:p>
    <w:p>
      <w:pPr>
        <w:snapToGrid w:val="0"/>
        <w:ind w:firstLine="640" w:firstLineChars="200"/>
        <w:rPr>
          <w:rFonts w:ascii="仿宋_GB2312" w:eastAsia="仿宋_GB2312"/>
          <w:sz w:val="32"/>
          <w:szCs w:val="32"/>
        </w:rPr>
      </w:pPr>
      <w:r>
        <w:rPr>
          <w:rFonts w:ascii="仿宋_GB2312" w:eastAsia="仿宋_GB2312"/>
          <w:sz w:val="32"/>
          <w:szCs w:val="32"/>
        </w:rPr>
        <w:fldChar w:fldCharType="begin"/>
      </w:r>
      <w:r>
        <w:rPr>
          <w:rFonts w:hint="eastAsia" w:ascii="仿宋_GB2312" w:eastAsia="仿宋_GB2312"/>
          <w:sz w:val="32"/>
          <w:szCs w:val="32"/>
        </w:rPr>
        <w:instrText xml:space="preserve">= 3 \* GB3</w:instrText>
      </w:r>
      <w:r>
        <w:rPr>
          <w:rFonts w:ascii="仿宋_GB2312" w:eastAsia="仿宋_GB2312"/>
          <w:sz w:val="32"/>
          <w:szCs w:val="32"/>
        </w:rPr>
        <w:fldChar w:fldCharType="separate"/>
      </w:r>
      <w:r>
        <w:rPr>
          <w:rFonts w:hint="eastAsia" w:ascii="仿宋_GB2312" w:eastAsia="仿宋_GB2312"/>
          <w:sz w:val="32"/>
          <w:szCs w:val="32"/>
        </w:rPr>
        <w:t>③</w:t>
      </w:r>
      <w:r>
        <w:rPr>
          <w:rFonts w:ascii="仿宋_GB2312" w:eastAsia="仿宋_GB2312"/>
          <w:sz w:val="32"/>
          <w:szCs w:val="32"/>
        </w:rPr>
        <w:fldChar w:fldCharType="end"/>
      </w:r>
      <w:r>
        <w:rPr>
          <w:rFonts w:hint="eastAsia" w:ascii="仿宋_GB2312" w:eastAsia="仿宋_GB2312"/>
          <w:sz w:val="32"/>
          <w:szCs w:val="32"/>
        </w:rPr>
        <w:t>房地产业4.7亿元，占第三产业税收总额的22.0%；同比减少0.9亿元，下降16.8%。减收因素：房地产行业开发项目和投资额均同比下降，清算规模收缩，影响增值税、企业所得税和土地增值税同比分别减少0.16亿元、0.17亿元和1.15亿元。增收因素：企业补缴税款带动城镇土地使用税同比增收0.4亿元，其中盘锦瑞上有限责任公司同比增加0.2亿元；契税同比增收0.1亿元，主要是土地流转增加。</w:t>
      </w:r>
    </w:p>
    <w:p>
      <w:pPr>
        <w:snapToGrid w:val="0"/>
        <w:ind w:firstLine="640" w:firstLineChars="200"/>
        <w:rPr>
          <w:rFonts w:ascii="仿宋" w:hAnsi="仿宋" w:eastAsia="仿宋" w:cs="宋体"/>
          <w:bCs/>
          <w:kern w:val="0"/>
          <w:sz w:val="32"/>
          <w:szCs w:val="32"/>
        </w:rPr>
      </w:pPr>
      <w:r>
        <w:rPr>
          <w:rFonts w:ascii="仿宋_GB2312" w:eastAsia="仿宋_GB2312"/>
          <w:sz w:val="32"/>
          <w:szCs w:val="32"/>
        </w:rPr>
        <w:fldChar w:fldCharType="begin"/>
      </w:r>
      <w:r>
        <w:rPr>
          <w:rFonts w:hint="eastAsia" w:ascii="仿宋_GB2312" w:eastAsia="仿宋_GB2312"/>
          <w:sz w:val="32"/>
          <w:szCs w:val="32"/>
        </w:rPr>
        <w:instrText xml:space="preserve">= 4 \* GB3</w:instrText>
      </w:r>
      <w:r>
        <w:rPr>
          <w:rFonts w:ascii="仿宋_GB2312" w:eastAsia="仿宋_GB2312"/>
          <w:sz w:val="32"/>
          <w:szCs w:val="32"/>
        </w:rPr>
        <w:fldChar w:fldCharType="separate"/>
      </w:r>
      <w:r>
        <w:rPr>
          <w:rFonts w:hint="eastAsia" w:ascii="仿宋_GB2312" w:eastAsia="仿宋_GB2312"/>
          <w:sz w:val="32"/>
          <w:szCs w:val="32"/>
        </w:rPr>
        <w:t>④</w:t>
      </w:r>
      <w:r>
        <w:rPr>
          <w:rFonts w:ascii="仿宋_GB2312" w:eastAsia="仿宋_GB2312"/>
          <w:sz w:val="32"/>
          <w:szCs w:val="32"/>
        </w:rPr>
        <w:fldChar w:fldCharType="end"/>
      </w:r>
      <w:r>
        <w:rPr>
          <w:rFonts w:hint="eastAsia" w:ascii="仿宋" w:hAnsi="仿宋" w:eastAsia="仿宋" w:cs="宋体"/>
          <w:bCs/>
          <w:kern w:val="0"/>
          <w:sz w:val="32"/>
          <w:szCs w:val="32"/>
        </w:rPr>
        <w:t>批发和零售业5.5亿元，占第三产业税收总额的25.8%：同比减少0.9亿元，下降13.6%。减收因素：一是同期盘锦瑞东石化贸易有限公司补缴税款垫高基数，影响企业所得税同比减少0.6亿元；二是城镇土地使用税减少0.6亿元。</w:t>
      </w:r>
    </w:p>
    <w:p>
      <w:pPr>
        <w:pStyle w:val="2"/>
      </w:pPr>
    </w:p>
    <w:p>
      <w:pPr>
        <w:pStyle w:val="2"/>
      </w:pPr>
    </w:p>
    <w:p>
      <w:pPr>
        <w:pStyle w:val="2"/>
        <w:spacing w:line="300" w:lineRule="exact"/>
        <w:jc w:val="center"/>
        <w:rPr>
          <w:rFonts w:ascii="仿宋" w:hAnsi="仿宋" w:eastAsia="仿宋"/>
          <w:sz w:val="28"/>
          <w:szCs w:val="28"/>
        </w:rPr>
      </w:pPr>
    </w:p>
    <w:p>
      <w:pPr>
        <w:pStyle w:val="2"/>
        <w:spacing w:line="300" w:lineRule="exact"/>
        <w:jc w:val="center"/>
        <w:rPr>
          <w:rFonts w:ascii="仿宋" w:hAnsi="仿宋" w:eastAsia="仿宋"/>
          <w:sz w:val="28"/>
          <w:szCs w:val="28"/>
        </w:rPr>
      </w:pPr>
      <w:r>
        <w:rPr>
          <w:rFonts w:hint="eastAsia" w:ascii="仿宋" w:hAnsi="仿宋" w:eastAsia="仿宋"/>
          <w:sz w:val="28"/>
          <w:szCs w:val="28"/>
        </w:rPr>
        <w:t>2024年1-7月份全市分产业、分行业税收增减变动情况表</w:t>
      </w:r>
    </w:p>
    <w:p>
      <w:pPr>
        <w:pStyle w:val="2"/>
        <w:spacing w:line="300" w:lineRule="exact"/>
        <w:jc w:val="center"/>
        <w:rPr>
          <w:rFonts w:ascii="仿宋" w:hAnsi="仿宋" w:eastAsia="仿宋"/>
          <w:sz w:val="28"/>
          <w:szCs w:val="28"/>
        </w:rPr>
      </w:pPr>
      <w:r>
        <w:rPr>
          <w:rFonts w:hint="eastAsia" w:ascii="仿宋" w:hAnsi="仿宋" w:eastAsia="仿宋"/>
          <w:sz w:val="28"/>
          <w:szCs w:val="28"/>
        </w:rPr>
        <w:t>单位：万元</w:t>
      </w:r>
    </w:p>
    <w:p>
      <w:pPr>
        <w:pStyle w:val="2"/>
        <w:spacing w:line="300" w:lineRule="exact"/>
        <w:jc w:val="center"/>
        <w:rPr>
          <w:rFonts w:ascii="仿宋" w:hAnsi="仿宋" w:eastAsia="仿宋"/>
          <w:sz w:val="28"/>
          <w:szCs w:val="28"/>
        </w:rPr>
      </w:pPr>
    </w:p>
    <w:tbl>
      <w:tblPr>
        <w:tblStyle w:val="9"/>
        <w:tblW w:w="7980" w:type="dxa"/>
        <w:tblInd w:w="0" w:type="dxa"/>
        <w:tblLayout w:type="fixed"/>
        <w:tblCellMar>
          <w:top w:w="0" w:type="dxa"/>
          <w:left w:w="0" w:type="dxa"/>
          <w:bottom w:w="0" w:type="dxa"/>
          <w:right w:w="0" w:type="dxa"/>
        </w:tblCellMar>
      </w:tblPr>
      <w:tblGrid>
        <w:gridCol w:w="3420"/>
        <w:gridCol w:w="1140"/>
        <w:gridCol w:w="1140"/>
        <w:gridCol w:w="1140"/>
        <w:gridCol w:w="1140"/>
      </w:tblGrid>
      <w:tr>
        <w:tblPrEx>
          <w:tblCellMar>
            <w:top w:w="0" w:type="dxa"/>
            <w:left w:w="0" w:type="dxa"/>
            <w:bottom w:w="0" w:type="dxa"/>
            <w:right w:w="0" w:type="dxa"/>
          </w:tblCellMar>
        </w:tblPrEx>
        <w:trPr>
          <w:trHeight w:val="30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产业、行业</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本期</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同期</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增减额</w:t>
            </w:r>
          </w:p>
        </w:tc>
        <w:tc>
          <w:tcPr>
            <w:tcW w:w="114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增减%</w:t>
            </w:r>
          </w:p>
        </w:tc>
      </w:tr>
      <w:tr>
        <w:tblPrEx>
          <w:tblCellMar>
            <w:top w:w="0" w:type="dxa"/>
            <w:left w:w="0" w:type="dxa"/>
            <w:bottom w:w="0" w:type="dxa"/>
            <w:right w:w="0" w:type="dxa"/>
          </w:tblCellMar>
        </w:tblPrEx>
        <w:trPr>
          <w:trHeight w:val="289" w:hRule="atLeast"/>
        </w:trPr>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合  计</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642,982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665,389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-22,407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-3.4 </w:t>
            </w:r>
          </w:p>
        </w:tc>
      </w:tr>
      <w:tr>
        <w:tblPrEx>
          <w:tblCellMar>
            <w:top w:w="0" w:type="dxa"/>
            <w:left w:w="0" w:type="dxa"/>
            <w:bottom w:w="0" w:type="dxa"/>
            <w:right w:w="0" w:type="dxa"/>
          </w:tblCellMar>
        </w:tblPrEx>
        <w:trPr>
          <w:trHeight w:val="30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第一产业</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9,831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896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8,935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996.8 </w:t>
            </w:r>
          </w:p>
        </w:tc>
      </w:tr>
      <w:tr>
        <w:tblPrEx>
          <w:tblCellMar>
            <w:top w:w="0" w:type="dxa"/>
            <w:left w:w="0" w:type="dxa"/>
            <w:bottom w:w="0" w:type="dxa"/>
            <w:right w:w="0" w:type="dxa"/>
          </w:tblCellMar>
        </w:tblPrEx>
        <w:trPr>
          <w:trHeight w:val="30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1.农、林、牧、渔业</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9,831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896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8,935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996.8 </w:t>
            </w:r>
          </w:p>
        </w:tc>
      </w:tr>
      <w:tr>
        <w:tblPrEx>
          <w:tblCellMar>
            <w:top w:w="0" w:type="dxa"/>
            <w:left w:w="0" w:type="dxa"/>
            <w:bottom w:w="0" w:type="dxa"/>
            <w:right w:w="0" w:type="dxa"/>
          </w:tblCellMar>
        </w:tblPrEx>
        <w:trPr>
          <w:trHeight w:val="30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第二产业</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421,074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457,394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-36,320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-7.9 </w:t>
            </w:r>
          </w:p>
        </w:tc>
      </w:tr>
      <w:tr>
        <w:tblPrEx>
          <w:tblCellMar>
            <w:top w:w="0" w:type="dxa"/>
            <w:left w:w="0" w:type="dxa"/>
            <w:bottom w:w="0" w:type="dxa"/>
            <w:right w:w="0" w:type="dxa"/>
          </w:tblCellMar>
        </w:tblPrEx>
        <w:trPr>
          <w:trHeight w:val="30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2.采矿业</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183,964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166,040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17,925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10.8 </w:t>
            </w:r>
          </w:p>
        </w:tc>
      </w:tr>
      <w:tr>
        <w:tblPrEx>
          <w:tblCellMar>
            <w:top w:w="0" w:type="dxa"/>
            <w:left w:w="0" w:type="dxa"/>
            <w:bottom w:w="0" w:type="dxa"/>
            <w:right w:w="0" w:type="dxa"/>
          </w:tblCellMar>
        </w:tblPrEx>
        <w:trPr>
          <w:trHeight w:val="30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石油和天然气开采业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155,465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135,392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20,073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14.8 </w:t>
            </w:r>
          </w:p>
        </w:tc>
      </w:tr>
      <w:tr>
        <w:tblPrEx>
          <w:tblCellMar>
            <w:top w:w="0" w:type="dxa"/>
            <w:left w:w="0" w:type="dxa"/>
            <w:bottom w:w="0" w:type="dxa"/>
            <w:right w:w="0" w:type="dxa"/>
          </w:tblCellMar>
        </w:tblPrEx>
        <w:trPr>
          <w:trHeight w:val="30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开采专业及辅助性活动</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28,500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30,648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-2,148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-7.0 </w:t>
            </w:r>
          </w:p>
        </w:tc>
      </w:tr>
      <w:tr>
        <w:tblPrEx>
          <w:tblCellMar>
            <w:top w:w="0" w:type="dxa"/>
            <w:left w:w="0" w:type="dxa"/>
            <w:bottom w:w="0" w:type="dxa"/>
            <w:right w:w="0" w:type="dxa"/>
          </w:tblCellMar>
        </w:tblPrEx>
        <w:trPr>
          <w:trHeight w:val="30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3.制造业</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179,595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236,092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-56,497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-23.9 </w:t>
            </w:r>
          </w:p>
        </w:tc>
      </w:tr>
      <w:tr>
        <w:tblPrEx>
          <w:tblCellMar>
            <w:top w:w="0" w:type="dxa"/>
            <w:left w:w="0" w:type="dxa"/>
            <w:bottom w:w="0" w:type="dxa"/>
            <w:right w:w="0" w:type="dxa"/>
          </w:tblCellMar>
        </w:tblPrEx>
        <w:trPr>
          <w:trHeight w:val="30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石油、煤炭及其他燃料加工业</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105,092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131,473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-26,381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-20.1 </w:t>
            </w:r>
          </w:p>
        </w:tc>
      </w:tr>
      <w:tr>
        <w:tblPrEx>
          <w:tblCellMar>
            <w:top w:w="0" w:type="dxa"/>
            <w:left w:w="0" w:type="dxa"/>
            <w:bottom w:w="0" w:type="dxa"/>
            <w:right w:w="0" w:type="dxa"/>
          </w:tblCellMar>
        </w:tblPrEx>
        <w:trPr>
          <w:trHeight w:val="30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化学原料和化学制品制造业</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37,301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52,661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-15,360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-29.2 </w:t>
            </w:r>
          </w:p>
        </w:tc>
      </w:tr>
      <w:tr>
        <w:tblPrEx>
          <w:tblCellMar>
            <w:top w:w="0" w:type="dxa"/>
            <w:left w:w="0" w:type="dxa"/>
            <w:bottom w:w="0" w:type="dxa"/>
            <w:right w:w="0" w:type="dxa"/>
          </w:tblCellMar>
        </w:tblPrEx>
        <w:trPr>
          <w:trHeight w:val="30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4.电力、热力、燃气及水生产和供应业</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15,981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14,745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1,235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8.4 </w:t>
            </w:r>
          </w:p>
        </w:tc>
      </w:tr>
      <w:tr>
        <w:tblPrEx>
          <w:tblCellMar>
            <w:top w:w="0" w:type="dxa"/>
            <w:left w:w="0" w:type="dxa"/>
            <w:bottom w:w="0" w:type="dxa"/>
            <w:right w:w="0" w:type="dxa"/>
          </w:tblCellMar>
        </w:tblPrEx>
        <w:trPr>
          <w:trHeight w:val="30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5.建筑业</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41,533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40,517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1,017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2.5 </w:t>
            </w:r>
          </w:p>
        </w:tc>
      </w:tr>
      <w:tr>
        <w:tblPrEx>
          <w:tblCellMar>
            <w:top w:w="0" w:type="dxa"/>
            <w:left w:w="0" w:type="dxa"/>
            <w:bottom w:w="0" w:type="dxa"/>
            <w:right w:w="0" w:type="dxa"/>
          </w:tblCellMar>
        </w:tblPrEx>
        <w:trPr>
          <w:trHeight w:val="30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第三产业</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212,077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207,099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4,978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2.4 </w:t>
            </w:r>
          </w:p>
        </w:tc>
      </w:tr>
      <w:tr>
        <w:tblPrEx>
          <w:tblCellMar>
            <w:top w:w="0" w:type="dxa"/>
            <w:left w:w="0" w:type="dxa"/>
            <w:bottom w:w="0" w:type="dxa"/>
            <w:right w:w="0" w:type="dxa"/>
          </w:tblCellMar>
        </w:tblPrEx>
        <w:trPr>
          <w:trHeight w:val="30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6.批发和零售业</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54,727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63,315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-8,588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-13.6 </w:t>
            </w:r>
          </w:p>
        </w:tc>
      </w:tr>
      <w:tr>
        <w:tblPrEx>
          <w:tblCellMar>
            <w:top w:w="0" w:type="dxa"/>
            <w:left w:w="0" w:type="dxa"/>
            <w:bottom w:w="0" w:type="dxa"/>
            <w:right w:w="0" w:type="dxa"/>
          </w:tblCellMar>
        </w:tblPrEx>
        <w:trPr>
          <w:trHeight w:val="30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7.交通运输、仓储和邮政业</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25,949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15,848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10,101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63.7 </w:t>
            </w:r>
          </w:p>
        </w:tc>
      </w:tr>
      <w:tr>
        <w:tblPrEx>
          <w:tblCellMar>
            <w:top w:w="0" w:type="dxa"/>
            <w:left w:w="0" w:type="dxa"/>
            <w:bottom w:w="0" w:type="dxa"/>
            <w:right w:w="0" w:type="dxa"/>
          </w:tblCellMar>
        </w:tblPrEx>
        <w:trPr>
          <w:trHeight w:val="30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8.住宿和餐饮业</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990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932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58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6.2 </w:t>
            </w:r>
          </w:p>
        </w:tc>
      </w:tr>
      <w:tr>
        <w:trPr>
          <w:trHeight w:val="30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9.信息传输、软件和信息技术服务业</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2,019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1,826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193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10.6 </w:t>
            </w:r>
          </w:p>
        </w:tc>
      </w:tr>
      <w:tr>
        <w:tblPrEx>
          <w:tblCellMar>
            <w:top w:w="0" w:type="dxa"/>
            <w:left w:w="0" w:type="dxa"/>
            <w:bottom w:w="0" w:type="dxa"/>
            <w:right w:w="0" w:type="dxa"/>
          </w:tblCellMar>
        </w:tblPrEx>
        <w:trPr>
          <w:trHeight w:val="30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10.金融业</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33,860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32,533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1,326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4.1 </w:t>
            </w:r>
          </w:p>
        </w:tc>
      </w:tr>
      <w:tr>
        <w:tblPrEx>
          <w:tblCellMar>
            <w:top w:w="0" w:type="dxa"/>
            <w:left w:w="0" w:type="dxa"/>
            <w:bottom w:w="0" w:type="dxa"/>
            <w:right w:w="0" w:type="dxa"/>
          </w:tblCellMar>
        </w:tblPrEx>
        <w:trPr>
          <w:trHeight w:val="30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11.房地产业</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46,787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56,254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-9,467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-16.8 </w:t>
            </w:r>
          </w:p>
        </w:tc>
      </w:tr>
      <w:tr>
        <w:tblPrEx>
          <w:tblCellMar>
            <w:top w:w="0" w:type="dxa"/>
            <w:left w:w="0" w:type="dxa"/>
            <w:bottom w:w="0" w:type="dxa"/>
            <w:right w:w="0" w:type="dxa"/>
          </w:tblCellMar>
        </w:tblPrEx>
        <w:trPr>
          <w:trHeight w:val="30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12.租赁和商务服务业</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8,904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9,751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-847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-8.7 </w:t>
            </w:r>
          </w:p>
        </w:tc>
      </w:tr>
      <w:tr>
        <w:tblPrEx>
          <w:tblCellMar>
            <w:top w:w="0" w:type="dxa"/>
            <w:left w:w="0" w:type="dxa"/>
            <w:bottom w:w="0" w:type="dxa"/>
            <w:right w:w="0" w:type="dxa"/>
          </w:tblCellMar>
        </w:tblPrEx>
        <w:trPr>
          <w:trHeight w:val="30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13.科学研究和技术服务业</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7,550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6,719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832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12.4 </w:t>
            </w:r>
          </w:p>
        </w:tc>
      </w:tr>
      <w:tr>
        <w:tblPrEx>
          <w:tblCellMar>
            <w:top w:w="0" w:type="dxa"/>
            <w:left w:w="0" w:type="dxa"/>
            <w:bottom w:w="0" w:type="dxa"/>
            <w:right w:w="0" w:type="dxa"/>
          </w:tblCellMar>
        </w:tblPrEx>
        <w:trPr>
          <w:trHeight w:val="30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14.水利、环境和公共设施管理业</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3,853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2,711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1,142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42.1 </w:t>
            </w:r>
          </w:p>
        </w:tc>
      </w:tr>
      <w:tr>
        <w:tblPrEx>
          <w:tblCellMar>
            <w:top w:w="0" w:type="dxa"/>
            <w:left w:w="0" w:type="dxa"/>
            <w:bottom w:w="0" w:type="dxa"/>
            <w:right w:w="0" w:type="dxa"/>
          </w:tblCellMar>
        </w:tblPrEx>
        <w:trPr>
          <w:trHeight w:val="30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15.居民服务、修理和其他服务业</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6,048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5,265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784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14.9 </w:t>
            </w:r>
          </w:p>
        </w:tc>
      </w:tr>
      <w:tr>
        <w:tblPrEx>
          <w:tblCellMar>
            <w:top w:w="0" w:type="dxa"/>
            <w:left w:w="0" w:type="dxa"/>
            <w:bottom w:w="0" w:type="dxa"/>
            <w:right w:w="0" w:type="dxa"/>
          </w:tblCellMar>
        </w:tblPrEx>
        <w:trPr>
          <w:trHeight w:val="30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16.教育</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304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308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-4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-1.4 </w:t>
            </w:r>
          </w:p>
        </w:tc>
      </w:tr>
      <w:tr>
        <w:tblPrEx>
          <w:tblCellMar>
            <w:top w:w="0" w:type="dxa"/>
            <w:left w:w="0" w:type="dxa"/>
            <w:bottom w:w="0" w:type="dxa"/>
            <w:right w:w="0" w:type="dxa"/>
          </w:tblCellMar>
        </w:tblPrEx>
        <w:trPr>
          <w:trHeight w:val="30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17.卫生和社会工作</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1,150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985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165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16.8 </w:t>
            </w:r>
          </w:p>
        </w:tc>
      </w:tr>
      <w:tr>
        <w:tblPrEx>
          <w:tblCellMar>
            <w:top w:w="0" w:type="dxa"/>
            <w:left w:w="0" w:type="dxa"/>
            <w:bottom w:w="0" w:type="dxa"/>
            <w:right w:w="0" w:type="dxa"/>
          </w:tblCellMar>
        </w:tblPrEx>
        <w:trPr>
          <w:trHeight w:val="30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18.文化、体育和娱乐业</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147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187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-40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-21.2 </w:t>
            </w:r>
          </w:p>
        </w:tc>
      </w:tr>
      <w:tr>
        <w:tblPrEx>
          <w:tblCellMar>
            <w:top w:w="0" w:type="dxa"/>
            <w:left w:w="0" w:type="dxa"/>
            <w:bottom w:w="0" w:type="dxa"/>
            <w:right w:w="0" w:type="dxa"/>
          </w:tblCellMar>
        </w:tblPrEx>
        <w:trPr>
          <w:trHeight w:val="30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19.公共管理、社会保障和社会组织</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19,789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10,465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9,324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89.1 </w:t>
            </w:r>
          </w:p>
        </w:tc>
      </w:tr>
      <w:tr>
        <w:tblPrEx>
          <w:tblCellMar>
            <w:top w:w="0" w:type="dxa"/>
            <w:left w:w="0" w:type="dxa"/>
            <w:bottom w:w="0" w:type="dxa"/>
            <w:right w:w="0" w:type="dxa"/>
          </w:tblCellMar>
        </w:tblPrEx>
        <w:trPr>
          <w:trHeight w:val="30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FFFFFF"/>
            <w:tcMar>
              <w:top w:w="10" w:type="dxa"/>
              <w:left w:w="10" w:type="dxa"/>
              <w:right w:w="10"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20.其他行业</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 -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     -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     -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tcMar>
              <w:top w:w="10" w:type="dxa"/>
              <w:left w:w="10" w:type="dxa"/>
              <w:right w:w="10" w:type="dxa"/>
            </w:tcMar>
            <w:vAlign w:val="center"/>
          </w:tcPr>
          <w:p>
            <w:pPr>
              <w:jc w:val="right"/>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     -   </w:t>
            </w:r>
          </w:p>
        </w:tc>
      </w:tr>
    </w:tbl>
    <w:p>
      <w:pPr>
        <w:pStyle w:val="2"/>
        <w:spacing w:line="300" w:lineRule="exact"/>
        <w:jc w:val="center"/>
        <w:rPr>
          <w:rFonts w:ascii="仿宋" w:hAnsi="仿宋" w:eastAsia="仿宋"/>
          <w:sz w:val="28"/>
          <w:szCs w:val="28"/>
        </w:rPr>
      </w:pPr>
    </w:p>
    <w:p>
      <w:pPr>
        <w:snapToGrid w:val="0"/>
        <w:ind w:firstLine="560" w:firstLineChars="200"/>
        <w:jc w:val="center"/>
        <w:rPr>
          <w:rFonts w:ascii="仿宋" w:hAnsi="仿宋" w:eastAsia="仿宋"/>
          <w:sz w:val="28"/>
          <w:szCs w:val="28"/>
        </w:rPr>
      </w:pPr>
    </w:p>
    <w:p>
      <w:pPr>
        <w:snapToGrid w:val="0"/>
        <w:ind w:firstLine="560" w:firstLineChars="200"/>
        <w:jc w:val="center"/>
        <w:rPr>
          <w:rFonts w:ascii="仿宋" w:hAnsi="仿宋" w:eastAsia="仿宋"/>
          <w:sz w:val="28"/>
          <w:szCs w:val="28"/>
        </w:rPr>
      </w:pPr>
    </w:p>
    <w:p>
      <w:pPr>
        <w:snapToGrid w:val="0"/>
        <w:ind w:firstLine="560" w:firstLineChars="200"/>
        <w:jc w:val="center"/>
        <w:rPr>
          <w:rFonts w:ascii="仿宋" w:hAnsi="仿宋" w:eastAsia="仿宋"/>
          <w:sz w:val="28"/>
          <w:szCs w:val="28"/>
        </w:rPr>
      </w:pPr>
    </w:p>
    <w:p>
      <w:pPr>
        <w:snapToGrid w:val="0"/>
        <w:ind w:firstLine="560" w:firstLineChars="200"/>
        <w:jc w:val="center"/>
        <w:rPr>
          <w:rFonts w:ascii="仿宋" w:hAnsi="仿宋" w:eastAsia="仿宋"/>
          <w:sz w:val="28"/>
          <w:szCs w:val="28"/>
        </w:rPr>
      </w:pPr>
    </w:p>
    <w:p>
      <w:pPr>
        <w:snapToGrid w:val="0"/>
        <w:ind w:firstLine="560" w:firstLineChars="200"/>
        <w:jc w:val="center"/>
        <w:rPr>
          <w:rFonts w:ascii="仿宋" w:hAnsi="仿宋" w:eastAsia="仿宋"/>
          <w:sz w:val="28"/>
          <w:szCs w:val="28"/>
        </w:rPr>
      </w:pPr>
    </w:p>
    <w:p>
      <w:pPr>
        <w:snapToGrid w:val="0"/>
        <w:ind w:firstLine="560" w:firstLineChars="200"/>
        <w:jc w:val="center"/>
        <w:rPr>
          <w:rFonts w:ascii="仿宋" w:hAnsi="仿宋" w:eastAsia="仿宋"/>
          <w:sz w:val="28"/>
          <w:szCs w:val="28"/>
        </w:rPr>
      </w:pPr>
    </w:p>
    <w:p>
      <w:pPr>
        <w:snapToGrid w:val="0"/>
        <w:ind w:firstLine="560" w:firstLineChars="200"/>
        <w:jc w:val="center"/>
        <w:rPr>
          <w:rFonts w:ascii="仿宋" w:hAnsi="仿宋" w:eastAsia="仿宋"/>
          <w:sz w:val="28"/>
          <w:szCs w:val="28"/>
        </w:rPr>
      </w:pPr>
    </w:p>
    <w:p>
      <w:pPr>
        <w:snapToGrid w:val="0"/>
        <w:ind w:firstLine="560" w:firstLineChars="200"/>
        <w:jc w:val="center"/>
        <w:rPr>
          <w:rFonts w:ascii="仿宋" w:hAnsi="仿宋" w:eastAsia="仿宋"/>
          <w:sz w:val="28"/>
          <w:szCs w:val="28"/>
        </w:rPr>
      </w:pPr>
    </w:p>
    <w:p>
      <w:pPr>
        <w:snapToGrid w:val="0"/>
        <w:ind w:firstLine="560" w:firstLineChars="200"/>
        <w:jc w:val="center"/>
        <w:rPr>
          <w:rFonts w:ascii="仿宋" w:hAnsi="仿宋" w:eastAsia="仿宋" w:cs="宋体"/>
          <w:bCs/>
          <w:kern w:val="0"/>
          <w:sz w:val="32"/>
          <w:szCs w:val="32"/>
        </w:rPr>
      </w:pPr>
      <w:r>
        <w:rPr>
          <w:rFonts w:hint="eastAsia" w:ascii="仿宋" w:hAnsi="仿宋" w:eastAsia="仿宋"/>
          <w:sz w:val="28"/>
          <w:szCs w:val="28"/>
        </w:rPr>
        <w:t>2024年1-7月份全市重点行业税收收入占比情况</w:t>
      </w:r>
    </w:p>
    <w:p>
      <w:pPr>
        <w:snapToGrid w:val="0"/>
        <w:ind w:firstLine="640" w:firstLineChars="200"/>
        <w:rPr>
          <w:rFonts w:ascii="仿宋" w:hAnsi="仿宋" w:eastAsia="仿宋" w:cs="宋体"/>
          <w:bCs/>
          <w:kern w:val="0"/>
          <w:sz w:val="32"/>
          <w:szCs w:val="32"/>
        </w:rPr>
      </w:pPr>
      <w:r>
        <w:rPr>
          <w:rFonts w:ascii="仿宋" w:hAnsi="仿宋" w:eastAsia="仿宋" w:cs="宋体"/>
          <w:bCs/>
          <w:kern w:val="0"/>
          <w:sz w:val="32"/>
          <w:szCs w:val="32"/>
        </w:rPr>
        <w:drawing>
          <wp:inline distT="0" distB="0" distL="0" distR="0">
            <wp:extent cx="4962525" cy="2886075"/>
            <wp:effectExtent l="19050" t="0" r="9525" b="0"/>
            <wp:docPr id="1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napToGrid w:val="0"/>
        <w:ind w:firstLine="640" w:firstLineChars="200"/>
        <w:rPr>
          <w:rFonts w:ascii="仿宋" w:hAnsi="仿宋" w:eastAsia="仿宋" w:cs="宋体"/>
          <w:bCs/>
          <w:kern w:val="0"/>
          <w:sz w:val="32"/>
          <w:szCs w:val="32"/>
        </w:rPr>
      </w:pPr>
    </w:p>
    <w:p>
      <w:pPr>
        <w:snapToGrid w:val="0"/>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（3）分税种</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fldChar w:fldCharType="begin"/>
      </w:r>
      <w:r>
        <w:rPr>
          <w:rFonts w:hint="eastAsia" w:ascii="仿宋_GB2312" w:hAnsi="仿宋" w:eastAsia="仿宋_GB2312" w:cs="宋体"/>
          <w:bCs/>
          <w:kern w:val="0"/>
          <w:sz w:val="32"/>
          <w:szCs w:val="32"/>
        </w:rPr>
        <w:instrText xml:space="preserve">= 1 \* GB3</w:instrText>
      </w:r>
      <w:r>
        <w:rPr>
          <w:rFonts w:hint="eastAsia" w:ascii="仿宋_GB2312" w:hAnsi="仿宋" w:eastAsia="仿宋_GB2312" w:cs="宋体"/>
          <w:bCs/>
          <w:kern w:val="0"/>
          <w:sz w:val="32"/>
          <w:szCs w:val="32"/>
        </w:rPr>
        <w:fldChar w:fldCharType="separate"/>
      </w:r>
      <w:r>
        <w:rPr>
          <w:rFonts w:hint="eastAsia" w:ascii="仿宋_GB2312" w:hAnsi="仿宋" w:eastAsia="仿宋_GB2312" w:cs="宋体"/>
          <w:bCs/>
          <w:kern w:val="0"/>
          <w:sz w:val="32"/>
          <w:szCs w:val="32"/>
        </w:rPr>
        <w:t>①</w:t>
      </w:r>
      <w:r>
        <w:rPr>
          <w:rFonts w:hint="eastAsia" w:ascii="仿宋_GB2312" w:hAnsi="仿宋" w:eastAsia="仿宋_GB2312" w:cs="宋体"/>
          <w:bCs/>
          <w:kern w:val="0"/>
          <w:sz w:val="32"/>
          <w:szCs w:val="32"/>
        </w:rPr>
        <w:fldChar w:fldCharType="end"/>
      </w:r>
      <w:r>
        <w:rPr>
          <w:rFonts w:hint="eastAsia" w:ascii="仿宋_GB2312" w:hAnsi="仿宋" w:eastAsia="仿宋_GB2312" w:cs="宋体"/>
          <w:bCs/>
          <w:kern w:val="0"/>
          <w:sz w:val="32"/>
          <w:szCs w:val="32"/>
        </w:rPr>
        <w:t>增值税26.7亿元，同比减少3.8亿元，下降12.4%。</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增收因素：一是中国石油天然气股份有限公司辽河油田分公司受油价上涨等因素影响，同比增加1.6亿元；二是盘锦北方沥青股份有限公司、宝来利安德巴赛尔石化有限公司销售收入增加，同比分别增加0.45亿元、0.55亿；三是同期留抵退税拉低基数0.4亿元。</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减收因素：一是盘锦北方沥青燃料有限公司同期缴库垫高基数4.4亿元；二是中国石油天然气股份有限公司辽河石化分公司出口应税产品销量增加，同比减少0.5亿元；三是同期制造业中小微企业缓税入库垫高基数，同比减少1.5亿元。</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②企业所得税4.6亿元，同比减少0.2亿元，下降3.4%。</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增收因素：一是</w:t>
      </w:r>
      <w:r>
        <w:rPr>
          <w:rFonts w:hint="eastAsia" w:ascii="仿宋_GB2312" w:hAnsi="Calibri" w:eastAsia="仿宋_GB2312" w:cs="Times New Roman"/>
          <w:sz w:val="32"/>
          <w:szCs w:val="32"/>
        </w:rPr>
        <w:t>辽河油田（盘锦）储气库有限公司利润增长，同比增加0.2亿元</w:t>
      </w:r>
      <w:r>
        <w:rPr>
          <w:rFonts w:hint="eastAsia" w:ascii="仿宋_GB2312" w:hAnsi="仿宋" w:eastAsia="仿宋_GB2312" w:cs="宋体"/>
          <w:bCs/>
          <w:kern w:val="0"/>
          <w:sz w:val="32"/>
          <w:szCs w:val="32"/>
        </w:rPr>
        <w:t>；二是北方华锦化学工业股份有限公司、长连化工（盘锦）有限公司同期汇算清缴退库拉低基数0.1亿元和0.15亿元。</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减收因素：盘锦瑞东石化贸易有限公司同期补缴税款垫高基数0.4亿元。</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③个人所得税1.4亿元，同比减少0.1亿元，下降5.5%。主要是落实优惠政策个人所得税退税增加，同比减少0.04亿元。以及受经济形势影响，个人独资、合伙及个体工商户汇算同比减少0.04亿元。</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④城市维护建设税5.1亿元，同比减少0.6亿元，下降10.0%，主要是增值税减收影响。</w:t>
      </w:r>
    </w:p>
    <w:p>
      <w:pPr>
        <w:snapToGrid w:val="0"/>
        <w:ind w:firstLine="640" w:firstLineChars="200"/>
        <w:rPr>
          <w:rFonts w:ascii="仿宋_GB2312" w:hAnsi="仿宋" w:eastAsia="仿宋_GB2312" w:cs="宋体"/>
          <w:bCs/>
          <w:kern w:val="0"/>
          <w:sz w:val="32"/>
          <w:szCs w:val="32"/>
        </w:rPr>
      </w:pPr>
      <w:r>
        <w:rPr>
          <w:rFonts w:ascii="仿宋_GB2312" w:hAnsi="仿宋" w:eastAsia="仿宋_GB2312" w:cs="宋体"/>
          <w:bCs/>
          <w:kern w:val="0"/>
          <w:sz w:val="32"/>
          <w:szCs w:val="32"/>
        </w:rPr>
        <w:fldChar w:fldCharType="begin"/>
      </w:r>
      <w:r>
        <w:rPr>
          <w:rFonts w:hint="eastAsia" w:ascii="仿宋_GB2312" w:hAnsi="仿宋" w:eastAsia="仿宋_GB2312" w:cs="宋体"/>
          <w:bCs/>
          <w:kern w:val="0"/>
          <w:sz w:val="32"/>
          <w:szCs w:val="32"/>
        </w:rPr>
        <w:instrText xml:space="preserve">= 5 \* GB3</w:instrText>
      </w:r>
      <w:r>
        <w:rPr>
          <w:rFonts w:ascii="仿宋_GB2312" w:hAnsi="仿宋" w:eastAsia="仿宋_GB2312" w:cs="宋体"/>
          <w:bCs/>
          <w:kern w:val="0"/>
          <w:sz w:val="32"/>
          <w:szCs w:val="32"/>
        </w:rPr>
        <w:fldChar w:fldCharType="separate"/>
      </w:r>
      <w:r>
        <w:rPr>
          <w:rFonts w:hint="eastAsia" w:ascii="仿宋_GB2312" w:hAnsi="仿宋" w:eastAsia="仿宋_GB2312" w:cs="宋体"/>
          <w:bCs/>
          <w:kern w:val="0"/>
          <w:sz w:val="32"/>
          <w:szCs w:val="32"/>
        </w:rPr>
        <w:t>⑤</w:t>
      </w:r>
      <w:r>
        <w:rPr>
          <w:rFonts w:ascii="仿宋_GB2312" w:hAnsi="仿宋" w:eastAsia="仿宋_GB2312" w:cs="宋体"/>
          <w:bCs/>
          <w:kern w:val="0"/>
          <w:sz w:val="32"/>
          <w:szCs w:val="32"/>
        </w:rPr>
        <w:fldChar w:fldCharType="end"/>
      </w:r>
      <w:r>
        <w:rPr>
          <w:rFonts w:hint="eastAsia" w:ascii="仿宋_GB2312" w:hAnsi="仿宋" w:eastAsia="仿宋_GB2312" w:cs="宋体"/>
          <w:bCs/>
          <w:kern w:val="0"/>
          <w:sz w:val="32"/>
          <w:szCs w:val="32"/>
        </w:rPr>
        <w:t>资源税4.9亿元，同比增加0.1亿元，增长2.5%，主要是由于辽河油田分公司原油平均销售价格同比增加229元/吨，但原油销售量同比减少1万吨。</w:t>
      </w:r>
    </w:p>
    <w:p>
      <w:pPr>
        <w:snapToGrid w:val="0"/>
        <w:ind w:firstLine="640" w:firstLineChars="200"/>
        <w:rPr>
          <w:rFonts w:ascii="仿宋_GB2312" w:hAnsi="仿宋" w:eastAsia="仿宋_GB2312" w:cs="宋体"/>
          <w:bCs/>
          <w:kern w:val="0"/>
          <w:sz w:val="32"/>
          <w:szCs w:val="32"/>
        </w:rPr>
      </w:pPr>
      <w:r>
        <w:rPr>
          <w:rFonts w:ascii="仿宋_GB2312" w:hAnsi="仿宋" w:eastAsia="仿宋_GB2312" w:cs="宋体"/>
          <w:bCs/>
          <w:kern w:val="0"/>
          <w:sz w:val="32"/>
          <w:szCs w:val="32"/>
        </w:rPr>
        <w:fldChar w:fldCharType="begin"/>
      </w:r>
      <w:r>
        <w:rPr>
          <w:rFonts w:hint="eastAsia" w:ascii="仿宋_GB2312" w:hAnsi="仿宋" w:eastAsia="仿宋_GB2312" w:cs="宋体"/>
          <w:bCs/>
          <w:kern w:val="0"/>
          <w:sz w:val="32"/>
          <w:szCs w:val="32"/>
        </w:rPr>
        <w:instrText xml:space="preserve">= 6 \* GB3</w:instrText>
      </w:r>
      <w:r>
        <w:rPr>
          <w:rFonts w:ascii="仿宋_GB2312" w:hAnsi="仿宋" w:eastAsia="仿宋_GB2312" w:cs="宋体"/>
          <w:bCs/>
          <w:kern w:val="0"/>
          <w:sz w:val="32"/>
          <w:szCs w:val="32"/>
        </w:rPr>
        <w:fldChar w:fldCharType="separate"/>
      </w:r>
      <w:r>
        <w:rPr>
          <w:rFonts w:hint="eastAsia" w:ascii="仿宋_GB2312" w:hAnsi="仿宋" w:eastAsia="仿宋_GB2312" w:cs="宋体"/>
          <w:bCs/>
          <w:kern w:val="0"/>
          <w:sz w:val="32"/>
          <w:szCs w:val="32"/>
        </w:rPr>
        <w:t>⑥</w:t>
      </w:r>
      <w:r>
        <w:rPr>
          <w:rFonts w:ascii="仿宋_GB2312" w:hAnsi="仿宋" w:eastAsia="仿宋_GB2312" w:cs="宋体"/>
          <w:bCs/>
          <w:kern w:val="0"/>
          <w:sz w:val="32"/>
          <w:szCs w:val="32"/>
        </w:rPr>
        <w:fldChar w:fldCharType="end"/>
      </w:r>
      <w:r>
        <w:rPr>
          <w:rFonts w:hint="eastAsia" w:ascii="仿宋_GB2312" w:hAnsi="仿宋" w:eastAsia="仿宋_GB2312" w:cs="宋体"/>
          <w:bCs/>
          <w:kern w:val="0"/>
          <w:sz w:val="32"/>
          <w:szCs w:val="32"/>
        </w:rPr>
        <w:t>印花税3.2亿元，同比增加0.9亿元，增长41.9%。主要是盘锦北方沥青燃料有限公司补缴以前年度税款。</w:t>
      </w:r>
    </w:p>
    <w:p>
      <w:pPr>
        <w:snapToGrid w:val="0"/>
        <w:ind w:firstLine="640" w:firstLineChars="200"/>
        <w:rPr>
          <w:rFonts w:ascii="仿宋_GB2312" w:hAnsi="仿宋" w:eastAsia="仿宋_GB2312" w:cs="宋体"/>
          <w:bCs/>
          <w:kern w:val="0"/>
          <w:sz w:val="32"/>
          <w:szCs w:val="32"/>
        </w:rPr>
      </w:pPr>
      <w:r>
        <w:rPr>
          <w:rFonts w:ascii="仿宋_GB2312" w:hAnsi="仿宋" w:eastAsia="仿宋_GB2312" w:cs="宋体"/>
          <w:bCs/>
          <w:kern w:val="0"/>
          <w:sz w:val="32"/>
          <w:szCs w:val="32"/>
        </w:rPr>
        <w:fldChar w:fldCharType="begin"/>
      </w:r>
      <w:r>
        <w:rPr>
          <w:rFonts w:hint="eastAsia" w:ascii="仿宋_GB2312" w:hAnsi="仿宋" w:eastAsia="仿宋_GB2312" w:cs="宋体"/>
          <w:bCs/>
          <w:kern w:val="0"/>
          <w:sz w:val="32"/>
          <w:szCs w:val="32"/>
        </w:rPr>
        <w:instrText xml:space="preserve">= 7 \* GB3</w:instrText>
      </w:r>
      <w:r>
        <w:rPr>
          <w:rFonts w:ascii="仿宋_GB2312" w:hAnsi="仿宋" w:eastAsia="仿宋_GB2312" w:cs="宋体"/>
          <w:bCs/>
          <w:kern w:val="0"/>
          <w:sz w:val="32"/>
          <w:szCs w:val="32"/>
        </w:rPr>
        <w:fldChar w:fldCharType="separate"/>
      </w:r>
      <w:r>
        <w:rPr>
          <w:rFonts w:hint="eastAsia" w:ascii="仿宋_GB2312" w:hAnsi="仿宋" w:eastAsia="仿宋_GB2312" w:cs="宋体"/>
          <w:bCs/>
          <w:kern w:val="0"/>
          <w:sz w:val="32"/>
          <w:szCs w:val="32"/>
        </w:rPr>
        <w:t>⑦</w:t>
      </w:r>
      <w:r>
        <w:rPr>
          <w:rFonts w:ascii="仿宋_GB2312" w:hAnsi="仿宋" w:eastAsia="仿宋_GB2312" w:cs="宋体"/>
          <w:bCs/>
          <w:kern w:val="0"/>
          <w:sz w:val="32"/>
          <w:szCs w:val="32"/>
        </w:rPr>
        <w:fldChar w:fldCharType="end"/>
      </w:r>
      <w:r>
        <w:rPr>
          <w:rFonts w:hint="eastAsia" w:ascii="仿宋_GB2312" w:hAnsi="仿宋" w:eastAsia="仿宋_GB2312" w:cs="宋体"/>
          <w:bCs/>
          <w:kern w:val="0"/>
          <w:sz w:val="32"/>
          <w:szCs w:val="32"/>
        </w:rPr>
        <w:t>土地和房地产相关税收17.5亿元，同比增加1.7亿元，增长10.6%。其中：</w:t>
      </w:r>
    </w:p>
    <w:p>
      <w:pPr>
        <w:snapToGrid w:val="0"/>
        <w:ind w:firstLine="640" w:firstLineChars="200"/>
        <w:rPr>
          <w:rFonts w:ascii="仿宋_GB2312" w:eastAsia="仿宋_GB2312"/>
          <w:sz w:val="32"/>
          <w:szCs w:val="32"/>
        </w:rPr>
      </w:pPr>
      <w:r>
        <w:rPr>
          <w:rFonts w:hint="eastAsia" w:ascii="仿宋_GB2312" w:hAnsi="仿宋" w:eastAsia="仿宋_GB2312" w:cs="宋体"/>
          <w:bCs/>
          <w:kern w:val="0"/>
          <w:sz w:val="32"/>
          <w:szCs w:val="32"/>
        </w:rPr>
        <w:t>城镇土地使用税10.9亿元，同比增加1.7亿元，主要是</w:t>
      </w:r>
      <w:r>
        <w:rPr>
          <w:rFonts w:hint="eastAsia" w:ascii="仿宋_GB2312" w:hAnsi="Calibri" w:eastAsia="仿宋_GB2312" w:cs="Times New Roman"/>
          <w:sz w:val="32"/>
          <w:szCs w:val="32"/>
        </w:rPr>
        <w:t>补缴税款带动增收，其中盘山县羊圈子苇场补缴税款0.8亿元</w:t>
      </w:r>
      <w:r>
        <w:rPr>
          <w:rFonts w:hint="eastAsia" w:ascii="仿宋_GB2312" w:eastAsia="仿宋_GB2312"/>
          <w:sz w:val="32"/>
          <w:szCs w:val="32"/>
        </w:rPr>
        <w:t>；</w:t>
      </w:r>
    </w:p>
    <w:p>
      <w:pPr>
        <w:snapToGrid w:val="0"/>
        <w:ind w:firstLine="640" w:firstLineChars="200"/>
        <w:rPr>
          <w:rFonts w:ascii="仿宋_GB2312" w:eastAsia="仿宋_GB2312"/>
          <w:sz w:val="32"/>
          <w:szCs w:val="32"/>
        </w:rPr>
      </w:pPr>
      <w:r>
        <w:rPr>
          <w:rFonts w:hint="eastAsia" w:ascii="仿宋_GB2312" w:eastAsia="仿宋_GB2312"/>
          <w:sz w:val="32"/>
          <w:szCs w:val="32"/>
        </w:rPr>
        <w:t>耕地占用税1.2亿元，同比增加0.9亿元，主要是盘山县、大洼区和兴隆台区补缴税款分别增收0.3亿元、0.4亿元和0.24亿元；</w:t>
      </w:r>
    </w:p>
    <w:p>
      <w:pPr>
        <w:snapToGrid w:val="0"/>
        <w:ind w:firstLine="640" w:firstLineChars="200"/>
        <w:rPr>
          <w:rFonts w:ascii="仿宋_GB2312" w:hAnsi="仿宋" w:eastAsia="仿宋_GB2312" w:cs="宋体"/>
          <w:bCs/>
          <w:kern w:val="0"/>
          <w:sz w:val="32"/>
          <w:szCs w:val="32"/>
        </w:rPr>
      </w:pPr>
      <w:r>
        <w:rPr>
          <w:rFonts w:hint="eastAsia" w:ascii="仿宋_GB2312" w:eastAsia="仿宋_GB2312"/>
          <w:sz w:val="32"/>
          <w:szCs w:val="32"/>
        </w:rPr>
        <w:t>房产税2.7亿元，同比增加0.5亿元，主要是补缴带动增收，其中盘锦农村商业银行股份有限公司同比增加0.15亿</w:t>
      </w:r>
      <w:r>
        <w:rPr>
          <w:rFonts w:hint="eastAsia" w:ascii="仿宋_GB2312" w:hAnsi="仿宋" w:eastAsia="仿宋_GB2312" w:cs="宋体"/>
          <w:bCs/>
          <w:kern w:val="0"/>
          <w:sz w:val="32"/>
          <w:szCs w:val="32"/>
        </w:rPr>
        <w:t>元；</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土地增值税0.8亿元，同比减少1.3亿元，主要是房地产新开发项目数量减少，企业清算收入同比下降，其中盘锦华宇开发建设有限公司同期汇算补缴1.1亿元垫高基数；</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契税1.9亿元，同比减少0.1亿元，主要是房地产市场不景气，土地交易量走低。</w:t>
      </w:r>
    </w:p>
    <w:p>
      <w:pPr>
        <w:snapToGrid w:val="0"/>
        <w:ind w:firstLine="640" w:firstLineChars="200"/>
        <w:rPr>
          <w:rFonts w:ascii="仿宋_GB2312" w:hAnsi="仿宋" w:eastAsia="仿宋_GB2312" w:cs="宋体"/>
          <w:bCs/>
          <w:kern w:val="0"/>
          <w:sz w:val="32"/>
          <w:szCs w:val="32"/>
        </w:rPr>
      </w:pPr>
      <w:r>
        <w:rPr>
          <w:rFonts w:ascii="仿宋_GB2312" w:hAnsi="仿宋" w:eastAsia="仿宋_GB2312" w:cs="宋体"/>
          <w:bCs/>
          <w:kern w:val="0"/>
          <w:sz w:val="32"/>
          <w:szCs w:val="32"/>
        </w:rPr>
        <w:fldChar w:fldCharType="begin"/>
      </w:r>
      <w:r>
        <w:rPr>
          <w:rFonts w:ascii="仿宋_GB2312" w:hAnsi="仿宋" w:eastAsia="仿宋_GB2312" w:cs="宋体"/>
          <w:bCs/>
          <w:kern w:val="0"/>
          <w:sz w:val="32"/>
          <w:szCs w:val="32"/>
        </w:rPr>
        <w:instrText xml:space="preserve"> </w:instrText>
      </w:r>
      <w:r>
        <w:rPr>
          <w:rFonts w:hint="eastAsia" w:ascii="仿宋_GB2312" w:hAnsi="仿宋" w:eastAsia="仿宋_GB2312" w:cs="宋体"/>
          <w:bCs/>
          <w:kern w:val="0"/>
          <w:sz w:val="32"/>
          <w:szCs w:val="32"/>
        </w:rPr>
        <w:instrText xml:space="preserve">= 8 \* GB3</w:instrText>
      </w:r>
      <w:r>
        <w:rPr>
          <w:rFonts w:ascii="仿宋_GB2312" w:hAnsi="仿宋" w:eastAsia="仿宋_GB2312" w:cs="宋体"/>
          <w:bCs/>
          <w:kern w:val="0"/>
          <w:sz w:val="32"/>
          <w:szCs w:val="32"/>
        </w:rPr>
        <w:instrText xml:space="preserve"> </w:instrText>
      </w:r>
      <w:r>
        <w:rPr>
          <w:rFonts w:ascii="仿宋_GB2312" w:hAnsi="仿宋" w:eastAsia="仿宋_GB2312" w:cs="宋体"/>
          <w:bCs/>
          <w:kern w:val="0"/>
          <w:sz w:val="32"/>
          <w:szCs w:val="32"/>
        </w:rPr>
        <w:fldChar w:fldCharType="separate"/>
      </w:r>
      <w:r>
        <w:rPr>
          <w:rFonts w:hint="eastAsia" w:ascii="仿宋_GB2312" w:hAnsi="仿宋" w:eastAsia="仿宋_GB2312" w:cs="宋体"/>
          <w:bCs/>
          <w:kern w:val="0"/>
          <w:sz w:val="32"/>
          <w:szCs w:val="32"/>
        </w:rPr>
        <w:t>⑧</w:t>
      </w:r>
      <w:r>
        <w:rPr>
          <w:rFonts w:ascii="仿宋_GB2312" w:hAnsi="仿宋" w:eastAsia="仿宋_GB2312" w:cs="宋体"/>
          <w:bCs/>
          <w:kern w:val="0"/>
          <w:sz w:val="32"/>
          <w:szCs w:val="32"/>
        </w:rPr>
        <w:fldChar w:fldCharType="end"/>
      </w:r>
      <w:r>
        <w:rPr>
          <w:rFonts w:hint="eastAsia" w:ascii="仿宋_GB2312" w:hAnsi="仿宋" w:eastAsia="仿宋_GB2312" w:cs="宋体"/>
          <w:bCs/>
          <w:kern w:val="0"/>
          <w:sz w:val="32"/>
          <w:szCs w:val="32"/>
        </w:rPr>
        <w:t>根据《关于印发省与市税收收入划分办法的通知》（辽财预〔2024〕26号）要求，车船税</w:t>
      </w:r>
      <w:r>
        <w:rPr>
          <w:rFonts w:hint="eastAsia" w:ascii="仿宋_GB2312" w:hAnsi="仿宋" w:eastAsia="仿宋_GB2312" w:cs="宋体"/>
          <w:bCs/>
          <w:kern w:val="0"/>
          <w:sz w:val="32"/>
          <w:szCs w:val="32"/>
          <w:lang w:val="en-US" w:eastAsia="zh-CN"/>
        </w:rPr>
        <w:t>和环保税分别由原100.0%、80%为市级收入，改为</w:t>
      </w:r>
      <w:r>
        <w:rPr>
          <w:rFonts w:hint="eastAsia" w:ascii="仿宋_GB2312" w:hAnsi="仿宋" w:eastAsia="仿宋_GB2312" w:cs="宋体"/>
          <w:bCs/>
          <w:kern w:val="0"/>
          <w:sz w:val="32"/>
          <w:szCs w:val="32"/>
        </w:rPr>
        <w:t>50%、100%为市级收入。按照新的体制计算，环保税车船税0.6亿元，同比减少0.5亿元，下降45.5%；环保税0.2亿元，同比增加0.04亿元，增长31.6%。</w:t>
      </w:r>
    </w:p>
    <w:p>
      <w:pPr>
        <w:snapToGrid w:val="0"/>
        <w:ind w:firstLine="640" w:firstLineChars="200"/>
        <w:rPr>
          <w:rFonts w:ascii="仿宋_GB2312" w:hAnsi="仿宋" w:eastAsia="仿宋_GB2312" w:cs="宋体"/>
          <w:bCs/>
          <w:kern w:val="0"/>
          <w:sz w:val="32"/>
          <w:szCs w:val="32"/>
        </w:rPr>
      </w:pPr>
    </w:p>
    <w:p>
      <w:pPr>
        <w:snapToGrid w:val="0"/>
        <w:ind w:firstLine="560" w:firstLineChars="200"/>
        <w:jc w:val="center"/>
        <w:rPr>
          <w:rFonts w:ascii="仿宋" w:hAnsi="仿宋" w:eastAsia="仿宋"/>
          <w:sz w:val="28"/>
          <w:szCs w:val="28"/>
        </w:rPr>
      </w:pPr>
    </w:p>
    <w:p>
      <w:pPr>
        <w:snapToGrid w:val="0"/>
        <w:ind w:firstLine="560" w:firstLineChars="200"/>
        <w:jc w:val="center"/>
        <w:rPr>
          <w:rFonts w:ascii="仿宋" w:hAnsi="仿宋" w:eastAsia="仿宋"/>
          <w:sz w:val="28"/>
          <w:szCs w:val="28"/>
        </w:rPr>
      </w:pPr>
      <w:r>
        <w:rPr>
          <w:rFonts w:hint="eastAsia" w:ascii="仿宋" w:hAnsi="仿宋" w:eastAsia="仿宋"/>
          <w:sz w:val="28"/>
          <w:szCs w:val="28"/>
        </w:rPr>
        <w:t>盘锦市2024年1-7月份税收收入分税种占比情况</w:t>
      </w:r>
    </w:p>
    <w:p>
      <w:pPr>
        <w:snapToGrid w:val="0"/>
        <w:ind w:firstLine="560" w:firstLineChars="200"/>
        <w:jc w:val="center"/>
        <w:rPr>
          <w:rFonts w:ascii="仿宋" w:hAnsi="仿宋" w:eastAsia="仿宋"/>
          <w:sz w:val="28"/>
          <w:szCs w:val="28"/>
        </w:rPr>
      </w:pPr>
      <w:r>
        <w:rPr>
          <w:rFonts w:ascii="仿宋" w:hAnsi="仿宋" w:eastAsia="仿宋"/>
          <w:sz w:val="28"/>
          <w:szCs w:val="28"/>
        </w:rPr>
        <w:drawing>
          <wp:inline distT="0" distB="0" distL="0" distR="0">
            <wp:extent cx="4572000" cy="2914650"/>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napToGrid w:val="0"/>
        <w:ind w:firstLine="640" w:firstLineChars="200"/>
        <w:rPr>
          <w:rFonts w:ascii="仿宋_GB2312" w:hAnsi="仿宋" w:eastAsia="仿宋_GB2312" w:cs="宋体"/>
          <w:bCs/>
          <w:kern w:val="0"/>
          <w:sz w:val="32"/>
          <w:szCs w:val="32"/>
        </w:rPr>
      </w:pP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2.非税收入27.6亿元，同比增加6.8亿元，增长32.5%，其中：</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1）专项收入4.7亿元，同比减少0.2亿元，下降4.8%，主要是受增值税减收影响，教育费附加收入同比减少0.2亿元；中国石油天然气股份有限公司辽河油田分公司和石油勘探局安置残疾人就业占比增加，影响残保金收入同比减少0.09亿元。</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（2）行政事业性收费收入1.1亿元，同比减少0.3亿元，下降22.6%，主要是土地闲置费和耕地开垦费收入增加0.24亿元、渔业资源增殖保护费同比减少0.5亿元。</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（3）罚没收入14.9亿元，同比增加3.3亿元，增长29.1%。主要是辽滨经开区填海罚没收入同比增加4.4亿元；市本级公安罚没收入、应急罚没收入、环保罚没收入同比分别减少0.2亿元、0.2亿元、0.6亿元。</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4）国有资源有偿使用收入2.7亿元，同比增加1.5亿元，增长120.7%。主要是财政库款和专户利息收入增加0.1亿元、兴隆台区国有农场土地收益同比增加0.2亿元、兴隆台区（市高新区）国有资产出让收入同比增加0.85亿元、兴隆</w:t>
      </w:r>
      <w:r>
        <w:rPr>
          <w:rFonts w:hint="eastAsia" w:ascii="仿宋_GB2312" w:hAnsi="仿宋" w:eastAsia="仿宋_GB2312" w:cs="宋体"/>
          <w:bCs/>
          <w:kern w:val="0"/>
          <w:sz w:val="32"/>
          <w:szCs w:val="32"/>
          <w:lang w:val="en-US" w:eastAsia="zh-CN"/>
        </w:rPr>
        <w:t>台</w:t>
      </w:r>
      <w:r>
        <w:rPr>
          <w:rFonts w:hint="eastAsia" w:ascii="仿宋_GB2312" w:hAnsi="仿宋" w:eastAsia="仿宋_GB2312" w:cs="宋体"/>
          <w:bCs/>
          <w:kern w:val="0"/>
          <w:sz w:val="32"/>
          <w:szCs w:val="32"/>
        </w:rPr>
        <w:t>区兴隆农场缴库错误退库降低基数0.3亿元。</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（5）政府住房基金收入4.0亿元，同比增加2.3亿元，增长132.8%，主要是公共租赁住房资金收入增加2.3亿元。</w:t>
      </w:r>
    </w:p>
    <w:p>
      <w:pPr>
        <w:pStyle w:val="2"/>
        <w:ind w:firstLine="1400" w:firstLineChars="500"/>
        <w:rPr>
          <w:rFonts w:ascii="仿宋" w:hAnsi="仿宋" w:eastAsia="仿宋"/>
          <w:sz w:val="28"/>
          <w:szCs w:val="28"/>
        </w:rPr>
      </w:pPr>
    </w:p>
    <w:p>
      <w:pPr>
        <w:pStyle w:val="2"/>
        <w:ind w:firstLine="1400" w:firstLineChars="500"/>
        <w:rPr>
          <w:rFonts w:ascii="仿宋" w:hAnsi="仿宋" w:eastAsia="仿宋"/>
          <w:sz w:val="28"/>
          <w:szCs w:val="28"/>
        </w:rPr>
      </w:pPr>
      <w:r>
        <w:rPr>
          <w:rFonts w:hint="eastAsia" w:ascii="仿宋" w:hAnsi="仿宋" w:eastAsia="仿宋"/>
          <w:sz w:val="28"/>
          <w:szCs w:val="28"/>
        </w:rPr>
        <w:t>盘锦市2024年1-7月份非税收入分项目占比情况</w:t>
      </w:r>
    </w:p>
    <w:p>
      <w:pPr>
        <w:pStyle w:val="2"/>
        <w:ind w:firstLine="560" w:firstLineChars="200"/>
        <w:rPr>
          <w:rFonts w:ascii="仿宋" w:hAnsi="仿宋" w:eastAsia="仿宋"/>
          <w:sz w:val="28"/>
          <w:szCs w:val="28"/>
        </w:rPr>
      </w:pPr>
      <w:r>
        <w:rPr>
          <w:rFonts w:ascii="仿宋" w:hAnsi="仿宋" w:eastAsia="仿宋"/>
          <w:sz w:val="28"/>
          <w:szCs w:val="28"/>
        </w:rPr>
        <w:drawing>
          <wp:inline distT="0" distB="0" distL="0" distR="0">
            <wp:extent cx="4572000" cy="2743200"/>
            <wp:effectExtent l="19050" t="0" r="1905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napToGrid w:val="0"/>
        <w:ind w:firstLine="643" w:firstLineChars="200"/>
        <w:rPr>
          <w:rFonts w:cs="宋体" w:asciiTheme="majorEastAsia" w:hAnsiTheme="majorEastAsia" w:eastAsiaTheme="majorEastAsia"/>
          <w:b/>
          <w:bCs/>
          <w:kern w:val="0"/>
          <w:sz w:val="32"/>
          <w:szCs w:val="32"/>
        </w:rPr>
      </w:pPr>
    </w:p>
    <w:p>
      <w:pPr>
        <w:snapToGrid w:val="0"/>
        <w:ind w:firstLine="643" w:firstLineChars="200"/>
        <w:rPr>
          <w:rFonts w:cs="宋体" w:asciiTheme="majorEastAsia" w:hAnsiTheme="majorEastAsia" w:eastAsiaTheme="majorEastAsia"/>
          <w:b/>
          <w:bCs/>
          <w:kern w:val="0"/>
          <w:sz w:val="32"/>
          <w:szCs w:val="32"/>
        </w:rPr>
      </w:pPr>
      <w:r>
        <w:rPr>
          <w:rFonts w:hint="eastAsia" w:cs="宋体" w:asciiTheme="majorEastAsia" w:hAnsiTheme="majorEastAsia" w:eastAsiaTheme="majorEastAsia"/>
          <w:b/>
          <w:bCs/>
          <w:kern w:val="0"/>
          <w:sz w:val="32"/>
          <w:szCs w:val="32"/>
        </w:rPr>
        <w:t>（二）政府性基金预算收入</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2024年1-7月份，全市政府性基金预算收入4.4亿元，同比增加1.8亿元，增长67.2%。其中：</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1.国有土地使用权出让收入3.3亿元，同比增加1.4亿元，增长72.3%，主要是兴隆区新发地批发市场二期、北斗通航二期项目分别缴库0.9亿元、0.8亿元；盘山县土地交易量</w:t>
      </w:r>
      <w:r>
        <w:rPr>
          <w:rFonts w:hint="eastAsia" w:ascii="仿宋_GB2312" w:hAnsi="仿宋" w:eastAsia="仿宋_GB2312" w:cs="宋体"/>
          <w:bCs/>
          <w:kern w:val="0"/>
          <w:sz w:val="32"/>
          <w:szCs w:val="32"/>
          <w:lang w:val="en-US" w:eastAsia="zh-CN"/>
        </w:rPr>
        <w:t>下降</w:t>
      </w:r>
      <w:r>
        <w:rPr>
          <w:rFonts w:hint="eastAsia" w:ascii="仿宋_GB2312" w:hAnsi="仿宋" w:eastAsia="仿宋_GB2312" w:cs="宋体"/>
          <w:bCs/>
          <w:kern w:val="0"/>
          <w:sz w:val="32"/>
          <w:szCs w:val="32"/>
        </w:rPr>
        <w:t>，同</w:t>
      </w:r>
      <w:r>
        <w:rPr>
          <w:rFonts w:hint="eastAsia" w:ascii="仿宋_GB2312" w:hAnsi="仿宋" w:eastAsia="仿宋_GB2312" w:cs="宋体"/>
          <w:bCs/>
          <w:kern w:val="0"/>
          <w:sz w:val="32"/>
          <w:szCs w:val="32"/>
          <w:lang w:val="en-US" w:eastAsia="zh-CN"/>
        </w:rPr>
        <w:t>比</w:t>
      </w:r>
      <w:r>
        <w:rPr>
          <w:rFonts w:hint="eastAsia" w:ascii="仿宋_GB2312" w:hAnsi="仿宋" w:eastAsia="仿宋_GB2312" w:cs="宋体"/>
          <w:bCs/>
          <w:kern w:val="0"/>
          <w:sz w:val="32"/>
          <w:szCs w:val="32"/>
        </w:rPr>
        <w:t>减少0.8亿元。</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2.污水处理费收入0. 6亿元，同比增加0.1亿元，增长30.0%，其中市本级0.4亿元，同比增加0.1亿元，主要是水务集团和生态环境局追缴以前年度欠费。</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3.彩票公益金收入0.4亿元，同比增加0.2亿元，增长92.9%，主要是2024年1-7月份福利彩票和体育彩票销售收入同比增加。</w:t>
      </w:r>
    </w:p>
    <w:p>
      <w:pPr>
        <w:pStyle w:val="2"/>
        <w:ind w:firstLine="840"/>
      </w:pPr>
    </w:p>
    <w:p>
      <w:pPr>
        <w:pStyle w:val="2"/>
        <w:spacing w:line="300" w:lineRule="exact"/>
        <w:jc w:val="center"/>
        <w:rPr>
          <w:rFonts w:ascii="仿宋_GB2312" w:hAnsi="仿宋" w:eastAsia="仿宋_GB2312" w:cs="宋体"/>
          <w:bCs/>
          <w:kern w:val="0"/>
          <w:sz w:val="32"/>
          <w:szCs w:val="32"/>
        </w:rPr>
      </w:pPr>
    </w:p>
    <w:p>
      <w:pPr>
        <w:pStyle w:val="2"/>
        <w:spacing w:line="300" w:lineRule="exact"/>
        <w:jc w:val="center"/>
        <w:rPr>
          <w:rFonts w:ascii="仿宋" w:hAnsi="仿宋" w:eastAsia="仿宋"/>
          <w:sz w:val="28"/>
          <w:szCs w:val="28"/>
        </w:rPr>
      </w:pPr>
      <w:r>
        <w:rPr>
          <w:rFonts w:hint="eastAsia" w:ascii="仿宋" w:hAnsi="仿宋" w:eastAsia="仿宋"/>
          <w:sz w:val="28"/>
          <w:szCs w:val="28"/>
        </w:rPr>
        <w:t>2024年1-7月份全市政府性基金预算收入完成情况</w:t>
      </w:r>
    </w:p>
    <w:p>
      <w:pPr>
        <w:pStyle w:val="2"/>
        <w:spacing w:line="300" w:lineRule="exact"/>
        <w:jc w:val="center"/>
        <w:rPr>
          <w:rFonts w:ascii="仿宋" w:hAnsi="仿宋" w:eastAsia="仿宋"/>
          <w:sz w:val="28"/>
          <w:szCs w:val="28"/>
        </w:rPr>
      </w:pPr>
      <w:r>
        <w:rPr>
          <w:rFonts w:hint="eastAsia" w:ascii="仿宋" w:hAnsi="仿宋" w:eastAsia="仿宋"/>
          <w:sz w:val="28"/>
          <w:szCs w:val="28"/>
        </w:rPr>
        <w:t>单位：万元</w:t>
      </w:r>
    </w:p>
    <w:p>
      <w:pPr>
        <w:pStyle w:val="2"/>
        <w:spacing w:line="300" w:lineRule="exact"/>
        <w:jc w:val="center"/>
        <w:rPr>
          <w:rFonts w:ascii="仿宋" w:hAnsi="仿宋" w:eastAsia="仿宋"/>
          <w:sz w:val="28"/>
          <w:szCs w:val="28"/>
        </w:rPr>
      </w:pPr>
    </w:p>
    <w:tbl>
      <w:tblPr>
        <w:tblStyle w:val="9"/>
        <w:tblW w:w="5711" w:type="dxa"/>
        <w:jc w:val="center"/>
        <w:tblLayout w:type="fixed"/>
        <w:tblCellMar>
          <w:top w:w="0" w:type="dxa"/>
          <w:left w:w="108" w:type="dxa"/>
          <w:bottom w:w="0" w:type="dxa"/>
          <w:right w:w="108" w:type="dxa"/>
        </w:tblCellMar>
      </w:tblPr>
      <w:tblGrid>
        <w:gridCol w:w="1520"/>
        <w:gridCol w:w="1110"/>
        <w:gridCol w:w="990"/>
        <w:gridCol w:w="1125"/>
        <w:gridCol w:w="966"/>
      </w:tblGrid>
      <w:tr>
        <w:tblPrEx>
          <w:tblCellMar>
            <w:top w:w="0" w:type="dxa"/>
            <w:left w:w="108" w:type="dxa"/>
            <w:bottom w:w="0" w:type="dxa"/>
            <w:right w:w="108" w:type="dxa"/>
          </w:tblCellMar>
        </w:tblPrEx>
        <w:trPr>
          <w:trHeight w:val="300" w:hRule="atLeast"/>
          <w:jc w:val="center"/>
        </w:trPr>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分地区</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  期</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同  期</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增减额</w:t>
            </w:r>
          </w:p>
        </w:tc>
        <w:tc>
          <w:tcPr>
            <w:tcW w:w="9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增减%</w:t>
            </w:r>
          </w:p>
        </w:tc>
      </w:tr>
      <w:tr>
        <w:tblPrEx>
          <w:tblCellMar>
            <w:top w:w="0" w:type="dxa"/>
            <w:left w:w="108" w:type="dxa"/>
            <w:bottom w:w="0" w:type="dxa"/>
            <w:right w:w="108" w:type="dxa"/>
          </w:tblCellMar>
        </w:tblPrEx>
        <w:trPr>
          <w:trHeight w:val="300" w:hRule="atLeast"/>
          <w:jc w:val="center"/>
        </w:trPr>
        <w:tc>
          <w:tcPr>
            <w:tcW w:w="1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全市合计</w:t>
            </w:r>
          </w:p>
        </w:tc>
        <w:tc>
          <w:tcPr>
            <w:tcW w:w="1110"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bCs/>
                <w:sz w:val="18"/>
                <w:szCs w:val="18"/>
              </w:rPr>
            </w:pPr>
            <w:r>
              <w:rPr>
                <w:rFonts w:cs="Arial" w:asciiTheme="minorEastAsia" w:hAnsiTheme="minorEastAsia"/>
                <w:bCs/>
                <w:sz w:val="18"/>
                <w:szCs w:val="18"/>
              </w:rPr>
              <w:t xml:space="preserve">43,748 </w:t>
            </w:r>
          </w:p>
        </w:tc>
        <w:tc>
          <w:tcPr>
            <w:tcW w:w="990"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bCs/>
                <w:sz w:val="18"/>
                <w:szCs w:val="18"/>
              </w:rPr>
            </w:pPr>
            <w:r>
              <w:rPr>
                <w:rFonts w:cs="Arial" w:asciiTheme="minorEastAsia" w:hAnsiTheme="minorEastAsia"/>
                <w:bCs/>
                <w:sz w:val="18"/>
                <w:szCs w:val="18"/>
              </w:rPr>
              <w:t xml:space="preserve">26,162 </w:t>
            </w:r>
          </w:p>
        </w:tc>
        <w:tc>
          <w:tcPr>
            <w:tcW w:w="1125"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bCs/>
                <w:sz w:val="18"/>
                <w:szCs w:val="18"/>
              </w:rPr>
            </w:pPr>
            <w:r>
              <w:rPr>
                <w:rFonts w:cs="Arial" w:asciiTheme="minorEastAsia" w:hAnsiTheme="minorEastAsia"/>
                <w:bCs/>
                <w:sz w:val="18"/>
                <w:szCs w:val="18"/>
              </w:rPr>
              <w:t xml:space="preserve">17,586 </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bCs/>
                <w:sz w:val="18"/>
                <w:szCs w:val="18"/>
              </w:rPr>
            </w:pPr>
            <w:r>
              <w:rPr>
                <w:rFonts w:cs="Arial" w:asciiTheme="minorEastAsia" w:hAnsiTheme="minorEastAsia"/>
                <w:bCs/>
                <w:sz w:val="18"/>
                <w:szCs w:val="18"/>
              </w:rPr>
              <w:t xml:space="preserve">67.2 </w:t>
            </w:r>
          </w:p>
        </w:tc>
      </w:tr>
      <w:tr>
        <w:tblPrEx>
          <w:tblCellMar>
            <w:top w:w="0" w:type="dxa"/>
            <w:left w:w="108" w:type="dxa"/>
            <w:bottom w:w="0" w:type="dxa"/>
            <w:right w:w="108" w:type="dxa"/>
          </w:tblCellMar>
        </w:tblPrEx>
        <w:trPr>
          <w:trHeight w:val="300" w:hRule="atLeast"/>
          <w:jc w:val="center"/>
        </w:trPr>
        <w:tc>
          <w:tcPr>
            <w:tcW w:w="15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市本级</w:t>
            </w:r>
          </w:p>
        </w:tc>
        <w:tc>
          <w:tcPr>
            <w:tcW w:w="1110"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18,778 </w:t>
            </w:r>
          </w:p>
        </w:tc>
        <w:tc>
          <w:tcPr>
            <w:tcW w:w="990"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10,455 </w:t>
            </w:r>
          </w:p>
        </w:tc>
        <w:tc>
          <w:tcPr>
            <w:tcW w:w="1125"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8,323 </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79.6 </w:t>
            </w:r>
          </w:p>
        </w:tc>
      </w:tr>
      <w:tr>
        <w:tblPrEx>
          <w:tblCellMar>
            <w:top w:w="0" w:type="dxa"/>
            <w:left w:w="108" w:type="dxa"/>
            <w:bottom w:w="0" w:type="dxa"/>
            <w:right w:w="108" w:type="dxa"/>
          </w:tblCellMar>
        </w:tblPrEx>
        <w:trPr>
          <w:trHeight w:val="300" w:hRule="atLeast"/>
          <w:jc w:val="center"/>
        </w:trPr>
        <w:tc>
          <w:tcPr>
            <w:tcW w:w="152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县区小计</w:t>
            </w:r>
          </w:p>
        </w:tc>
        <w:tc>
          <w:tcPr>
            <w:tcW w:w="1110"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bCs/>
                <w:sz w:val="18"/>
                <w:szCs w:val="18"/>
              </w:rPr>
            </w:pPr>
            <w:r>
              <w:rPr>
                <w:rFonts w:cs="Arial" w:asciiTheme="minorEastAsia" w:hAnsiTheme="minorEastAsia"/>
                <w:bCs/>
                <w:sz w:val="18"/>
                <w:szCs w:val="18"/>
              </w:rPr>
              <w:t xml:space="preserve">24,970 </w:t>
            </w:r>
          </w:p>
        </w:tc>
        <w:tc>
          <w:tcPr>
            <w:tcW w:w="990"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bCs/>
                <w:sz w:val="18"/>
                <w:szCs w:val="18"/>
              </w:rPr>
            </w:pPr>
            <w:r>
              <w:rPr>
                <w:rFonts w:cs="Arial" w:asciiTheme="minorEastAsia" w:hAnsiTheme="minorEastAsia"/>
                <w:bCs/>
                <w:sz w:val="18"/>
                <w:szCs w:val="18"/>
              </w:rPr>
              <w:t xml:space="preserve">15,707 </w:t>
            </w:r>
          </w:p>
        </w:tc>
        <w:tc>
          <w:tcPr>
            <w:tcW w:w="1125"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bCs/>
                <w:sz w:val="18"/>
                <w:szCs w:val="18"/>
              </w:rPr>
            </w:pPr>
            <w:r>
              <w:rPr>
                <w:rFonts w:cs="Arial" w:asciiTheme="minorEastAsia" w:hAnsiTheme="minorEastAsia"/>
                <w:bCs/>
                <w:sz w:val="18"/>
                <w:szCs w:val="18"/>
              </w:rPr>
              <w:t xml:space="preserve">9,263 </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bCs/>
                <w:sz w:val="18"/>
                <w:szCs w:val="18"/>
              </w:rPr>
            </w:pPr>
            <w:r>
              <w:rPr>
                <w:rFonts w:cs="Arial" w:asciiTheme="minorEastAsia" w:hAnsiTheme="minorEastAsia"/>
                <w:bCs/>
                <w:sz w:val="18"/>
                <w:szCs w:val="18"/>
              </w:rPr>
              <w:t xml:space="preserve">59.0 </w:t>
            </w:r>
          </w:p>
        </w:tc>
      </w:tr>
      <w:tr>
        <w:tblPrEx>
          <w:tblCellMar>
            <w:top w:w="0" w:type="dxa"/>
            <w:left w:w="108" w:type="dxa"/>
            <w:bottom w:w="0" w:type="dxa"/>
            <w:right w:w="108" w:type="dxa"/>
          </w:tblCellMar>
        </w:tblPrEx>
        <w:trPr>
          <w:trHeight w:val="300" w:hRule="atLeast"/>
          <w:jc w:val="center"/>
        </w:trPr>
        <w:tc>
          <w:tcPr>
            <w:tcW w:w="15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盘山县</w:t>
            </w:r>
          </w:p>
        </w:tc>
        <w:tc>
          <w:tcPr>
            <w:tcW w:w="1110"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1,754 </w:t>
            </w:r>
          </w:p>
        </w:tc>
        <w:tc>
          <w:tcPr>
            <w:tcW w:w="990"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9,986 </w:t>
            </w:r>
          </w:p>
        </w:tc>
        <w:tc>
          <w:tcPr>
            <w:tcW w:w="1125"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-8,232 </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-82.4 </w:t>
            </w:r>
          </w:p>
        </w:tc>
      </w:tr>
      <w:tr>
        <w:tblPrEx>
          <w:tblCellMar>
            <w:top w:w="0" w:type="dxa"/>
            <w:left w:w="108" w:type="dxa"/>
            <w:bottom w:w="0" w:type="dxa"/>
            <w:right w:w="108" w:type="dxa"/>
          </w:tblCellMar>
        </w:tblPrEx>
        <w:trPr>
          <w:trHeight w:val="300" w:hRule="atLeast"/>
          <w:jc w:val="center"/>
        </w:trPr>
        <w:tc>
          <w:tcPr>
            <w:tcW w:w="15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双台子区</w:t>
            </w:r>
          </w:p>
        </w:tc>
        <w:tc>
          <w:tcPr>
            <w:tcW w:w="1110"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775 </w:t>
            </w:r>
          </w:p>
        </w:tc>
        <w:tc>
          <w:tcPr>
            <w:tcW w:w="990"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 </w:t>
            </w:r>
          </w:p>
        </w:tc>
        <w:tc>
          <w:tcPr>
            <w:tcW w:w="1125"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775 </w:t>
            </w:r>
          </w:p>
        </w:tc>
        <w:tc>
          <w:tcPr>
            <w:tcW w:w="966" w:type="dxa"/>
            <w:tcBorders>
              <w:top w:val="nil"/>
              <w:left w:val="nil"/>
              <w:bottom w:val="single" w:color="auto" w:sz="4" w:space="0"/>
              <w:right w:val="single" w:color="auto" w:sz="4" w:space="0"/>
            </w:tcBorders>
            <w:shd w:val="clear" w:color="auto" w:fill="auto"/>
            <w:noWrap/>
            <w:vAlign w:val="center"/>
          </w:tcPr>
          <w:p>
            <w:pPr>
              <w:ind w:right="90"/>
              <w:jc w:val="right"/>
              <w:rPr>
                <w:rFonts w:cs="Arial" w:asciiTheme="minorEastAsia" w:hAnsiTheme="minorEastAsia"/>
                <w:sz w:val="18"/>
                <w:szCs w:val="18"/>
              </w:rPr>
            </w:pPr>
          </w:p>
        </w:tc>
      </w:tr>
      <w:tr>
        <w:tblPrEx>
          <w:tblCellMar>
            <w:top w:w="0" w:type="dxa"/>
            <w:left w:w="108" w:type="dxa"/>
            <w:bottom w:w="0" w:type="dxa"/>
            <w:right w:w="108" w:type="dxa"/>
          </w:tblCellMar>
        </w:tblPrEx>
        <w:trPr>
          <w:trHeight w:val="300" w:hRule="atLeast"/>
          <w:jc w:val="center"/>
        </w:trPr>
        <w:tc>
          <w:tcPr>
            <w:tcW w:w="15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兴隆台区</w:t>
            </w:r>
          </w:p>
        </w:tc>
        <w:tc>
          <w:tcPr>
            <w:tcW w:w="1110"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16,776 </w:t>
            </w:r>
          </w:p>
        </w:tc>
        <w:tc>
          <w:tcPr>
            <w:tcW w:w="990"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709 </w:t>
            </w:r>
          </w:p>
        </w:tc>
        <w:tc>
          <w:tcPr>
            <w:tcW w:w="1125"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16,067 </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2,266.1 </w:t>
            </w:r>
          </w:p>
        </w:tc>
      </w:tr>
      <w:tr>
        <w:tblPrEx>
          <w:tblCellMar>
            <w:top w:w="0" w:type="dxa"/>
            <w:left w:w="108" w:type="dxa"/>
            <w:bottom w:w="0" w:type="dxa"/>
            <w:right w:w="108" w:type="dxa"/>
          </w:tblCellMar>
        </w:tblPrEx>
        <w:trPr>
          <w:trHeight w:val="300" w:hRule="atLeast"/>
          <w:jc w:val="center"/>
        </w:trPr>
        <w:tc>
          <w:tcPr>
            <w:tcW w:w="15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大洼区</w:t>
            </w:r>
          </w:p>
        </w:tc>
        <w:tc>
          <w:tcPr>
            <w:tcW w:w="1110"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3,119 </w:t>
            </w:r>
          </w:p>
        </w:tc>
        <w:tc>
          <w:tcPr>
            <w:tcW w:w="990"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3,122 </w:t>
            </w:r>
          </w:p>
        </w:tc>
        <w:tc>
          <w:tcPr>
            <w:tcW w:w="1125"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-3 </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-0.1 </w:t>
            </w:r>
          </w:p>
        </w:tc>
      </w:tr>
      <w:tr>
        <w:tblPrEx>
          <w:tblCellMar>
            <w:top w:w="0" w:type="dxa"/>
            <w:left w:w="108" w:type="dxa"/>
            <w:bottom w:w="0" w:type="dxa"/>
            <w:right w:w="108" w:type="dxa"/>
          </w:tblCellMar>
        </w:tblPrEx>
        <w:trPr>
          <w:trHeight w:val="270" w:hRule="atLeast"/>
          <w:jc w:val="center"/>
        </w:trPr>
        <w:tc>
          <w:tcPr>
            <w:tcW w:w="15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辽滨经开区</w:t>
            </w:r>
          </w:p>
        </w:tc>
        <w:tc>
          <w:tcPr>
            <w:tcW w:w="1110"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2,546 </w:t>
            </w:r>
          </w:p>
        </w:tc>
        <w:tc>
          <w:tcPr>
            <w:tcW w:w="990"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1,890 </w:t>
            </w:r>
          </w:p>
        </w:tc>
        <w:tc>
          <w:tcPr>
            <w:tcW w:w="1125"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656 </w:t>
            </w:r>
          </w:p>
        </w:tc>
        <w:tc>
          <w:tcPr>
            <w:tcW w:w="966" w:type="dxa"/>
            <w:tcBorders>
              <w:top w:val="nil"/>
              <w:left w:val="nil"/>
              <w:bottom w:val="single" w:color="auto" w:sz="4" w:space="0"/>
              <w:right w:val="single" w:color="auto" w:sz="4" w:space="0"/>
            </w:tcBorders>
            <w:shd w:val="clear" w:color="auto" w:fill="auto"/>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34.7 </w:t>
            </w:r>
          </w:p>
        </w:tc>
      </w:tr>
    </w:tbl>
    <w:p>
      <w:pPr>
        <w:snapToGrid w:val="0"/>
        <w:ind w:firstLine="643" w:firstLineChars="200"/>
        <w:rPr>
          <w:rFonts w:cs="宋体" w:asciiTheme="majorEastAsia" w:hAnsiTheme="majorEastAsia" w:eastAsiaTheme="majorEastAsia"/>
          <w:b/>
          <w:bCs/>
          <w:kern w:val="0"/>
          <w:sz w:val="32"/>
          <w:szCs w:val="32"/>
        </w:rPr>
      </w:pPr>
    </w:p>
    <w:p>
      <w:pPr>
        <w:pStyle w:val="2"/>
        <w:spacing w:line="300" w:lineRule="exact"/>
        <w:jc w:val="center"/>
        <w:rPr>
          <w:rFonts w:ascii="仿宋" w:hAnsi="仿宋" w:eastAsia="仿宋"/>
          <w:sz w:val="28"/>
          <w:szCs w:val="28"/>
        </w:rPr>
      </w:pPr>
    </w:p>
    <w:p>
      <w:pPr>
        <w:pStyle w:val="2"/>
        <w:spacing w:line="300" w:lineRule="exact"/>
        <w:jc w:val="center"/>
        <w:rPr>
          <w:rFonts w:ascii="仿宋" w:hAnsi="仿宋" w:eastAsia="仿宋"/>
          <w:sz w:val="28"/>
          <w:szCs w:val="28"/>
        </w:rPr>
      </w:pPr>
      <w:r>
        <w:rPr>
          <w:rFonts w:hint="eastAsia" w:ascii="仿宋" w:hAnsi="仿宋" w:eastAsia="仿宋"/>
          <w:sz w:val="28"/>
          <w:szCs w:val="28"/>
        </w:rPr>
        <w:t>2024年1-7月份全市政府性基金预算收入构成情况</w:t>
      </w:r>
    </w:p>
    <w:p>
      <w:pPr>
        <w:pStyle w:val="2"/>
        <w:spacing w:line="300" w:lineRule="exact"/>
        <w:jc w:val="center"/>
        <w:rPr>
          <w:rFonts w:ascii="仿宋" w:hAnsi="仿宋" w:eastAsia="仿宋"/>
          <w:sz w:val="28"/>
          <w:szCs w:val="28"/>
        </w:rPr>
      </w:pPr>
    </w:p>
    <w:p>
      <w:pPr>
        <w:snapToGrid w:val="0"/>
        <w:ind w:firstLine="643" w:firstLineChars="200"/>
        <w:rPr>
          <w:rFonts w:cs="宋体" w:asciiTheme="majorEastAsia" w:hAnsiTheme="majorEastAsia" w:eastAsiaTheme="majorEastAsia"/>
          <w:b/>
          <w:bCs/>
          <w:kern w:val="0"/>
          <w:sz w:val="32"/>
          <w:szCs w:val="32"/>
        </w:rPr>
      </w:pPr>
      <w:r>
        <w:rPr>
          <w:rFonts w:cs="宋体" w:asciiTheme="majorEastAsia" w:hAnsiTheme="majorEastAsia" w:eastAsiaTheme="majorEastAsia"/>
          <w:b/>
          <w:bCs/>
          <w:kern w:val="0"/>
          <w:sz w:val="32"/>
          <w:szCs w:val="32"/>
        </w:rPr>
        <w:drawing>
          <wp:inline distT="0" distB="0" distL="0" distR="0">
            <wp:extent cx="4572000" cy="2743200"/>
            <wp:effectExtent l="19050" t="0" r="19050" b="0"/>
            <wp:docPr id="1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napToGrid w:val="0"/>
        <w:ind w:firstLine="643" w:firstLineChars="200"/>
        <w:rPr>
          <w:rFonts w:cs="宋体" w:asciiTheme="majorEastAsia" w:hAnsiTheme="majorEastAsia" w:eastAsiaTheme="majorEastAsia"/>
          <w:b/>
          <w:bCs/>
          <w:kern w:val="0"/>
          <w:sz w:val="32"/>
          <w:szCs w:val="32"/>
        </w:rPr>
      </w:pPr>
    </w:p>
    <w:p>
      <w:pPr>
        <w:snapToGrid w:val="0"/>
        <w:ind w:firstLine="643" w:firstLineChars="200"/>
        <w:rPr>
          <w:rFonts w:cs="宋体" w:asciiTheme="majorEastAsia" w:hAnsiTheme="majorEastAsia" w:eastAsiaTheme="majorEastAsia"/>
          <w:b/>
          <w:bCs/>
          <w:kern w:val="0"/>
          <w:sz w:val="32"/>
          <w:szCs w:val="32"/>
        </w:rPr>
      </w:pPr>
      <w:r>
        <w:rPr>
          <w:rFonts w:hint="eastAsia" w:cs="宋体" w:asciiTheme="majorEastAsia" w:hAnsiTheme="majorEastAsia" w:eastAsiaTheme="majorEastAsia"/>
          <w:b/>
          <w:bCs/>
          <w:kern w:val="0"/>
          <w:sz w:val="32"/>
          <w:szCs w:val="32"/>
        </w:rPr>
        <w:t>（三）国有资本经营预算收入</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2024年1-7月份，全市国有资本经营预算收入0.3亿元，同比减少2.7亿元，下降90.9%。主要是盘山县同期农村供水保障特许经营项目收入垫高基数2.7亿元。</w:t>
      </w:r>
    </w:p>
    <w:p>
      <w:pPr>
        <w:snapToGrid w:val="0"/>
        <w:ind w:firstLine="640" w:firstLineChars="200"/>
        <w:rPr>
          <w:rFonts w:ascii="黑体" w:hAnsi="黑体" w:eastAsia="黑体" w:cs="宋体"/>
          <w:bCs/>
          <w:kern w:val="0"/>
          <w:sz w:val="32"/>
          <w:szCs w:val="32"/>
        </w:rPr>
      </w:pPr>
    </w:p>
    <w:p>
      <w:pPr>
        <w:pStyle w:val="2"/>
        <w:spacing w:line="300" w:lineRule="exact"/>
        <w:jc w:val="center"/>
        <w:rPr>
          <w:rFonts w:ascii="仿宋" w:hAnsi="仿宋" w:eastAsia="仿宋"/>
          <w:sz w:val="28"/>
          <w:szCs w:val="28"/>
        </w:rPr>
      </w:pPr>
      <w:r>
        <w:rPr>
          <w:rFonts w:hint="eastAsia" w:ascii="仿宋" w:hAnsi="仿宋" w:eastAsia="仿宋"/>
          <w:sz w:val="28"/>
          <w:szCs w:val="28"/>
        </w:rPr>
        <w:t>2024年1-7月份全市国有资本经营预算收入完成情况</w:t>
      </w:r>
    </w:p>
    <w:p>
      <w:pPr>
        <w:pStyle w:val="2"/>
        <w:spacing w:line="300" w:lineRule="exact"/>
        <w:jc w:val="center"/>
        <w:rPr>
          <w:rFonts w:ascii="仿宋" w:hAnsi="仿宋" w:eastAsia="仿宋"/>
          <w:sz w:val="28"/>
          <w:szCs w:val="28"/>
        </w:rPr>
      </w:pPr>
      <w:r>
        <w:rPr>
          <w:rFonts w:hint="eastAsia" w:ascii="仿宋" w:hAnsi="仿宋" w:eastAsia="仿宋"/>
          <w:sz w:val="28"/>
          <w:szCs w:val="28"/>
        </w:rPr>
        <w:t>单位：万元</w:t>
      </w:r>
    </w:p>
    <w:p>
      <w:pPr>
        <w:pStyle w:val="2"/>
        <w:spacing w:line="300" w:lineRule="exact"/>
        <w:jc w:val="center"/>
        <w:rPr>
          <w:rFonts w:ascii="仿宋" w:hAnsi="仿宋" w:eastAsia="仿宋"/>
          <w:sz w:val="28"/>
          <w:szCs w:val="28"/>
        </w:rPr>
      </w:pPr>
    </w:p>
    <w:tbl>
      <w:tblPr>
        <w:tblStyle w:val="9"/>
        <w:tblW w:w="6110" w:type="dxa"/>
        <w:jc w:val="center"/>
        <w:tblLayout w:type="fixed"/>
        <w:tblCellMar>
          <w:top w:w="0" w:type="dxa"/>
          <w:left w:w="108" w:type="dxa"/>
          <w:bottom w:w="0" w:type="dxa"/>
          <w:right w:w="108" w:type="dxa"/>
        </w:tblCellMar>
      </w:tblPr>
      <w:tblGrid>
        <w:gridCol w:w="1553"/>
        <w:gridCol w:w="1185"/>
        <w:gridCol w:w="1215"/>
        <w:gridCol w:w="1186"/>
        <w:gridCol w:w="971"/>
      </w:tblGrid>
      <w:tr>
        <w:tblPrEx>
          <w:tblCellMar>
            <w:top w:w="0" w:type="dxa"/>
            <w:left w:w="108" w:type="dxa"/>
            <w:bottom w:w="0" w:type="dxa"/>
            <w:right w:w="108" w:type="dxa"/>
          </w:tblCellMar>
        </w:tblPrEx>
        <w:trPr>
          <w:trHeight w:val="300" w:hRule="atLeast"/>
          <w:jc w:val="center"/>
        </w:trPr>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分地区</w:t>
            </w:r>
          </w:p>
        </w:tc>
        <w:tc>
          <w:tcPr>
            <w:tcW w:w="11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  期</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同  期</w:t>
            </w:r>
          </w:p>
        </w:tc>
        <w:tc>
          <w:tcPr>
            <w:tcW w:w="11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增减额</w:t>
            </w:r>
          </w:p>
        </w:tc>
        <w:tc>
          <w:tcPr>
            <w:tcW w:w="97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增减%</w:t>
            </w:r>
          </w:p>
        </w:tc>
      </w:tr>
      <w:tr>
        <w:tblPrEx>
          <w:tblCellMar>
            <w:top w:w="0" w:type="dxa"/>
            <w:left w:w="108" w:type="dxa"/>
            <w:bottom w:w="0" w:type="dxa"/>
            <w:right w:w="108" w:type="dxa"/>
          </w:tblCellMar>
        </w:tblPrEx>
        <w:trPr>
          <w:trHeight w:val="300" w:hRule="atLeast"/>
          <w:jc w:val="center"/>
        </w:trPr>
        <w:tc>
          <w:tcPr>
            <w:tcW w:w="155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全市合计</w:t>
            </w:r>
          </w:p>
        </w:tc>
        <w:tc>
          <w:tcPr>
            <w:tcW w:w="1185" w:type="dxa"/>
            <w:tcBorders>
              <w:top w:val="nil"/>
              <w:left w:val="nil"/>
              <w:bottom w:val="single" w:color="auto" w:sz="4" w:space="0"/>
              <w:right w:val="single" w:color="auto" w:sz="4" w:space="0"/>
            </w:tcBorders>
            <w:shd w:val="clear" w:color="auto" w:fill="auto"/>
            <w:noWrap/>
            <w:vAlign w:val="center"/>
          </w:tcPr>
          <w:p>
            <w:pPr>
              <w:jc w:val="right"/>
              <w:rPr>
                <w:rFonts w:cs="Arial" w:asciiTheme="majorEastAsia" w:hAnsiTheme="majorEastAsia" w:eastAsiaTheme="majorEastAsia"/>
                <w:bCs/>
                <w:sz w:val="18"/>
                <w:szCs w:val="18"/>
              </w:rPr>
            </w:pPr>
            <w:r>
              <w:rPr>
                <w:rFonts w:cs="Arial" w:asciiTheme="majorEastAsia" w:hAnsiTheme="majorEastAsia" w:eastAsiaTheme="majorEastAsia"/>
                <w:bCs/>
                <w:sz w:val="18"/>
                <w:szCs w:val="18"/>
              </w:rPr>
              <w:t xml:space="preserve">2,745 </w:t>
            </w:r>
          </w:p>
        </w:tc>
        <w:tc>
          <w:tcPr>
            <w:tcW w:w="1215" w:type="dxa"/>
            <w:tcBorders>
              <w:top w:val="nil"/>
              <w:left w:val="nil"/>
              <w:bottom w:val="single" w:color="auto" w:sz="4" w:space="0"/>
              <w:right w:val="single" w:color="auto" w:sz="4" w:space="0"/>
            </w:tcBorders>
            <w:shd w:val="clear" w:color="auto" w:fill="auto"/>
            <w:noWrap/>
            <w:vAlign w:val="center"/>
          </w:tcPr>
          <w:p>
            <w:pPr>
              <w:jc w:val="right"/>
              <w:rPr>
                <w:rFonts w:cs="Arial" w:asciiTheme="majorEastAsia" w:hAnsiTheme="majorEastAsia" w:eastAsiaTheme="majorEastAsia"/>
                <w:bCs/>
                <w:sz w:val="18"/>
                <w:szCs w:val="18"/>
              </w:rPr>
            </w:pPr>
            <w:r>
              <w:rPr>
                <w:rFonts w:cs="Arial" w:asciiTheme="majorEastAsia" w:hAnsiTheme="majorEastAsia" w:eastAsiaTheme="majorEastAsia"/>
                <w:bCs/>
                <w:sz w:val="18"/>
                <w:szCs w:val="18"/>
              </w:rPr>
              <w:t xml:space="preserve">30,138 </w:t>
            </w:r>
          </w:p>
        </w:tc>
        <w:tc>
          <w:tcPr>
            <w:tcW w:w="1186" w:type="dxa"/>
            <w:tcBorders>
              <w:top w:val="nil"/>
              <w:left w:val="nil"/>
              <w:bottom w:val="single" w:color="auto" w:sz="4" w:space="0"/>
              <w:right w:val="single" w:color="auto" w:sz="4" w:space="0"/>
            </w:tcBorders>
            <w:shd w:val="clear" w:color="auto" w:fill="auto"/>
            <w:noWrap/>
            <w:vAlign w:val="center"/>
          </w:tcPr>
          <w:p>
            <w:pPr>
              <w:jc w:val="right"/>
              <w:rPr>
                <w:rFonts w:cs="Arial" w:asciiTheme="majorEastAsia" w:hAnsiTheme="majorEastAsia" w:eastAsiaTheme="majorEastAsia"/>
                <w:bCs/>
                <w:sz w:val="18"/>
                <w:szCs w:val="18"/>
              </w:rPr>
            </w:pPr>
            <w:r>
              <w:rPr>
                <w:rFonts w:cs="Arial" w:asciiTheme="majorEastAsia" w:hAnsiTheme="majorEastAsia" w:eastAsiaTheme="majorEastAsia"/>
                <w:bCs/>
                <w:sz w:val="18"/>
                <w:szCs w:val="18"/>
              </w:rPr>
              <w:t xml:space="preserve">-27,393 </w:t>
            </w:r>
          </w:p>
        </w:tc>
        <w:tc>
          <w:tcPr>
            <w:tcW w:w="971" w:type="dxa"/>
            <w:tcBorders>
              <w:top w:val="nil"/>
              <w:left w:val="nil"/>
              <w:bottom w:val="single" w:color="auto" w:sz="4" w:space="0"/>
              <w:right w:val="single" w:color="auto" w:sz="4" w:space="0"/>
            </w:tcBorders>
            <w:shd w:val="clear" w:color="auto" w:fill="auto"/>
            <w:noWrap/>
            <w:vAlign w:val="center"/>
          </w:tcPr>
          <w:p>
            <w:pPr>
              <w:jc w:val="right"/>
              <w:rPr>
                <w:rFonts w:cs="Arial" w:asciiTheme="majorEastAsia" w:hAnsiTheme="majorEastAsia" w:eastAsiaTheme="majorEastAsia"/>
                <w:bCs/>
                <w:sz w:val="18"/>
                <w:szCs w:val="18"/>
              </w:rPr>
            </w:pPr>
            <w:r>
              <w:rPr>
                <w:rFonts w:cs="Arial" w:asciiTheme="majorEastAsia" w:hAnsiTheme="majorEastAsia" w:eastAsiaTheme="majorEastAsia"/>
                <w:bCs/>
                <w:sz w:val="18"/>
                <w:szCs w:val="18"/>
              </w:rPr>
              <w:t xml:space="preserve">-90.9 </w:t>
            </w:r>
          </w:p>
        </w:tc>
      </w:tr>
      <w:tr>
        <w:tblPrEx>
          <w:tblCellMar>
            <w:top w:w="0" w:type="dxa"/>
            <w:left w:w="108" w:type="dxa"/>
            <w:bottom w:w="0" w:type="dxa"/>
            <w:right w:w="108" w:type="dxa"/>
          </w:tblCellMar>
        </w:tblPrEx>
        <w:trPr>
          <w:trHeight w:val="300" w:hRule="atLeast"/>
          <w:jc w:val="center"/>
        </w:trPr>
        <w:tc>
          <w:tcPr>
            <w:tcW w:w="15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市本级</w:t>
            </w:r>
          </w:p>
        </w:tc>
        <w:tc>
          <w:tcPr>
            <w:tcW w:w="1185" w:type="dxa"/>
            <w:tcBorders>
              <w:top w:val="nil"/>
              <w:left w:val="nil"/>
              <w:bottom w:val="single" w:color="auto" w:sz="4" w:space="0"/>
              <w:right w:val="single" w:color="auto" w:sz="4" w:space="0"/>
            </w:tcBorders>
            <w:shd w:val="clear" w:color="auto" w:fill="auto"/>
            <w:noWrap/>
            <w:vAlign w:val="center"/>
          </w:tcPr>
          <w:p>
            <w:pPr>
              <w:ind w:right="90"/>
              <w:jc w:val="right"/>
              <w:rPr>
                <w:rFonts w:cs="Arial" w:asciiTheme="majorEastAsia" w:hAnsiTheme="majorEastAsia" w:eastAsiaTheme="majorEastAsia"/>
                <w:sz w:val="18"/>
                <w:szCs w:val="18"/>
              </w:rPr>
            </w:pPr>
            <w:r>
              <w:rPr>
                <w:rFonts w:hint="eastAsia" w:cs="Arial" w:asciiTheme="majorEastAsia" w:hAnsiTheme="majorEastAsia" w:eastAsiaTheme="majorEastAsia"/>
                <w:sz w:val="18"/>
                <w:szCs w:val="18"/>
              </w:rPr>
              <w:t xml:space="preserve">  </w:t>
            </w:r>
            <w:r>
              <w:rPr>
                <w:rFonts w:cs="Arial" w:asciiTheme="majorEastAsia" w:hAnsiTheme="majorEastAsia" w:eastAsiaTheme="majorEastAsia"/>
                <w:sz w:val="18"/>
                <w:szCs w:val="18"/>
              </w:rPr>
              <w:t xml:space="preserve">223 </w:t>
            </w:r>
          </w:p>
        </w:tc>
        <w:tc>
          <w:tcPr>
            <w:tcW w:w="1215" w:type="dxa"/>
            <w:tcBorders>
              <w:top w:val="nil"/>
              <w:left w:val="nil"/>
              <w:bottom w:val="single" w:color="auto" w:sz="4" w:space="0"/>
              <w:right w:val="single" w:color="auto" w:sz="4" w:space="0"/>
            </w:tcBorders>
            <w:shd w:val="clear" w:color="auto" w:fill="auto"/>
            <w:noWrap/>
            <w:vAlign w:val="center"/>
          </w:tcPr>
          <w:p>
            <w:pPr>
              <w:jc w:val="right"/>
              <w:rPr>
                <w:rFonts w:cs="Arial" w:asciiTheme="majorEastAsia" w:hAnsiTheme="majorEastAsia" w:eastAsiaTheme="majorEastAsia"/>
                <w:sz w:val="18"/>
                <w:szCs w:val="18"/>
              </w:rPr>
            </w:pPr>
            <w:r>
              <w:rPr>
                <w:rFonts w:cs="Arial" w:asciiTheme="majorEastAsia" w:hAnsiTheme="majorEastAsia" w:eastAsiaTheme="majorEastAsia"/>
                <w:sz w:val="18"/>
                <w:szCs w:val="18"/>
              </w:rPr>
              <w:t xml:space="preserve">213 </w:t>
            </w:r>
          </w:p>
        </w:tc>
        <w:tc>
          <w:tcPr>
            <w:tcW w:w="1186" w:type="dxa"/>
            <w:tcBorders>
              <w:top w:val="nil"/>
              <w:left w:val="nil"/>
              <w:bottom w:val="single" w:color="auto" w:sz="4" w:space="0"/>
              <w:right w:val="single" w:color="auto" w:sz="4" w:space="0"/>
            </w:tcBorders>
            <w:shd w:val="clear" w:color="auto" w:fill="auto"/>
            <w:noWrap/>
            <w:vAlign w:val="center"/>
          </w:tcPr>
          <w:p>
            <w:pPr>
              <w:jc w:val="right"/>
              <w:rPr>
                <w:rFonts w:cs="Arial" w:asciiTheme="majorEastAsia" w:hAnsiTheme="majorEastAsia" w:eastAsiaTheme="majorEastAsia"/>
                <w:sz w:val="18"/>
                <w:szCs w:val="18"/>
              </w:rPr>
            </w:pPr>
            <w:r>
              <w:rPr>
                <w:rFonts w:cs="Arial" w:asciiTheme="majorEastAsia" w:hAnsiTheme="majorEastAsia" w:eastAsiaTheme="majorEastAsia"/>
                <w:sz w:val="18"/>
                <w:szCs w:val="18"/>
              </w:rPr>
              <w:t xml:space="preserve">10 </w:t>
            </w:r>
          </w:p>
        </w:tc>
        <w:tc>
          <w:tcPr>
            <w:tcW w:w="971" w:type="dxa"/>
            <w:tcBorders>
              <w:top w:val="nil"/>
              <w:left w:val="nil"/>
              <w:bottom w:val="single" w:color="auto" w:sz="4" w:space="0"/>
              <w:right w:val="single" w:color="auto" w:sz="4" w:space="0"/>
            </w:tcBorders>
            <w:shd w:val="clear" w:color="auto" w:fill="auto"/>
            <w:noWrap/>
            <w:vAlign w:val="center"/>
          </w:tcPr>
          <w:p>
            <w:pPr>
              <w:jc w:val="right"/>
              <w:rPr>
                <w:rFonts w:cs="Arial" w:asciiTheme="majorEastAsia" w:hAnsiTheme="majorEastAsia" w:eastAsiaTheme="majorEastAsia"/>
                <w:sz w:val="18"/>
                <w:szCs w:val="18"/>
              </w:rPr>
            </w:pPr>
            <w:r>
              <w:rPr>
                <w:rFonts w:cs="Arial" w:asciiTheme="majorEastAsia" w:hAnsiTheme="majorEastAsia" w:eastAsiaTheme="majorEastAsia"/>
                <w:sz w:val="18"/>
                <w:szCs w:val="18"/>
              </w:rPr>
              <w:t xml:space="preserve">4.7 </w:t>
            </w:r>
          </w:p>
        </w:tc>
      </w:tr>
      <w:tr>
        <w:tblPrEx>
          <w:tblCellMar>
            <w:top w:w="0" w:type="dxa"/>
            <w:left w:w="108" w:type="dxa"/>
            <w:bottom w:w="0" w:type="dxa"/>
            <w:right w:w="108" w:type="dxa"/>
          </w:tblCellMar>
        </w:tblPrEx>
        <w:trPr>
          <w:trHeight w:val="300" w:hRule="atLeast"/>
          <w:jc w:val="center"/>
        </w:trPr>
        <w:tc>
          <w:tcPr>
            <w:tcW w:w="15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县区小计</w:t>
            </w:r>
          </w:p>
        </w:tc>
        <w:tc>
          <w:tcPr>
            <w:tcW w:w="1185" w:type="dxa"/>
            <w:tcBorders>
              <w:top w:val="nil"/>
              <w:left w:val="nil"/>
              <w:bottom w:val="single" w:color="auto" w:sz="4" w:space="0"/>
              <w:right w:val="single" w:color="auto" w:sz="4" w:space="0"/>
            </w:tcBorders>
            <w:shd w:val="clear" w:color="auto" w:fill="auto"/>
            <w:noWrap/>
            <w:vAlign w:val="center"/>
          </w:tcPr>
          <w:p>
            <w:pPr>
              <w:jc w:val="right"/>
              <w:rPr>
                <w:rFonts w:cs="Arial" w:asciiTheme="majorEastAsia" w:hAnsiTheme="majorEastAsia" w:eastAsiaTheme="majorEastAsia"/>
                <w:bCs/>
                <w:sz w:val="18"/>
                <w:szCs w:val="18"/>
              </w:rPr>
            </w:pPr>
            <w:r>
              <w:rPr>
                <w:rFonts w:cs="Arial" w:asciiTheme="majorEastAsia" w:hAnsiTheme="majorEastAsia" w:eastAsiaTheme="majorEastAsia"/>
                <w:bCs/>
                <w:sz w:val="18"/>
                <w:szCs w:val="18"/>
              </w:rPr>
              <w:t xml:space="preserve">2,522 </w:t>
            </w:r>
          </w:p>
        </w:tc>
        <w:tc>
          <w:tcPr>
            <w:tcW w:w="1215" w:type="dxa"/>
            <w:tcBorders>
              <w:top w:val="nil"/>
              <w:left w:val="nil"/>
              <w:bottom w:val="single" w:color="auto" w:sz="4" w:space="0"/>
              <w:right w:val="single" w:color="auto" w:sz="4" w:space="0"/>
            </w:tcBorders>
            <w:shd w:val="clear" w:color="auto" w:fill="auto"/>
            <w:noWrap/>
            <w:vAlign w:val="center"/>
          </w:tcPr>
          <w:p>
            <w:pPr>
              <w:jc w:val="right"/>
              <w:rPr>
                <w:rFonts w:cs="Arial" w:asciiTheme="majorEastAsia" w:hAnsiTheme="majorEastAsia" w:eastAsiaTheme="majorEastAsia"/>
                <w:bCs/>
                <w:sz w:val="18"/>
                <w:szCs w:val="18"/>
              </w:rPr>
            </w:pPr>
            <w:r>
              <w:rPr>
                <w:rFonts w:cs="Arial" w:asciiTheme="majorEastAsia" w:hAnsiTheme="majorEastAsia" w:eastAsiaTheme="majorEastAsia"/>
                <w:bCs/>
                <w:sz w:val="18"/>
                <w:szCs w:val="18"/>
              </w:rPr>
              <w:t xml:space="preserve">29,925 </w:t>
            </w:r>
          </w:p>
        </w:tc>
        <w:tc>
          <w:tcPr>
            <w:tcW w:w="1186" w:type="dxa"/>
            <w:tcBorders>
              <w:top w:val="nil"/>
              <w:left w:val="nil"/>
              <w:bottom w:val="single" w:color="auto" w:sz="4" w:space="0"/>
              <w:right w:val="single" w:color="auto" w:sz="4" w:space="0"/>
            </w:tcBorders>
            <w:shd w:val="clear" w:color="auto" w:fill="auto"/>
            <w:noWrap/>
            <w:vAlign w:val="center"/>
          </w:tcPr>
          <w:p>
            <w:pPr>
              <w:jc w:val="right"/>
              <w:rPr>
                <w:rFonts w:cs="Arial" w:asciiTheme="majorEastAsia" w:hAnsiTheme="majorEastAsia" w:eastAsiaTheme="majorEastAsia"/>
                <w:bCs/>
                <w:sz w:val="18"/>
                <w:szCs w:val="18"/>
              </w:rPr>
            </w:pPr>
            <w:r>
              <w:rPr>
                <w:rFonts w:cs="Arial" w:asciiTheme="majorEastAsia" w:hAnsiTheme="majorEastAsia" w:eastAsiaTheme="majorEastAsia"/>
                <w:bCs/>
                <w:sz w:val="18"/>
                <w:szCs w:val="18"/>
              </w:rPr>
              <w:t xml:space="preserve">-27,403 </w:t>
            </w:r>
          </w:p>
        </w:tc>
        <w:tc>
          <w:tcPr>
            <w:tcW w:w="971" w:type="dxa"/>
            <w:tcBorders>
              <w:top w:val="nil"/>
              <w:left w:val="nil"/>
              <w:bottom w:val="single" w:color="auto" w:sz="4" w:space="0"/>
              <w:right w:val="single" w:color="auto" w:sz="4" w:space="0"/>
            </w:tcBorders>
            <w:shd w:val="clear" w:color="auto" w:fill="auto"/>
            <w:noWrap/>
            <w:vAlign w:val="center"/>
          </w:tcPr>
          <w:p>
            <w:pPr>
              <w:jc w:val="right"/>
              <w:rPr>
                <w:rFonts w:cs="Arial" w:asciiTheme="majorEastAsia" w:hAnsiTheme="majorEastAsia" w:eastAsiaTheme="majorEastAsia"/>
                <w:bCs/>
                <w:sz w:val="18"/>
                <w:szCs w:val="18"/>
              </w:rPr>
            </w:pPr>
            <w:r>
              <w:rPr>
                <w:rFonts w:cs="Arial" w:asciiTheme="majorEastAsia" w:hAnsiTheme="majorEastAsia" w:eastAsiaTheme="majorEastAsia"/>
                <w:bCs/>
                <w:sz w:val="18"/>
                <w:szCs w:val="18"/>
              </w:rPr>
              <w:t xml:space="preserve">-91.6 </w:t>
            </w:r>
          </w:p>
        </w:tc>
      </w:tr>
      <w:tr>
        <w:tblPrEx>
          <w:tblCellMar>
            <w:top w:w="0" w:type="dxa"/>
            <w:left w:w="108" w:type="dxa"/>
            <w:bottom w:w="0" w:type="dxa"/>
            <w:right w:w="108" w:type="dxa"/>
          </w:tblCellMar>
        </w:tblPrEx>
        <w:trPr>
          <w:trHeight w:val="300" w:hRule="atLeast"/>
          <w:jc w:val="center"/>
        </w:trPr>
        <w:tc>
          <w:tcPr>
            <w:tcW w:w="15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盘山县</w:t>
            </w:r>
          </w:p>
        </w:tc>
        <w:tc>
          <w:tcPr>
            <w:tcW w:w="1185" w:type="dxa"/>
            <w:tcBorders>
              <w:top w:val="nil"/>
              <w:left w:val="nil"/>
              <w:bottom w:val="single" w:color="auto" w:sz="4" w:space="0"/>
              <w:right w:val="single" w:color="auto" w:sz="4" w:space="0"/>
            </w:tcBorders>
            <w:shd w:val="clear" w:color="auto" w:fill="auto"/>
            <w:noWrap/>
            <w:vAlign w:val="center"/>
          </w:tcPr>
          <w:p>
            <w:pPr>
              <w:jc w:val="right"/>
              <w:rPr>
                <w:rFonts w:cs="Arial" w:asciiTheme="majorEastAsia" w:hAnsiTheme="majorEastAsia" w:eastAsiaTheme="majorEastAsia"/>
                <w:sz w:val="18"/>
                <w:szCs w:val="18"/>
              </w:rPr>
            </w:pPr>
            <w:r>
              <w:rPr>
                <w:rFonts w:cs="Arial" w:asciiTheme="majorEastAsia" w:hAnsiTheme="majorEastAsia" w:eastAsiaTheme="majorEastAsia"/>
                <w:sz w:val="18"/>
                <w:szCs w:val="18"/>
              </w:rPr>
              <w:t xml:space="preserve">14 </w:t>
            </w:r>
          </w:p>
        </w:tc>
        <w:tc>
          <w:tcPr>
            <w:tcW w:w="1215" w:type="dxa"/>
            <w:tcBorders>
              <w:top w:val="nil"/>
              <w:left w:val="nil"/>
              <w:bottom w:val="single" w:color="auto" w:sz="4" w:space="0"/>
              <w:right w:val="single" w:color="auto" w:sz="4" w:space="0"/>
            </w:tcBorders>
            <w:shd w:val="clear" w:color="auto" w:fill="auto"/>
            <w:noWrap/>
            <w:vAlign w:val="center"/>
          </w:tcPr>
          <w:p>
            <w:pPr>
              <w:jc w:val="right"/>
              <w:rPr>
                <w:rFonts w:cs="Arial" w:asciiTheme="majorEastAsia" w:hAnsiTheme="majorEastAsia" w:eastAsiaTheme="majorEastAsia"/>
                <w:sz w:val="18"/>
                <w:szCs w:val="18"/>
              </w:rPr>
            </w:pPr>
            <w:r>
              <w:rPr>
                <w:rFonts w:cs="Arial" w:asciiTheme="majorEastAsia" w:hAnsiTheme="majorEastAsia" w:eastAsiaTheme="majorEastAsia"/>
                <w:sz w:val="18"/>
                <w:szCs w:val="18"/>
              </w:rPr>
              <w:t xml:space="preserve">27,240 </w:t>
            </w:r>
          </w:p>
        </w:tc>
        <w:tc>
          <w:tcPr>
            <w:tcW w:w="1186" w:type="dxa"/>
            <w:tcBorders>
              <w:top w:val="nil"/>
              <w:left w:val="nil"/>
              <w:bottom w:val="single" w:color="auto" w:sz="4" w:space="0"/>
              <w:right w:val="single" w:color="auto" w:sz="4" w:space="0"/>
            </w:tcBorders>
            <w:shd w:val="clear" w:color="auto" w:fill="auto"/>
            <w:noWrap/>
            <w:vAlign w:val="center"/>
          </w:tcPr>
          <w:p>
            <w:pPr>
              <w:jc w:val="right"/>
              <w:rPr>
                <w:rFonts w:cs="Arial" w:asciiTheme="majorEastAsia" w:hAnsiTheme="majorEastAsia" w:eastAsiaTheme="majorEastAsia"/>
                <w:sz w:val="18"/>
                <w:szCs w:val="18"/>
              </w:rPr>
            </w:pPr>
            <w:r>
              <w:rPr>
                <w:rFonts w:cs="Arial" w:asciiTheme="majorEastAsia" w:hAnsiTheme="majorEastAsia" w:eastAsiaTheme="majorEastAsia"/>
                <w:sz w:val="18"/>
                <w:szCs w:val="18"/>
              </w:rPr>
              <w:t xml:space="preserve">-27,226 </w:t>
            </w:r>
          </w:p>
        </w:tc>
        <w:tc>
          <w:tcPr>
            <w:tcW w:w="971" w:type="dxa"/>
            <w:tcBorders>
              <w:top w:val="nil"/>
              <w:left w:val="nil"/>
              <w:bottom w:val="single" w:color="auto" w:sz="4" w:space="0"/>
              <w:right w:val="single" w:color="auto" w:sz="4" w:space="0"/>
            </w:tcBorders>
            <w:shd w:val="clear" w:color="auto" w:fill="auto"/>
            <w:noWrap/>
            <w:vAlign w:val="center"/>
          </w:tcPr>
          <w:p>
            <w:pPr>
              <w:jc w:val="right"/>
              <w:rPr>
                <w:rFonts w:cs="Arial" w:asciiTheme="majorEastAsia" w:hAnsiTheme="majorEastAsia" w:eastAsiaTheme="majorEastAsia"/>
                <w:sz w:val="18"/>
                <w:szCs w:val="18"/>
              </w:rPr>
            </w:pPr>
            <w:r>
              <w:rPr>
                <w:rFonts w:cs="Arial" w:asciiTheme="majorEastAsia" w:hAnsiTheme="majorEastAsia" w:eastAsiaTheme="majorEastAsia"/>
                <w:sz w:val="18"/>
                <w:szCs w:val="18"/>
              </w:rPr>
              <w:t xml:space="preserve">-99.9 </w:t>
            </w:r>
          </w:p>
        </w:tc>
      </w:tr>
      <w:tr>
        <w:tblPrEx>
          <w:tblCellMar>
            <w:top w:w="0" w:type="dxa"/>
            <w:left w:w="108" w:type="dxa"/>
            <w:bottom w:w="0" w:type="dxa"/>
            <w:right w:w="108" w:type="dxa"/>
          </w:tblCellMar>
        </w:tblPrEx>
        <w:trPr>
          <w:trHeight w:val="300" w:hRule="atLeast"/>
          <w:jc w:val="center"/>
        </w:trPr>
        <w:tc>
          <w:tcPr>
            <w:tcW w:w="15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双台子区</w:t>
            </w:r>
          </w:p>
        </w:tc>
        <w:tc>
          <w:tcPr>
            <w:tcW w:w="1185" w:type="dxa"/>
            <w:tcBorders>
              <w:top w:val="nil"/>
              <w:left w:val="nil"/>
              <w:bottom w:val="single" w:color="auto" w:sz="4" w:space="0"/>
              <w:right w:val="single" w:color="auto" w:sz="4" w:space="0"/>
            </w:tcBorders>
            <w:shd w:val="clear" w:color="auto" w:fill="auto"/>
            <w:noWrap/>
            <w:vAlign w:val="center"/>
          </w:tcPr>
          <w:p>
            <w:pPr>
              <w:jc w:val="right"/>
              <w:rPr>
                <w:rFonts w:cs="Arial" w:asciiTheme="majorEastAsia" w:hAnsiTheme="majorEastAsia" w:eastAsiaTheme="majorEastAsia"/>
                <w:sz w:val="18"/>
                <w:szCs w:val="18"/>
              </w:rPr>
            </w:pPr>
            <w:r>
              <w:rPr>
                <w:rFonts w:cs="Arial" w:asciiTheme="majorEastAsia" w:hAnsiTheme="majorEastAsia" w:eastAsiaTheme="majorEastAsia"/>
                <w:sz w:val="18"/>
                <w:szCs w:val="18"/>
              </w:rPr>
              <w:t xml:space="preserve">- </w:t>
            </w:r>
          </w:p>
        </w:tc>
        <w:tc>
          <w:tcPr>
            <w:tcW w:w="1215" w:type="dxa"/>
            <w:tcBorders>
              <w:top w:val="nil"/>
              <w:left w:val="nil"/>
              <w:bottom w:val="single" w:color="auto" w:sz="4" w:space="0"/>
              <w:right w:val="single" w:color="auto" w:sz="4" w:space="0"/>
            </w:tcBorders>
            <w:shd w:val="clear" w:color="auto" w:fill="auto"/>
            <w:noWrap/>
            <w:vAlign w:val="center"/>
          </w:tcPr>
          <w:p>
            <w:pPr>
              <w:jc w:val="right"/>
              <w:rPr>
                <w:rFonts w:cs="Arial" w:asciiTheme="majorEastAsia" w:hAnsiTheme="majorEastAsia" w:eastAsiaTheme="majorEastAsia"/>
                <w:sz w:val="18"/>
                <w:szCs w:val="18"/>
              </w:rPr>
            </w:pPr>
            <w:r>
              <w:rPr>
                <w:rFonts w:cs="Arial" w:asciiTheme="majorEastAsia" w:hAnsiTheme="majorEastAsia" w:eastAsiaTheme="majorEastAsia"/>
                <w:sz w:val="18"/>
                <w:szCs w:val="18"/>
              </w:rPr>
              <w:t xml:space="preserve">- </w:t>
            </w:r>
          </w:p>
        </w:tc>
        <w:tc>
          <w:tcPr>
            <w:tcW w:w="1186" w:type="dxa"/>
            <w:tcBorders>
              <w:top w:val="nil"/>
              <w:left w:val="nil"/>
              <w:bottom w:val="single" w:color="auto" w:sz="4" w:space="0"/>
              <w:right w:val="single" w:color="auto" w:sz="4" w:space="0"/>
            </w:tcBorders>
            <w:shd w:val="clear" w:color="auto" w:fill="auto"/>
            <w:noWrap/>
            <w:vAlign w:val="center"/>
          </w:tcPr>
          <w:p>
            <w:pPr>
              <w:jc w:val="right"/>
              <w:rPr>
                <w:rFonts w:cs="Arial" w:asciiTheme="majorEastAsia" w:hAnsiTheme="majorEastAsia" w:eastAsiaTheme="majorEastAsia"/>
                <w:sz w:val="18"/>
                <w:szCs w:val="18"/>
              </w:rPr>
            </w:pPr>
            <w:r>
              <w:rPr>
                <w:rFonts w:cs="Arial" w:asciiTheme="majorEastAsia" w:hAnsiTheme="majorEastAsia" w:eastAsiaTheme="majorEastAsia"/>
                <w:sz w:val="18"/>
                <w:szCs w:val="18"/>
              </w:rPr>
              <w:t xml:space="preserve">- </w:t>
            </w:r>
          </w:p>
        </w:tc>
        <w:tc>
          <w:tcPr>
            <w:tcW w:w="971" w:type="dxa"/>
            <w:tcBorders>
              <w:top w:val="nil"/>
              <w:left w:val="nil"/>
              <w:bottom w:val="single" w:color="auto" w:sz="4" w:space="0"/>
              <w:right w:val="single" w:color="auto" w:sz="4" w:space="0"/>
            </w:tcBorders>
            <w:shd w:val="clear" w:color="auto" w:fill="auto"/>
            <w:noWrap/>
            <w:vAlign w:val="center"/>
          </w:tcPr>
          <w:p>
            <w:pPr>
              <w:jc w:val="right"/>
              <w:rPr>
                <w:rFonts w:cs="Arial" w:asciiTheme="majorEastAsia" w:hAnsiTheme="majorEastAsia" w:eastAsiaTheme="majorEastAsia"/>
                <w:sz w:val="18"/>
                <w:szCs w:val="18"/>
              </w:rPr>
            </w:pPr>
            <w:r>
              <w:rPr>
                <w:rFonts w:cs="Arial" w:asciiTheme="majorEastAsia" w:hAnsiTheme="majorEastAsia" w:eastAsiaTheme="majorEastAsia"/>
                <w:sz w:val="18"/>
                <w:szCs w:val="18"/>
              </w:rPr>
              <w:t xml:space="preserve">- </w:t>
            </w:r>
          </w:p>
        </w:tc>
      </w:tr>
      <w:tr>
        <w:tblPrEx>
          <w:tblCellMar>
            <w:top w:w="0" w:type="dxa"/>
            <w:left w:w="108" w:type="dxa"/>
            <w:bottom w:w="0" w:type="dxa"/>
            <w:right w:w="108" w:type="dxa"/>
          </w:tblCellMar>
        </w:tblPrEx>
        <w:trPr>
          <w:trHeight w:val="300" w:hRule="atLeast"/>
          <w:jc w:val="center"/>
        </w:trPr>
        <w:tc>
          <w:tcPr>
            <w:tcW w:w="15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兴隆台区</w:t>
            </w:r>
          </w:p>
        </w:tc>
        <w:tc>
          <w:tcPr>
            <w:tcW w:w="1185" w:type="dxa"/>
            <w:tcBorders>
              <w:top w:val="nil"/>
              <w:left w:val="nil"/>
              <w:bottom w:val="single" w:color="auto" w:sz="4" w:space="0"/>
              <w:right w:val="single" w:color="auto" w:sz="4" w:space="0"/>
            </w:tcBorders>
            <w:shd w:val="clear" w:color="auto" w:fill="auto"/>
            <w:noWrap/>
            <w:vAlign w:val="center"/>
          </w:tcPr>
          <w:p>
            <w:pPr>
              <w:jc w:val="right"/>
              <w:rPr>
                <w:rFonts w:cs="Arial" w:asciiTheme="majorEastAsia" w:hAnsiTheme="majorEastAsia" w:eastAsiaTheme="majorEastAsia"/>
                <w:sz w:val="18"/>
                <w:szCs w:val="18"/>
              </w:rPr>
            </w:pPr>
            <w:r>
              <w:rPr>
                <w:rFonts w:cs="Arial" w:asciiTheme="majorEastAsia" w:hAnsiTheme="majorEastAsia" w:eastAsiaTheme="majorEastAsia"/>
                <w:sz w:val="18"/>
                <w:szCs w:val="18"/>
              </w:rPr>
              <w:t xml:space="preserve">- </w:t>
            </w:r>
          </w:p>
        </w:tc>
        <w:tc>
          <w:tcPr>
            <w:tcW w:w="1215" w:type="dxa"/>
            <w:tcBorders>
              <w:top w:val="nil"/>
              <w:left w:val="nil"/>
              <w:bottom w:val="single" w:color="auto" w:sz="4" w:space="0"/>
              <w:right w:val="single" w:color="auto" w:sz="4" w:space="0"/>
            </w:tcBorders>
            <w:shd w:val="clear" w:color="auto" w:fill="auto"/>
            <w:noWrap/>
            <w:vAlign w:val="center"/>
          </w:tcPr>
          <w:p>
            <w:pPr>
              <w:jc w:val="right"/>
              <w:rPr>
                <w:rFonts w:cs="Arial" w:asciiTheme="majorEastAsia" w:hAnsiTheme="majorEastAsia" w:eastAsiaTheme="majorEastAsia"/>
                <w:sz w:val="18"/>
                <w:szCs w:val="18"/>
              </w:rPr>
            </w:pPr>
            <w:r>
              <w:rPr>
                <w:rFonts w:cs="Arial" w:asciiTheme="majorEastAsia" w:hAnsiTheme="majorEastAsia" w:eastAsiaTheme="majorEastAsia"/>
                <w:sz w:val="18"/>
                <w:szCs w:val="18"/>
              </w:rPr>
              <w:t xml:space="preserve">- </w:t>
            </w:r>
          </w:p>
        </w:tc>
        <w:tc>
          <w:tcPr>
            <w:tcW w:w="1186" w:type="dxa"/>
            <w:tcBorders>
              <w:top w:val="nil"/>
              <w:left w:val="nil"/>
              <w:bottom w:val="single" w:color="auto" w:sz="4" w:space="0"/>
              <w:right w:val="single" w:color="auto" w:sz="4" w:space="0"/>
            </w:tcBorders>
            <w:shd w:val="clear" w:color="auto" w:fill="auto"/>
            <w:noWrap/>
            <w:vAlign w:val="center"/>
          </w:tcPr>
          <w:p>
            <w:pPr>
              <w:jc w:val="right"/>
              <w:rPr>
                <w:rFonts w:cs="Arial" w:asciiTheme="majorEastAsia" w:hAnsiTheme="majorEastAsia" w:eastAsiaTheme="majorEastAsia"/>
                <w:sz w:val="18"/>
                <w:szCs w:val="18"/>
              </w:rPr>
            </w:pPr>
            <w:r>
              <w:rPr>
                <w:rFonts w:cs="Arial" w:asciiTheme="majorEastAsia" w:hAnsiTheme="majorEastAsia" w:eastAsiaTheme="majorEastAsia"/>
                <w:sz w:val="18"/>
                <w:szCs w:val="18"/>
              </w:rPr>
              <w:t xml:space="preserve">- </w:t>
            </w:r>
          </w:p>
        </w:tc>
        <w:tc>
          <w:tcPr>
            <w:tcW w:w="971" w:type="dxa"/>
            <w:tcBorders>
              <w:top w:val="nil"/>
              <w:left w:val="nil"/>
              <w:bottom w:val="single" w:color="auto" w:sz="4" w:space="0"/>
              <w:right w:val="single" w:color="auto" w:sz="4" w:space="0"/>
            </w:tcBorders>
            <w:shd w:val="clear" w:color="auto" w:fill="auto"/>
            <w:noWrap/>
            <w:vAlign w:val="center"/>
          </w:tcPr>
          <w:p>
            <w:pPr>
              <w:jc w:val="right"/>
              <w:rPr>
                <w:rFonts w:cs="Arial" w:asciiTheme="majorEastAsia" w:hAnsiTheme="majorEastAsia" w:eastAsiaTheme="majorEastAsia"/>
                <w:sz w:val="18"/>
                <w:szCs w:val="18"/>
              </w:rPr>
            </w:pPr>
            <w:r>
              <w:rPr>
                <w:rFonts w:cs="Arial" w:asciiTheme="majorEastAsia" w:hAnsiTheme="majorEastAsia" w:eastAsiaTheme="majorEastAsia"/>
                <w:sz w:val="18"/>
                <w:szCs w:val="18"/>
              </w:rPr>
              <w:t xml:space="preserve">- </w:t>
            </w:r>
          </w:p>
        </w:tc>
      </w:tr>
      <w:tr>
        <w:tblPrEx>
          <w:tblCellMar>
            <w:top w:w="0" w:type="dxa"/>
            <w:left w:w="108" w:type="dxa"/>
            <w:bottom w:w="0" w:type="dxa"/>
            <w:right w:w="108" w:type="dxa"/>
          </w:tblCellMar>
        </w:tblPrEx>
        <w:trPr>
          <w:trHeight w:val="300" w:hRule="atLeast"/>
          <w:jc w:val="center"/>
        </w:trPr>
        <w:tc>
          <w:tcPr>
            <w:tcW w:w="15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大洼区</w:t>
            </w:r>
          </w:p>
        </w:tc>
        <w:tc>
          <w:tcPr>
            <w:tcW w:w="1185" w:type="dxa"/>
            <w:tcBorders>
              <w:top w:val="nil"/>
              <w:left w:val="nil"/>
              <w:bottom w:val="single" w:color="auto" w:sz="4" w:space="0"/>
              <w:right w:val="single" w:color="auto" w:sz="4" w:space="0"/>
            </w:tcBorders>
            <w:shd w:val="clear" w:color="auto" w:fill="auto"/>
            <w:noWrap/>
            <w:vAlign w:val="center"/>
          </w:tcPr>
          <w:p>
            <w:pPr>
              <w:jc w:val="right"/>
              <w:rPr>
                <w:rFonts w:cs="Arial" w:asciiTheme="majorEastAsia" w:hAnsiTheme="majorEastAsia" w:eastAsiaTheme="majorEastAsia"/>
                <w:sz w:val="18"/>
                <w:szCs w:val="18"/>
              </w:rPr>
            </w:pPr>
            <w:r>
              <w:rPr>
                <w:rFonts w:cs="Arial" w:asciiTheme="majorEastAsia" w:hAnsiTheme="majorEastAsia" w:eastAsiaTheme="majorEastAsia"/>
                <w:sz w:val="18"/>
                <w:szCs w:val="18"/>
              </w:rPr>
              <w:t xml:space="preserve">- </w:t>
            </w:r>
          </w:p>
        </w:tc>
        <w:tc>
          <w:tcPr>
            <w:tcW w:w="1215" w:type="dxa"/>
            <w:tcBorders>
              <w:top w:val="nil"/>
              <w:left w:val="nil"/>
              <w:bottom w:val="single" w:color="auto" w:sz="4" w:space="0"/>
              <w:right w:val="single" w:color="auto" w:sz="4" w:space="0"/>
            </w:tcBorders>
            <w:shd w:val="clear" w:color="auto" w:fill="auto"/>
            <w:noWrap/>
            <w:vAlign w:val="center"/>
          </w:tcPr>
          <w:p>
            <w:pPr>
              <w:ind w:right="90"/>
              <w:jc w:val="right"/>
              <w:rPr>
                <w:rFonts w:cs="Arial" w:asciiTheme="majorEastAsia" w:hAnsiTheme="majorEastAsia" w:eastAsiaTheme="majorEastAsia"/>
                <w:sz w:val="18"/>
                <w:szCs w:val="18"/>
              </w:rPr>
            </w:pPr>
            <w:r>
              <w:rPr>
                <w:rFonts w:cs="Arial" w:asciiTheme="majorEastAsia" w:hAnsiTheme="majorEastAsia" w:eastAsiaTheme="majorEastAsia"/>
                <w:sz w:val="18"/>
                <w:szCs w:val="18"/>
              </w:rPr>
              <w:t xml:space="preserve">- </w:t>
            </w:r>
          </w:p>
        </w:tc>
        <w:tc>
          <w:tcPr>
            <w:tcW w:w="1186" w:type="dxa"/>
            <w:tcBorders>
              <w:top w:val="nil"/>
              <w:left w:val="nil"/>
              <w:bottom w:val="single" w:color="auto" w:sz="4" w:space="0"/>
              <w:right w:val="single" w:color="auto" w:sz="4" w:space="0"/>
            </w:tcBorders>
            <w:shd w:val="clear" w:color="auto" w:fill="auto"/>
            <w:noWrap/>
            <w:vAlign w:val="center"/>
          </w:tcPr>
          <w:p>
            <w:pPr>
              <w:jc w:val="right"/>
              <w:rPr>
                <w:rFonts w:cs="Arial" w:asciiTheme="majorEastAsia" w:hAnsiTheme="majorEastAsia" w:eastAsiaTheme="majorEastAsia"/>
                <w:sz w:val="18"/>
                <w:szCs w:val="18"/>
              </w:rPr>
            </w:pPr>
            <w:r>
              <w:rPr>
                <w:rFonts w:cs="Arial" w:asciiTheme="majorEastAsia" w:hAnsiTheme="majorEastAsia" w:eastAsiaTheme="majorEastAsia"/>
                <w:sz w:val="18"/>
                <w:szCs w:val="18"/>
              </w:rPr>
              <w:t xml:space="preserve">- </w:t>
            </w:r>
          </w:p>
        </w:tc>
        <w:tc>
          <w:tcPr>
            <w:tcW w:w="971" w:type="dxa"/>
            <w:tcBorders>
              <w:top w:val="nil"/>
              <w:left w:val="nil"/>
              <w:bottom w:val="single" w:color="auto" w:sz="4" w:space="0"/>
              <w:right w:val="single" w:color="auto" w:sz="4" w:space="0"/>
            </w:tcBorders>
            <w:shd w:val="clear" w:color="auto" w:fill="auto"/>
            <w:noWrap/>
            <w:vAlign w:val="center"/>
          </w:tcPr>
          <w:p>
            <w:pPr>
              <w:jc w:val="right"/>
              <w:rPr>
                <w:rFonts w:cs="Arial" w:asciiTheme="majorEastAsia" w:hAnsiTheme="majorEastAsia" w:eastAsiaTheme="majorEastAsia"/>
                <w:sz w:val="18"/>
                <w:szCs w:val="18"/>
              </w:rPr>
            </w:pPr>
            <w:r>
              <w:rPr>
                <w:rFonts w:cs="Arial" w:asciiTheme="majorEastAsia" w:hAnsiTheme="majorEastAsia" w:eastAsiaTheme="majorEastAsia"/>
                <w:sz w:val="18"/>
                <w:szCs w:val="18"/>
              </w:rPr>
              <w:t xml:space="preserve">- </w:t>
            </w:r>
          </w:p>
        </w:tc>
      </w:tr>
      <w:tr>
        <w:tblPrEx>
          <w:tblCellMar>
            <w:top w:w="0" w:type="dxa"/>
            <w:left w:w="108" w:type="dxa"/>
            <w:bottom w:w="0" w:type="dxa"/>
            <w:right w:w="108" w:type="dxa"/>
          </w:tblCellMar>
        </w:tblPrEx>
        <w:trPr>
          <w:trHeight w:val="300" w:hRule="atLeast"/>
          <w:jc w:val="center"/>
        </w:trPr>
        <w:tc>
          <w:tcPr>
            <w:tcW w:w="15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辽滨经开区</w:t>
            </w:r>
          </w:p>
        </w:tc>
        <w:tc>
          <w:tcPr>
            <w:tcW w:w="1185" w:type="dxa"/>
            <w:tcBorders>
              <w:top w:val="nil"/>
              <w:left w:val="nil"/>
              <w:bottom w:val="single" w:color="auto" w:sz="4" w:space="0"/>
              <w:right w:val="single" w:color="auto" w:sz="4" w:space="0"/>
            </w:tcBorders>
            <w:shd w:val="clear" w:color="auto" w:fill="auto"/>
            <w:noWrap/>
            <w:vAlign w:val="center"/>
          </w:tcPr>
          <w:p>
            <w:pPr>
              <w:jc w:val="right"/>
              <w:rPr>
                <w:rFonts w:cs="Arial" w:asciiTheme="majorEastAsia" w:hAnsiTheme="majorEastAsia" w:eastAsiaTheme="majorEastAsia"/>
                <w:sz w:val="18"/>
                <w:szCs w:val="18"/>
              </w:rPr>
            </w:pPr>
            <w:r>
              <w:rPr>
                <w:rFonts w:cs="Arial" w:asciiTheme="majorEastAsia" w:hAnsiTheme="majorEastAsia" w:eastAsiaTheme="majorEastAsia"/>
                <w:sz w:val="18"/>
                <w:szCs w:val="18"/>
              </w:rPr>
              <w:t xml:space="preserve">2,508 </w:t>
            </w:r>
          </w:p>
        </w:tc>
        <w:tc>
          <w:tcPr>
            <w:tcW w:w="1215" w:type="dxa"/>
            <w:tcBorders>
              <w:top w:val="nil"/>
              <w:left w:val="nil"/>
              <w:bottom w:val="single" w:color="auto" w:sz="4" w:space="0"/>
              <w:right w:val="single" w:color="auto" w:sz="4" w:space="0"/>
            </w:tcBorders>
            <w:shd w:val="clear" w:color="auto" w:fill="auto"/>
            <w:noWrap/>
            <w:vAlign w:val="center"/>
          </w:tcPr>
          <w:p>
            <w:pPr>
              <w:jc w:val="right"/>
              <w:rPr>
                <w:rFonts w:cs="Arial" w:asciiTheme="majorEastAsia" w:hAnsiTheme="majorEastAsia" w:eastAsiaTheme="majorEastAsia"/>
                <w:sz w:val="18"/>
                <w:szCs w:val="18"/>
              </w:rPr>
            </w:pPr>
            <w:r>
              <w:rPr>
                <w:rFonts w:cs="Arial" w:asciiTheme="majorEastAsia" w:hAnsiTheme="majorEastAsia" w:eastAsiaTheme="majorEastAsia"/>
                <w:sz w:val="18"/>
                <w:szCs w:val="18"/>
              </w:rPr>
              <w:t xml:space="preserve">2,685 </w:t>
            </w:r>
          </w:p>
        </w:tc>
        <w:tc>
          <w:tcPr>
            <w:tcW w:w="1186" w:type="dxa"/>
            <w:tcBorders>
              <w:top w:val="nil"/>
              <w:left w:val="nil"/>
              <w:bottom w:val="single" w:color="auto" w:sz="4" w:space="0"/>
              <w:right w:val="single" w:color="auto" w:sz="4" w:space="0"/>
            </w:tcBorders>
            <w:shd w:val="clear" w:color="auto" w:fill="auto"/>
            <w:noWrap/>
            <w:vAlign w:val="center"/>
          </w:tcPr>
          <w:p>
            <w:pPr>
              <w:jc w:val="right"/>
              <w:rPr>
                <w:rFonts w:cs="Arial" w:asciiTheme="majorEastAsia" w:hAnsiTheme="majorEastAsia" w:eastAsiaTheme="majorEastAsia"/>
                <w:sz w:val="18"/>
                <w:szCs w:val="18"/>
              </w:rPr>
            </w:pPr>
            <w:r>
              <w:rPr>
                <w:rFonts w:cs="Arial" w:asciiTheme="majorEastAsia" w:hAnsiTheme="majorEastAsia" w:eastAsiaTheme="majorEastAsia"/>
                <w:sz w:val="18"/>
                <w:szCs w:val="18"/>
              </w:rPr>
              <w:t xml:space="preserve">-177 </w:t>
            </w:r>
          </w:p>
        </w:tc>
        <w:tc>
          <w:tcPr>
            <w:tcW w:w="971" w:type="dxa"/>
            <w:tcBorders>
              <w:top w:val="nil"/>
              <w:left w:val="nil"/>
              <w:bottom w:val="single" w:color="auto" w:sz="4" w:space="0"/>
              <w:right w:val="single" w:color="auto" w:sz="4" w:space="0"/>
            </w:tcBorders>
            <w:shd w:val="clear" w:color="auto" w:fill="auto"/>
            <w:noWrap/>
            <w:vAlign w:val="center"/>
          </w:tcPr>
          <w:p>
            <w:pPr>
              <w:jc w:val="right"/>
              <w:rPr>
                <w:rFonts w:cs="Arial" w:asciiTheme="majorEastAsia" w:hAnsiTheme="majorEastAsia" w:eastAsiaTheme="majorEastAsia"/>
                <w:sz w:val="18"/>
                <w:szCs w:val="18"/>
              </w:rPr>
            </w:pPr>
            <w:r>
              <w:rPr>
                <w:rFonts w:cs="Arial" w:asciiTheme="majorEastAsia" w:hAnsiTheme="majorEastAsia" w:eastAsiaTheme="majorEastAsia"/>
                <w:sz w:val="18"/>
                <w:szCs w:val="18"/>
              </w:rPr>
              <w:t xml:space="preserve">-6.6 </w:t>
            </w:r>
          </w:p>
        </w:tc>
      </w:tr>
    </w:tbl>
    <w:p>
      <w:pPr>
        <w:snapToGrid w:val="0"/>
        <w:ind w:firstLine="640" w:firstLineChars="200"/>
        <w:rPr>
          <w:rFonts w:ascii="黑体" w:hAnsi="黑体" w:eastAsia="黑体" w:cs="宋体"/>
          <w:bCs/>
          <w:kern w:val="0"/>
          <w:sz w:val="32"/>
          <w:szCs w:val="32"/>
        </w:rPr>
      </w:pPr>
    </w:p>
    <w:p>
      <w:pPr>
        <w:snapToGrid w:val="0"/>
        <w:ind w:firstLine="640" w:firstLineChars="200"/>
        <w:rPr>
          <w:rFonts w:ascii="黑体" w:hAnsi="黑体" w:eastAsia="黑体"/>
        </w:rPr>
      </w:pPr>
      <w:r>
        <w:rPr>
          <w:rFonts w:hint="eastAsia" w:ascii="黑体" w:hAnsi="黑体" w:eastAsia="黑体" w:cs="宋体"/>
          <w:bCs/>
          <w:kern w:val="0"/>
          <w:sz w:val="32"/>
          <w:szCs w:val="32"/>
        </w:rPr>
        <w:t>二、财政支出执行情况</w:t>
      </w:r>
    </w:p>
    <w:p>
      <w:pPr>
        <w:snapToGrid w:val="0"/>
        <w:ind w:firstLine="643" w:firstLineChars="200"/>
        <w:rPr>
          <w:rFonts w:cs="宋体" w:asciiTheme="majorEastAsia" w:hAnsiTheme="majorEastAsia" w:eastAsiaTheme="majorEastAsia"/>
          <w:b/>
          <w:bCs/>
          <w:kern w:val="0"/>
          <w:sz w:val="32"/>
          <w:szCs w:val="32"/>
        </w:rPr>
      </w:pPr>
      <w:r>
        <w:rPr>
          <w:rFonts w:hint="eastAsia" w:cs="宋体" w:asciiTheme="majorEastAsia" w:hAnsiTheme="majorEastAsia" w:eastAsiaTheme="majorEastAsia"/>
          <w:b/>
          <w:bCs/>
          <w:kern w:val="0"/>
          <w:sz w:val="32"/>
          <w:szCs w:val="32"/>
        </w:rPr>
        <w:t>（一）一般公共预算支出</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2024年1-7月份全市一般公共预算支出116.2亿元，同比增加3.2亿元，增长2.9%。</w:t>
      </w:r>
    </w:p>
    <w:p>
      <w:pPr>
        <w:snapToGrid w:val="0"/>
        <w:spacing w:line="240" w:lineRule="atLeast"/>
        <w:ind w:firstLine="643" w:firstLineChars="200"/>
        <w:rPr>
          <w:rFonts w:ascii="仿宋_GB2312" w:hAnsi="仿宋" w:eastAsia="仿宋_GB2312" w:cs="宋体"/>
          <w:bCs/>
          <w:kern w:val="0"/>
          <w:sz w:val="32"/>
          <w:szCs w:val="32"/>
        </w:rPr>
      </w:pPr>
      <w:r>
        <w:rPr>
          <w:rFonts w:hint="eastAsia" w:ascii="仿宋_GB2312" w:hAnsi="仿宋" w:eastAsia="仿宋_GB2312" w:cs="宋体"/>
          <w:b/>
          <w:bCs/>
          <w:kern w:val="0"/>
          <w:sz w:val="32"/>
          <w:szCs w:val="32"/>
        </w:rPr>
        <w:t>分级次：</w:t>
      </w:r>
      <w:r>
        <w:rPr>
          <w:rFonts w:hint="eastAsia" w:ascii="仿宋_GB2312" w:hAnsi="仿宋" w:eastAsia="仿宋_GB2312" w:cs="宋体"/>
          <w:bCs/>
          <w:kern w:val="0"/>
          <w:sz w:val="32"/>
          <w:szCs w:val="32"/>
        </w:rPr>
        <w:t>市本级29.2亿元，占比为25.1%</w:t>
      </w:r>
      <w:r>
        <w:rPr>
          <w:rFonts w:hint="eastAsia" w:ascii="仿宋_GB2312" w:hAnsi="仿宋" w:eastAsia="仿宋_GB2312" w:cs="宋体"/>
          <w:bCs/>
          <w:kern w:val="0"/>
          <w:sz w:val="32"/>
          <w:szCs w:val="32"/>
          <w:lang w:eastAsia="zh-CN"/>
        </w:rPr>
        <w:t>，</w:t>
      </w:r>
      <w:r>
        <w:rPr>
          <w:rFonts w:hint="eastAsia" w:ascii="仿宋_GB2312" w:hAnsi="仿宋" w:eastAsia="仿宋_GB2312" w:cs="宋体"/>
          <w:bCs/>
          <w:kern w:val="0"/>
          <w:sz w:val="32"/>
          <w:szCs w:val="32"/>
        </w:rPr>
        <w:t>同比减少0.6亿元，下降2.1%。县区级87.0亿元，占比为74.9%</w:t>
      </w:r>
      <w:r>
        <w:rPr>
          <w:rFonts w:hint="eastAsia" w:ascii="仿宋_GB2312" w:hAnsi="仿宋" w:eastAsia="仿宋_GB2312" w:cs="宋体"/>
          <w:bCs/>
          <w:kern w:val="0"/>
          <w:sz w:val="32"/>
          <w:szCs w:val="32"/>
          <w:lang w:eastAsia="zh-CN"/>
        </w:rPr>
        <w:t>，</w:t>
      </w:r>
      <w:r>
        <w:rPr>
          <w:rFonts w:hint="eastAsia" w:ascii="仿宋_GB2312" w:hAnsi="仿宋" w:eastAsia="仿宋_GB2312" w:cs="宋体"/>
          <w:bCs/>
          <w:kern w:val="0"/>
          <w:sz w:val="32"/>
          <w:szCs w:val="32"/>
        </w:rPr>
        <w:t>同比增加3.8亿元，增长4.6%，其中：盘山县22.7亿元，同比增加2.7亿元，增长13.3%；双台子区8.9亿元，同比减少1.0亿元，下降9.8%；兴隆台区14.4亿元，同比增加3.0亿元，增长26.5%；大洼区22.1亿元，同比增加2.2亿元，增长11.2%；辽滨经开区19.0亿元，同比减少3.1亿元，下降13.9%。</w:t>
      </w:r>
    </w:p>
    <w:p>
      <w:pPr>
        <w:pStyle w:val="2"/>
        <w:spacing w:line="300" w:lineRule="exact"/>
        <w:jc w:val="center"/>
        <w:rPr>
          <w:rFonts w:ascii="仿宋" w:hAnsi="仿宋" w:eastAsia="仿宋"/>
          <w:sz w:val="28"/>
          <w:szCs w:val="28"/>
        </w:rPr>
      </w:pPr>
    </w:p>
    <w:p>
      <w:pPr>
        <w:pStyle w:val="2"/>
        <w:spacing w:line="300" w:lineRule="exact"/>
        <w:jc w:val="center"/>
        <w:rPr>
          <w:rFonts w:ascii="仿宋" w:hAnsi="仿宋" w:eastAsia="仿宋"/>
          <w:sz w:val="28"/>
          <w:szCs w:val="28"/>
        </w:rPr>
      </w:pPr>
    </w:p>
    <w:p>
      <w:pPr>
        <w:pStyle w:val="2"/>
        <w:spacing w:line="300" w:lineRule="exact"/>
        <w:jc w:val="center"/>
        <w:rPr>
          <w:rFonts w:ascii="仿宋" w:hAnsi="仿宋" w:eastAsia="仿宋"/>
          <w:sz w:val="28"/>
          <w:szCs w:val="28"/>
        </w:rPr>
      </w:pPr>
      <w:r>
        <w:rPr>
          <w:rFonts w:hint="eastAsia" w:ascii="仿宋" w:hAnsi="仿宋" w:eastAsia="仿宋"/>
          <w:sz w:val="28"/>
          <w:szCs w:val="28"/>
        </w:rPr>
        <w:t>2024年1-7月份全市一般公共预算支出分级次变动情况</w:t>
      </w:r>
    </w:p>
    <w:p>
      <w:pPr>
        <w:pStyle w:val="2"/>
        <w:spacing w:line="300" w:lineRule="exact"/>
        <w:jc w:val="center"/>
        <w:rPr>
          <w:rFonts w:ascii="仿宋_GB2312" w:hAnsi="仿宋" w:eastAsia="仿宋_GB2312" w:cs="宋体"/>
          <w:bCs/>
          <w:kern w:val="0"/>
          <w:sz w:val="32"/>
          <w:szCs w:val="32"/>
        </w:rPr>
      </w:pPr>
      <w:r>
        <w:rPr>
          <w:rFonts w:hint="eastAsia" w:ascii="仿宋" w:hAnsi="仿宋" w:eastAsia="仿宋"/>
          <w:sz w:val="28"/>
          <w:szCs w:val="28"/>
        </w:rPr>
        <w:t>单位：万元</w:t>
      </w:r>
    </w:p>
    <w:p>
      <w:pPr>
        <w:pStyle w:val="2"/>
        <w:rPr>
          <w:rFonts w:ascii="仿宋_GB2312" w:hAnsi="仿宋" w:eastAsia="仿宋_GB2312" w:cs="宋体"/>
          <w:bCs/>
          <w:kern w:val="0"/>
          <w:sz w:val="32"/>
          <w:szCs w:val="32"/>
        </w:rPr>
      </w:pPr>
      <w:r>
        <w:rPr>
          <w:rFonts w:ascii="仿宋_GB2312" w:hAnsi="仿宋" w:eastAsia="仿宋_GB2312" w:cs="宋体"/>
          <w:bCs/>
          <w:kern w:val="0"/>
          <w:sz w:val="32"/>
          <w:szCs w:val="32"/>
        </w:rPr>
        <w:drawing>
          <wp:inline distT="0" distB="0" distL="0" distR="0">
            <wp:extent cx="5591175" cy="2239645"/>
            <wp:effectExtent l="19050" t="0" r="9525" b="825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napToGrid w:val="0"/>
        <w:ind w:firstLine="643" w:firstLineChars="200"/>
        <w:rPr>
          <w:rFonts w:ascii="仿宋_GB2312" w:hAnsi="仿宋" w:eastAsia="仿宋_GB2312" w:cs="宋体"/>
          <w:b/>
          <w:bCs/>
          <w:kern w:val="0"/>
          <w:sz w:val="32"/>
          <w:szCs w:val="32"/>
        </w:rPr>
      </w:pPr>
    </w:p>
    <w:p>
      <w:pPr>
        <w:snapToGrid w:val="0"/>
        <w:ind w:firstLine="643" w:firstLineChars="200"/>
        <w:rPr>
          <w:rFonts w:ascii="仿宋_GB2312" w:hAnsi="仿宋" w:eastAsia="仿宋_GB2312" w:cs="宋体"/>
          <w:b/>
          <w:bCs/>
          <w:kern w:val="0"/>
          <w:sz w:val="32"/>
          <w:szCs w:val="32"/>
        </w:rPr>
      </w:pPr>
      <w:r>
        <w:rPr>
          <w:rFonts w:hint="eastAsia" w:ascii="仿宋_GB2312" w:hAnsi="仿宋" w:eastAsia="仿宋_GB2312" w:cs="宋体"/>
          <w:b/>
          <w:bCs/>
          <w:kern w:val="0"/>
          <w:sz w:val="32"/>
          <w:szCs w:val="32"/>
        </w:rPr>
        <w:t>支出增加主要科目及原因：</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1.公共安全支出4.6亿元，同比增加0.3亿元，增长6.9%。主要是</w:t>
      </w:r>
      <w:r>
        <w:rPr>
          <w:rFonts w:hint="eastAsia" w:ascii="仿宋_GB2312" w:eastAsia="仿宋_GB2312"/>
          <w:sz w:val="32"/>
          <w:szCs w:val="32"/>
        </w:rPr>
        <w:t>公安系统支付边防转隶人员2022-2024年绩效奖金、长聘和辅警各类工资性支出同比增加0.14亿元；盘锦市监所管理支队监室改造专项增加0.1亿元；检察院、法院、监狱等省管单位的专项增加0.07亿元。</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2.科学技术支出1.2亿元，同比增加0.6亿元，增长87.7%，主要是辽滨经开区产业创新资金支出增加0.5亿元。</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3.社会保障和就业支出18.3亿元，同比增加2.3亿元，增长14.1%。主要是机关养老补助支出增加1.3亿元、社区工作者工资性支出增加0.15亿元、城市低保和特困人员补助支出增加0.3亿元、企业职工和城乡居民养老保险补助支出增加0.8亿元。以及公益岗补贴同比减少0.2亿元、抚恤金支出同比减少0.1亿元相互作用影响。</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4.卫生健康支出6.5亿元，同比增加1.0亿元，增长17.9%，主要是财政对城乡居民基本医疗保险补助支出增加1.0亿元、基本公共卫生补助增加0.2亿元；以及同期中医院房屋构建垫高基数0.3亿元。</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5.节能环保支出3.5亿元，同比增加1.4亿元，增长67.3%。主要是中央大气污染防治专项支出同比增加0.7亿元、污水处理费支出增加0.5亿元、土壤污染修复防治专项增加0.2亿元、省以上重点生态功能区转移支付增加0.3亿元；以及同期农村生活污水集中处理专项垫高基数0.4亿元。</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6.资源勘探工业信息等支出3.8亿元，同比增加1.7亿元，增长80.2%。主要是对中小企业和国有企业的补贴资金增加1.2亿元；区域发展专项、沿海经济带扶持专项、数字辽宁制造强省等专项支出增加0.5亿元。</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7.债务付息支出14.0亿元，同比增加4.3亿元，增长44.1%。主要是2023年发行的化债试点和化解拖欠企业账款债券新增利息支出。</w:t>
      </w:r>
    </w:p>
    <w:p>
      <w:pPr>
        <w:snapToGrid w:val="0"/>
        <w:ind w:firstLine="643" w:firstLineChars="200"/>
        <w:rPr>
          <w:rFonts w:ascii="仿宋_GB2312" w:hAnsi="仿宋" w:eastAsia="仿宋_GB2312" w:cs="宋体"/>
          <w:bCs/>
          <w:kern w:val="0"/>
          <w:sz w:val="32"/>
          <w:szCs w:val="32"/>
        </w:rPr>
      </w:pPr>
      <w:r>
        <w:rPr>
          <w:rFonts w:hint="eastAsia" w:ascii="仿宋_GB2312" w:hAnsi="仿宋" w:eastAsia="仿宋_GB2312" w:cs="宋体"/>
          <w:b/>
          <w:bCs/>
          <w:kern w:val="0"/>
          <w:sz w:val="32"/>
          <w:szCs w:val="32"/>
        </w:rPr>
        <w:t>支出减少主要科目及原因：</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1.其他支出6.0亿元，同比减少3.8亿元，下降38.6%，主要是辽滨经开区基础设施建设专项减少6.6亿元、市本级同期采购涉密办公设备垫高基数0.4亿元。以及县区隐性债务付息支出纳入一般公共预算，增加2.9亿元相互作用影响。</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2.住房保障支出3.4亿元，同比减少1.1亿元，下降25.0%，主要是棚户区、老旧小区、危房等各类保障性安居工程项目支出同比减少1.1亿元。</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3.农林水支出9.0亿元，同比减少1.6亿元，下降15.0%，主要是双台子区和盘山县辽河滩区迁建工程（新增一般债券）同比减少2.6亿元、高标准农田建设专项同比减少0.6亿元。以及中央财政耕地地力保护补贴支出同比增加0.2亿元、农机购置补贴等支出增加0.15亿元、成品油对渔业资源的补贴支出增加0.2亿元相互作用影响。</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4.交通运输支出2.4亿元，同比减少0.6亿元，下降19.3%，主要是港航集团港口建设支出同比减少0.5亿元。</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5.自然资源海洋气象等支出2.3亿元，同比减少0.5亿元，下降16.7%。主要是辽河流域（浑太水系）山水林田湖草沙一体化保护修复项目同比减少0.8亿元，以及重点生态保护修复治理资金增加0.2亿元、县区补缴耕地占用税增加0.3亿元相互作用影响。</w:t>
      </w:r>
    </w:p>
    <w:p>
      <w:pPr>
        <w:snapToGrid w:val="0"/>
        <w:ind w:firstLine="627" w:firstLineChars="196"/>
        <w:rPr>
          <w:rFonts w:ascii="仿宋_GB2312" w:hAnsi="仿宋" w:eastAsia="仿宋_GB2312" w:cs="宋体"/>
          <w:b/>
          <w:kern w:val="0"/>
          <w:sz w:val="32"/>
          <w:szCs w:val="32"/>
        </w:rPr>
      </w:pPr>
      <w:r>
        <w:rPr>
          <w:rFonts w:hint="eastAsia" w:ascii="仿宋_GB2312" w:hAnsi="仿宋" w:eastAsia="仿宋_GB2312" w:cs="宋体"/>
          <w:bCs/>
          <w:kern w:val="0"/>
          <w:sz w:val="32"/>
          <w:szCs w:val="32"/>
        </w:rPr>
        <w:t>6.灾害防治及应急管理支出0.7亿元，同比减少0.3亿元，下降31.3%。主要是灾害救助及重建专项同比减少0.4亿元。</w:t>
      </w:r>
    </w:p>
    <w:p>
      <w:pPr>
        <w:pStyle w:val="2"/>
        <w:ind w:firstLine="840"/>
      </w:pPr>
    </w:p>
    <w:p>
      <w:pPr>
        <w:pStyle w:val="2"/>
        <w:spacing w:line="300" w:lineRule="exact"/>
        <w:jc w:val="center"/>
        <w:rPr>
          <w:rFonts w:ascii="仿宋" w:hAnsi="仿宋" w:eastAsia="仿宋"/>
          <w:sz w:val="28"/>
          <w:szCs w:val="28"/>
        </w:rPr>
      </w:pPr>
      <w:r>
        <w:rPr>
          <w:rFonts w:hint="eastAsia" w:ascii="仿宋" w:hAnsi="仿宋" w:eastAsia="仿宋"/>
          <w:sz w:val="28"/>
          <w:szCs w:val="28"/>
        </w:rPr>
        <w:t>2024年1-7月份全市一般公共预算支出分功能科目变动情况表</w:t>
      </w:r>
    </w:p>
    <w:p>
      <w:pPr>
        <w:pStyle w:val="2"/>
        <w:spacing w:line="300" w:lineRule="exact"/>
        <w:jc w:val="center"/>
        <w:rPr>
          <w:rFonts w:ascii="仿宋" w:hAnsi="仿宋" w:eastAsia="仿宋"/>
          <w:sz w:val="28"/>
          <w:szCs w:val="28"/>
        </w:rPr>
      </w:pPr>
      <w:r>
        <w:rPr>
          <w:rFonts w:hint="eastAsia" w:ascii="仿宋" w:hAnsi="仿宋" w:eastAsia="仿宋"/>
          <w:sz w:val="28"/>
          <w:szCs w:val="28"/>
        </w:rPr>
        <w:t>单位：万元</w:t>
      </w:r>
    </w:p>
    <w:p>
      <w:pPr>
        <w:pStyle w:val="2"/>
        <w:spacing w:line="300" w:lineRule="exact"/>
        <w:jc w:val="center"/>
        <w:rPr>
          <w:rFonts w:ascii="仿宋" w:hAnsi="仿宋" w:eastAsia="仿宋"/>
          <w:sz w:val="28"/>
          <w:szCs w:val="28"/>
        </w:rPr>
      </w:pPr>
    </w:p>
    <w:tbl>
      <w:tblPr>
        <w:tblStyle w:val="9"/>
        <w:tblW w:w="7320" w:type="dxa"/>
        <w:jc w:val="center"/>
        <w:tblLayout w:type="autofit"/>
        <w:tblCellMar>
          <w:top w:w="0" w:type="dxa"/>
          <w:left w:w="108" w:type="dxa"/>
          <w:bottom w:w="0" w:type="dxa"/>
          <w:right w:w="108" w:type="dxa"/>
        </w:tblCellMar>
      </w:tblPr>
      <w:tblGrid>
        <w:gridCol w:w="2560"/>
        <w:gridCol w:w="1240"/>
        <w:gridCol w:w="1240"/>
        <w:gridCol w:w="1240"/>
        <w:gridCol w:w="1040"/>
      </w:tblGrid>
      <w:tr>
        <w:tblPrEx>
          <w:tblCellMar>
            <w:top w:w="0" w:type="dxa"/>
            <w:left w:w="108" w:type="dxa"/>
            <w:bottom w:w="0" w:type="dxa"/>
            <w:right w:w="108" w:type="dxa"/>
          </w:tblCellMar>
        </w:tblPrEx>
        <w:trPr>
          <w:trHeight w:val="270" w:hRule="atLeast"/>
          <w:jc w:val="center"/>
        </w:trPr>
        <w:tc>
          <w:tcPr>
            <w:tcW w:w="25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分支出功能科目</w:t>
            </w:r>
          </w:p>
        </w:tc>
        <w:tc>
          <w:tcPr>
            <w:tcW w:w="12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  期</w:t>
            </w:r>
          </w:p>
        </w:tc>
        <w:tc>
          <w:tcPr>
            <w:tcW w:w="12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同  期</w:t>
            </w:r>
          </w:p>
        </w:tc>
        <w:tc>
          <w:tcPr>
            <w:tcW w:w="12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增减额</w:t>
            </w:r>
          </w:p>
        </w:tc>
        <w:tc>
          <w:tcPr>
            <w:tcW w:w="10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增减%</w:t>
            </w:r>
          </w:p>
        </w:tc>
      </w:tr>
      <w:tr>
        <w:tblPrEx>
          <w:tblCellMar>
            <w:top w:w="0" w:type="dxa"/>
            <w:left w:w="108" w:type="dxa"/>
            <w:bottom w:w="0" w:type="dxa"/>
            <w:right w:w="108" w:type="dxa"/>
          </w:tblCellMar>
        </w:tblPrEx>
        <w:trPr>
          <w:trHeight w:val="270" w:hRule="atLeast"/>
          <w:jc w:val="center"/>
        </w:trPr>
        <w:tc>
          <w:tcPr>
            <w:tcW w:w="25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一般公共预算支出合计</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1,161,978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1,129,757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32,221 </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2.9 </w:t>
            </w:r>
          </w:p>
        </w:tc>
      </w:tr>
      <w:tr>
        <w:tblPrEx>
          <w:tblCellMar>
            <w:top w:w="0" w:type="dxa"/>
            <w:left w:w="108" w:type="dxa"/>
            <w:bottom w:w="0" w:type="dxa"/>
            <w:right w:w="108" w:type="dxa"/>
          </w:tblCellMar>
        </w:tblPrEx>
        <w:trPr>
          <w:trHeight w:val="270" w:hRule="atLeast"/>
          <w:jc w:val="center"/>
        </w:trPr>
        <w:tc>
          <w:tcPr>
            <w:tcW w:w="25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一般公共服务支出</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105,455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105,326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129 </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0.1 </w:t>
            </w:r>
          </w:p>
        </w:tc>
      </w:tr>
      <w:tr>
        <w:tblPrEx>
          <w:tblCellMar>
            <w:top w:w="0" w:type="dxa"/>
            <w:left w:w="108" w:type="dxa"/>
            <w:bottom w:w="0" w:type="dxa"/>
            <w:right w:w="108" w:type="dxa"/>
          </w:tblCellMar>
        </w:tblPrEx>
        <w:trPr>
          <w:trHeight w:val="270" w:hRule="atLeast"/>
          <w:jc w:val="center"/>
        </w:trPr>
        <w:tc>
          <w:tcPr>
            <w:tcW w:w="25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国防支出</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712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592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120 </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20.3 </w:t>
            </w:r>
          </w:p>
        </w:tc>
      </w:tr>
      <w:tr>
        <w:tblPrEx>
          <w:tblCellMar>
            <w:top w:w="0" w:type="dxa"/>
            <w:left w:w="108" w:type="dxa"/>
            <w:bottom w:w="0" w:type="dxa"/>
            <w:right w:w="108" w:type="dxa"/>
          </w:tblCellMar>
        </w:tblPrEx>
        <w:trPr>
          <w:trHeight w:val="270" w:hRule="atLeast"/>
          <w:jc w:val="center"/>
        </w:trPr>
        <w:tc>
          <w:tcPr>
            <w:tcW w:w="25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公共安全支出</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45,807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42,849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2,958 </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6.9 </w:t>
            </w:r>
          </w:p>
        </w:tc>
      </w:tr>
      <w:tr>
        <w:tblPrEx>
          <w:tblCellMar>
            <w:top w:w="0" w:type="dxa"/>
            <w:left w:w="108" w:type="dxa"/>
            <w:bottom w:w="0" w:type="dxa"/>
            <w:right w:w="108" w:type="dxa"/>
          </w:tblCellMar>
        </w:tblPrEx>
        <w:trPr>
          <w:trHeight w:val="270" w:hRule="atLeast"/>
          <w:jc w:val="center"/>
        </w:trPr>
        <w:tc>
          <w:tcPr>
            <w:tcW w:w="25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教育支出</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101,422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103,601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-2,179 </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-2.1 </w:t>
            </w:r>
          </w:p>
        </w:tc>
      </w:tr>
      <w:tr>
        <w:tblPrEx>
          <w:tblCellMar>
            <w:top w:w="0" w:type="dxa"/>
            <w:left w:w="108" w:type="dxa"/>
            <w:bottom w:w="0" w:type="dxa"/>
            <w:right w:w="108" w:type="dxa"/>
          </w:tblCellMar>
        </w:tblPrEx>
        <w:trPr>
          <w:trHeight w:val="270" w:hRule="atLeast"/>
          <w:jc w:val="center"/>
        </w:trPr>
        <w:tc>
          <w:tcPr>
            <w:tcW w:w="25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科学技术支出</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12,149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6,471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5,678 </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87.7 </w:t>
            </w:r>
          </w:p>
        </w:tc>
      </w:tr>
      <w:tr>
        <w:tblPrEx>
          <w:tblCellMar>
            <w:top w:w="0" w:type="dxa"/>
            <w:left w:w="108" w:type="dxa"/>
            <w:bottom w:w="0" w:type="dxa"/>
            <w:right w:w="108" w:type="dxa"/>
          </w:tblCellMar>
        </w:tblPrEx>
        <w:trPr>
          <w:trHeight w:val="270" w:hRule="atLeast"/>
          <w:jc w:val="center"/>
        </w:trPr>
        <w:tc>
          <w:tcPr>
            <w:tcW w:w="25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文化旅游体育与传媒支出</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9,484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9,631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-147 </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-1.5 </w:t>
            </w:r>
          </w:p>
        </w:tc>
      </w:tr>
      <w:tr>
        <w:tblPrEx>
          <w:tblCellMar>
            <w:top w:w="0" w:type="dxa"/>
            <w:left w:w="108" w:type="dxa"/>
            <w:bottom w:w="0" w:type="dxa"/>
            <w:right w:w="108" w:type="dxa"/>
          </w:tblCellMar>
        </w:tblPrEx>
        <w:trPr>
          <w:trHeight w:val="270" w:hRule="atLeast"/>
          <w:jc w:val="center"/>
        </w:trPr>
        <w:tc>
          <w:tcPr>
            <w:tcW w:w="25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社会保障和就业支出</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182,556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159,988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22,568 </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14.1 </w:t>
            </w:r>
          </w:p>
        </w:tc>
      </w:tr>
      <w:tr>
        <w:tblPrEx>
          <w:tblCellMar>
            <w:top w:w="0" w:type="dxa"/>
            <w:left w:w="108" w:type="dxa"/>
            <w:bottom w:w="0" w:type="dxa"/>
            <w:right w:w="108" w:type="dxa"/>
          </w:tblCellMar>
        </w:tblPrEx>
        <w:trPr>
          <w:trHeight w:val="270" w:hRule="atLeast"/>
          <w:jc w:val="center"/>
        </w:trPr>
        <w:tc>
          <w:tcPr>
            <w:tcW w:w="25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卫生健康支出</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64,553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54,736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9,817 </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17.9 </w:t>
            </w:r>
          </w:p>
        </w:tc>
      </w:tr>
      <w:tr>
        <w:tblPrEx>
          <w:tblCellMar>
            <w:top w:w="0" w:type="dxa"/>
            <w:left w:w="108" w:type="dxa"/>
            <w:bottom w:w="0" w:type="dxa"/>
            <w:right w:w="108" w:type="dxa"/>
          </w:tblCellMar>
        </w:tblPrEx>
        <w:trPr>
          <w:trHeight w:val="270" w:hRule="atLeast"/>
          <w:jc w:val="center"/>
        </w:trPr>
        <w:tc>
          <w:tcPr>
            <w:tcW w:w="25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节能环保支出</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35,248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21,071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14,177 </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67.3 </w:t>
            </w:r>
          </w:p>
        </w:tc>
      </w:tr>
      <w:tr>
        <w:tblPrEx>
          <w:tblCellMar>
            <w:top w:w="0" w:type="dxa"/>
            <w:left w:w="108" w:type="dxa"/>
            <w:bottom w:w="0" w:type="dxa"/>
            <w:right w:w="108" w:type="dxa"/>
          </w:tblCellMar>
        </w:tblPrEx>
        <w:trPr>
          <w:trHeight w:val="270" w:hRule="atLeast"/>
          <w:jc w:val="center"/>
        </w:trPr>
        <w:tc>
          <w:tcPr>
            <w:tcW w:w="25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城乡社区支出</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177,193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179,205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-2,012 </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-1.1 </w:t>
            </w:r>
          </w:p>
        </w:tc>
      </w:tr>
      <w:tr>
        <w:tblPrEx>
          <w:tblCellMar>
            <w:top w:w="0" w:type="dxa"/>
            <w:left w:w="108" w:type="dxa"/>
            <w:bottom w:w="0" w:type="dxa"/>
            <w:right w:w="108" w:type="dxa"/>
          </w:tblCellMar>
        </w:tblPrEx>
        <w:trPr>
          <w:trHeight w:val="270" w:hRule="atLeast"/>
          <w:jc w:val="center"/>
        </w:trPr>
        <w:tc>
          <w:tcPr>
            <w:tcW w:w="25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农林水支出</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89,693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105,548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-15,855 </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-15.0 </w:t>
            </w:r>
          </w:p>
        </w:tc>
      </w:tr>
      <w:tr>
        <w:tblPrEx>
          <w:tblCellMar>
            <w:top w:w="0" w:type="dxa"/>
            <w:left w:w="108" w:type="dxa"/>
            <w:bottom w:w="0" w:type="dxa"/>
            <w:right w:w="108" w:type="dxa"/>
          </w:tblCellMar>
        </w:tblPrEx>
        <w:trPr>
          <w:trHeight w:val="270" w:hRule="atLeast"/>
          <w:jc w:val="center"/>
        </w:trPr>
        <w:tc>
          <w:tcPr>
            <w:tcW w:w="25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交通运输支出</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24,090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29,853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-5,763 </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-19.3 </w:t>
            </w:r>
          </w:p>
        </w:tc>
      </w:tr>
      <w:tr>
        <w:tblPrEx>
          <w:tblCellMar>
            <w:top w:w="0" w:type="dxa"/>
            <w:left w:w="108" w:type="dxa"/>
            <w:bottom w:w="0" w:type="dxa"/>
            <w:right w:w="108" w:type="dxa"/>
          </w:tblCellMar>
        </w:tblPrEx>
        <w:trPr>
          <w:trHeight w:val="270" w:hRule="atLeast"/>
          <w:jc w:val="center"/>
        </w:trPr>
        <w:tc>
          <w:tcPr>
            <w:tcW w:w="25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资源勘探工业信息等支出</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38,254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21,233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17,021 </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80.2 </w:t>
            </w:r>
          </w:p>
        </w:tc>
      </w:tr>
      <w:tr>
        <w:tblPrEx>
          <w:tblCellMar>
            <w:top w:w="0" w:type="dxa"/>
            <w:left w:w="108" w:type="dxa"/>
            <w:bottom w:w="0" w:type="dxa"/>
            <w:right w:w="108" w:type="dxa"/>
          </w:tblCellMar>
        </w:tblPrEx>
        <w:trPr>
          <w:trHeight w:val="270" w:hRule="atLeast"/>
          <w:jc w:val="center"/>
        </w:trPr>
        <w:tc>
          <w:tcPr>
            <w:tcW w:w="25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商业服务业等支出</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3,417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2,877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540 </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18.8 </w:t>
            </w:r>
          </w:p>
        </w:tc>
      </w:tr>
      <w:tr>
        <w:tblPrEx>
          <w:tblCellMar>
            <w:top w:w="0" w:type="dxa"/>
            <w:left w:w="108" w:type="dxa"/>
            <w:bottom w:w="0" w:type="dxa"/>
            <w:right w:w="108" w:type="dxa"/>
          </w:tblCellMar>
        </w:tblPrEx>
        <w:trPr>
          <w:trHeight w:val="270" w:hRule="atLeast"/>
          <w:jc w:val="center"/>
        </w:trPr>
        <w:tc>
          <w:tcPr>
            <w:tcW w:w="25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自然资源海洋气象等支出</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23,035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27,664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-4,629 </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-16.7 </w:t>
            </w:r>
          </w:p>
        </w:tc>
      </w:tr>
      <w:tr>
        <w:tblPrEx>
          <w:tblCellMar>
            <w:top w:w="0" w:type="dxa"/>
            <w:left w:w="108" w:type="dxa"/>
            <w:bottom w:w="0" w:type="dxa"/>
            <w:right w:w="108" w:type="dxa"/>
          </w:tblCellMar>
        </w:tblPrEx>
        <w:trPr>
          <w:trHeight w:val="270" w:hRule="atLeast"/>
          <w:jc w:val="center"/>
        </w:trPr>
        <w:tc>
          <w:tcPr>
            <w:tcW w:w="25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住房保障支出</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34,346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45,799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-11,453 </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-25.0 </w:t>
            </w:r>
          </w:p>
        </w:tc>
      </w:tr>
      <w:tr>
        <w:tblPrEx>
          <w:tblCellMar>
            <w:top w:w="0" w:type="dxa"/>
            <w:left w:w="108" w:type="dxa"/>
            <w:bottom w:w="0" w:type="dxa"/>
            <w:right w:w="108" w:type="dxa"/>
          </w:tblCellMar>
        </w:tblPrEx>
        <w:trPr>
          <w:trHeight w:val="270" w:hRule="atLeast"/>
          <w:jc w:val="center"/>
        </w:trPr>
        <w:tc>
          <w:tcPr>
            <w:tcW w:w="25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粮油物资储备支出</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1,242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765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477 </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62.4 </w:t>
            </w:r>
          </w:p>
        </w:tc>
      </w:tr>
      <w:tr>
        <w:tblPrEx>
          <w:tblCellMar>
            <w:top w:w="0" w:type="dxa"/>
            <w:left w:w="108" w:type="dxa"/>
            <w:bottom w:w="0" w:type="dxa"/>
            <w:right w:w="108" w:type="dxa"/>
          </w:tblCellMar>
        </w:tblPrEx>
        <w:trPr>
          <w:trHeight w:val="270" w:hRule="atLeast"/>
          <w:jc w:val="center"/>
        </w:trPr>
        <w:tc>
          <w:tcPr>
            <w:tcW w:w="25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灾害防治及应急管理支出</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7,069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10,289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-3,220 </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-31.3 </w:t>
            </w:r>
          </w:p>
        </w:tc>
      </w:tr>
      <w:tr>
        <w:tblPrEx>
          <w:tblCellMar>
            <w:top w:w="0" w:type="dxa"/>
            <w:left w:w="108" w:type="dxa"/>
            <w:bottom w:w="0" w:type="dxa"/>
            <w:right w:w="108" w:type="dxa"/>
          </w:tblCellMar>
        </w:tblPrEx>
        <w:trPr>
          <w:trHeight w:val="270" w:hRule="atLeast"/>
          <w:jc w:val="center"/>
        </w:trPr>
        <w:tc>
          <w:tcPr>
            <w:tcW w:w="25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其他支出</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60,118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97,851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-37,733 </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-38.6 </w:t>
            </w:r>
          </w:p>
        </w:tc>
      </w:tr>
      <w:tr>
        <w:tblPrEx>
          <w:tblCellMar>
            <w:top w:w="0" w:type="dxa"/>
            <w:left w:w="108" w:type="dxa"/>
            <w:bottom w:w="0" w:type="dxa"/>
            <w:right w:w="108" w:type="dxa"/>
          </w:tblCellMar>
        </w:tblPrEx>
        <w:trPr>
          <w:trHeight w:val="270" w:hRule="atLeast"/>
          <w:jc w:val="center"/>
        </w:trPr>
        <w:tc>
          <w:tcPr>
            <w:tcW w:w="25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债务付息支出</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145,890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104,105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41,785 </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40.1 </w:t>
            </w:r>
          </w:p>
        </w:tc>
      </w:tr>
      <w:tr>
        <w:tblPrEx>
          <w:tblCellMar>
            <w:top w:w="0" w:type="dxa"/>
            <w:left w:w="108" w:type="dxa"/>
            <w:bottom w:w="0" w:type="dxa"/>
            <w:right w:w="108" w:type="dxa"/>
          </w:tblCellMar>
        </w:tblPrEx>
        <w:trPr>
          <w:trHeight w:val="270" w:hRule="atLeast"/>
          <w:jc w:val="center"/>
        </w:trPr>
        <w:tc>
          <w:tcPr>
            <w:tcW w:w="25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债务发行费用支出</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245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303 </w:t>
            </w:r>
          </w:p>
        </w:tc>
        <w:tc>
          <w:tcPr>
            <w:tcW w:w="12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-58 </w:t>
            </w:r>
          </w:p>
        </w:tc>
        <w:tc>
          <w:tcPr>
            <w:tcW w:w="10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-19.1 </w:t>
            </w:r>
          </w:p>
        </w:tc>
      </w:tr>
    </w:tbl>
    <w:p>
      <w:pPr>
        <w:pStyle w:val="2"/>
        <w:jc w:val="center"/>
        <w:rPr>
          <w:rFonts w:ascii="仿宋" w:hAnsi="仿宋" w:eastAsia="仿宋"/>
          <w:sz w:val="28"/>
          <w:szCs w:val="28"/>
        </w:rPr>
      </w:pPr>
    </w:p>
    <w:p>
      <w:pPr>
        <w:pStyle w:val="2"/>
        <w:jc w:val="center"/>
        <w:rPr>
          <w:rFonts w:ascii="仿宋" w:hAnsi="仿宋" w:eastAsia="仿宋"/>
          <w:sz w:val="28"/>
          <w:szCs w:val="28"/>
        </w:rPr>
      </w:pPr>
      <w:r>
        <w:rPr>
          <w:rFonts w:hint="eastAsia" w:ascii="仿宋" w:hAnsi="仿宋" w:eastAsia="仿宋"/>
          <w:sz w:val="28"/>
          <w:szCs w:val="28"/>
        </w:rPr>
        <w:t>2024年1-7月份全市一般公共预算支出分功能科目占比情况</w:t>
      </w:r>
    </w:p>
    <w:p>
      <w:pPr>
        <w:pStyle w:val="2"/>
        <w:rPr>
          <w:rFonts w:ascii="仿宋_GB2312" w:hAnsi="仿宋" w:eastAsia="仿宋_GB2312" w:cs="宋体"/>
          <w:bCs/>
          <w:kern w:val="0"/>
          <w:sz w:val="32"/>
          <w:szCs w:val="32"/>
        </w:rPr>
      </w:pPr>
      <w:r>
        <w:rPr>
          <w:rFonts w:ascii="仿宋_GB2312" w:hAnsi="仿宋" w:eastAsia="仿宋_GB2312" w:cs="宋体"/>
          <w:bCs/>
          <w:kern w:val="0"/>
          <w:sz w:val="32"/>
          <w:szCs w:val="32"/>
        </w:rPr>
        <w:drawing>
          <wp:inline distT="0" distB="0" distL="0" distR="0">
            <wp:extent cx="5523865" cy="4453255"/>
            <wp:effectExtent l="19050" t="0" r="19685" b="4445"/>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napToGrid w:val="0"/>
        <w:ind w:firstLine="643" w:firstLineChars="200"/>
        <w:rPr>
          <w:rFonts w:cs="宋体" w:asciiTheme="majorEastAsia" w:hAnsiTheme="majorEastAsia" w:eastAsiaTheme="majorEastAsia"/>
          <w:b/>
          <w:bCs/>
          <w:kern w:val="0"/>
          <w:sz w:val="32"/>
          <w:szCs w:val="32"/>
        </w:rPr>
      </w:pPr>
    </w:p>
    <w:p>
      <w:pPr>
        <w:snapToGrid w:val="0"/>
        <w:ind w:firstLine="643" w:firstLineChars="200"/>
        <w:rPr>
          <w:rFonts w:cs="宋体" w:asciiTheme="majorEastAsia" w:hAnsiTheme="majorEastAsia" w:eastAsiaTheme="majorEastAsia"/>
          <w:b/>
          <w:bCs/>
          <w:kern w:val="0"/>
          <w:sz w:val="32"/>
          <w:szCs w:val="32"/>
        </w:rPr>
      </w:pPr>
      <w:r>
        <w:rPr>
          <w:rFonts w:hint="eastAsia" w:cs="宋体" w:asciiTheme="majorEastAsia" w:hAnsiTheme="majorEastAsia" w:eastAsiaTheme="majorEastAsia"/>
          <w:b/>
          <w:bCs/>
          <w:kern w:val="0"/>
          <w:sz w:val="32"/>
          <w:szCs w:val="32"/>
        </w:rPr>
        <w:t>（二）政府性基金预算支出</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2024年1-7月份，全市政府性基金预算支出16.8亿元，同比增加7.7亿元，增长85.7%。其中：</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1.国有土地使用权出让收入安排的支出1.7亿元，同比增加1.5亿元，增长632.1%。主要是盘山县补缴耕地占用税及占地补偿新增费同比增加0.3亿元；兴隆台区支付征地补偿费同比增加0.9亿元；辽滨经开区支付盘锦港中储粮东北综合产业基金项目用地补偿增加0.2亿元</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2.其他支出10.2亿元，同比增加4.3亿元，增长71.3%。主要是其他地方自行试点项目收益专项债券收入安排的支出同比增加4.2亿元。</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3.债务付息支出4.3亿元，同比增加2.1亿元，增长93.0%。</w:t>
      </w:r>
    </w:p>
    <w:p>
      <w:pPr>
        <w:pStyle w:val="2"/>
        <w:ind w:firstLine="1280"/>
        <w:rPr>
          <w:rFonts w:ascii="仿宋_GB2312" w:hAnsi="仿宋" w:eastAsia="仿宋_GB2312" w:cs="宋体"/>
          <w:bCs/>
          <w:kern w:val="0"/>
          <w:sz w:val="32"/>
          <w:szCs w:val="32"/>
        </w:rPr>
      </w:pPr>
    </w:p>
    <w:p>
      <w:pPr>
        <w:pStyle w:val="2"/>
        <w:spacing w:line="300" w:lineRule="exact"/>
        <w:ind w:right="1469" w:firstLine="420" w:firstLineChars="150"/>
        <w:rPr>
          <w:rFonts w:ascii="仿宋" w:hAnsi="仿宋" w:eastAsia="仿宋"/>
          <w:sz w:val="28"/>
          <w:szCs w:val="28"/>
        </w:rPr>
      </w:pPr>
      <w:r>
        <w:rPr>
          <w:rFonts w:hint="eastAsia" w:ascii="仿宋" w:hAnsi="仿宋" w:eastAsia="仿宋"/>
          <w:sz w:val="28"/>
          <w:szCs w:val="28"/>
        </w:rPr>
        <w:t>2024年1-7月份全市政府性基金预算支出变动情况表</w:t>
      </w:r>
    </w:p>
    <w:p>
      <w:pPr>
        <w:pStyle w:val="2"/>
        <w:spacing w:line="300" w:lineRule="exact"/>
        <w:ind w:left="1470" w:right="1469"/>
        <w:rPr>
          <w:rFonts w:ascii="仿宋" w:hAnsi="仿宋" w:eastAsia="仿宋"/>
          <w:sz w:val="28"/>
          <w:szCs w:val="28"/>
        </w:rPr>
      </w:pPr>
      <w:r>
        <w:rPr>
          <w:rFonts w:hint="eastAsia" w:ascii="仿宋" w:hAnsi="仿宋" w:eastAsia="仿宋"/>
          <w:sz w:val="28"/>
          <w:szCs w:val="28"/>
        </w:rPr>
        <w:t>单位：万元</w:t>
      </w:r>
    </w:p>
    <w:p>
      <w:pPr>
        <w:pStyle w:val="2"/>
        <w:spacing w:line="300" w:lineRule="exact"/>
        <w:ind w:right="1470"/>
        <w:rPr>
          <w:rFonts w:ascii="仿宋" w:hAnsi="仿宋" w:eastAsia="仿宋"/>
          <w:sz w:val="28"/>
          <w:szCs w:val="28"/>
        </w:rPr>
      </w:pPr>
    </w:p>
    <w:tbl>
      <w:tblPr>
        <w:tblStyle w:val="9"/>
        <w:tblW w:w="5910" w:type="dxa"/>
        <w:jc w:val="center"/>
        <w:tblLayout w:type="fixed"/>
        <w:tblCellMar>
          <w:top w:w="0" w:type="dxa"/>
          <w:left w:w="108" w:type="dxa"/>
          <w:bottom w:w="0" w:type="dxa"/>
          <w:right w:w="108" w:type="dxa"/>
        </w:tblCellMar>
      </w:tblPr>
      <w:tblGrid>
        <w:gridCol w:w="1500"/>
        <w:gridCol w:w="1110"/>
        <w:gridCol w:w="1125"/>
        <w:gridCol w:w="1065"/>
        <w:gridCol w:w="1110"/>
      </w:tblGrid>
      <w:tr>
        <w:tblPrEx>
          <w:tblCellMar>
            <w:top w:w="0" w:type="dxa"/>
            <w:left w:w="108" w:type="dxa"/>
            <w:bottom w:w="0" w:type="dxa"/>
            <w:right w:w="108" w:type="dxa"/>
          </w:tblCellMar>
        </w:tblPrEx>
        <w:trPr>
          <w:trHeight w:val="300" w:hRule="atLeast"/>
          <w:jc w:val="center"/>
        </w:trPr>
        <w:tc>
          <w:tcPr>
            <w:tcW w:w="150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分地区</w:t>
            </w:r>
          </w:p>
        </w:tc>
        <w:tc>
          <w:tcPr>
            <w:tcW w:w="111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  期</w:t>
            </w:r>
          </w:p>
        </w:tc>
        <w:tc>
          <w:tcPr>
            <w:tcW w:w="112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同  期</w:t>
            </w:r>
          </w:p>
        </w:tc>
        <w:tc>
          <w:tcPr>
            <w:tcW w:w="106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增减额</w:t>
            </w:r>
          </w:p>
        </w:tc>
        <w:tc>
          <w:tcPr>
            <w:tcW w:w="111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增减%</w:t>
            </w:r>
          </w:p>
        </w:tc>
      </w:tr>
      <w:tr>
        <w:tblPrEx>
          <w:tblCellMar>
            <w:top w:w="0" w:type="dxa"/>
            <w:left w:w="108" w:type="dxa"/>
            <w:bottom w:w="0" w:type="dxa"/>
            <w:right w:w="108" w:type="dxa"/>
          </w:tblCellMar>
        </w:tblPrEx>
        <w:trPr>
          <w:trHeight w:val="300" w:hRule="atLeast"/>
          <w:jc w:val="center"/>
        </w:trPr>
        <w:tc>
          <w:tcPr>
            <w:tcW w:w="15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全市合计 </w:t>
            </w:r>
          </w:p>
        </w:tc>
        <w:tc>
          <w:tcPr>
            <w:tcW w:w="1110" w:type="dxa"/>
            <w:tcBorders>
              <w:top w:val="nil"/>
              <w:left w:val="nil"/>
              <w:bottom w:val="single" w:color="auto" w:sz="4" w:space="0"/>
              <w:right w:val="single" w:color="auto" w:sz="4" w:space="0"/>
            </w:tcBorders>
            <w:noWrap/>
            <w:vAlign w:val="center"/>
          </w:tcPr>
          <w:p>
            <w:pPr>
              <w:jc w:val="right"/>
              <w:rPr>
                <w:rFonts w:cs="Arial" w:asciiTheme="minorEastAsia" w:hAnsiTheme="minorEastAsia"/>
                <w:bCs/>
                <w:sz w:val="18"/>
                <w:szCs w:val="18"/>
              </w:rPr>
            </w:pPr>
            <w:r>
              <w:rPr>
                <w:rFonts w:cs="Arial" w:asciiTheme="minorEastAsia" w:hAnsiTheme="minorEastAsia"/>
                <w:bCs/>
                <w:sz w:val="18"/>
                <w:szCs w:val="18"/>
              </w:rPr>
              <w:t xml:space="preserve">167,664 </w:t>
            </w:r>
          </w:p>
        </w:tc>
        <w:tc>
          <w:tcPr>
            <w:tcW w:w="1125" w:type="dxa"/>
            <w:tcBorders>
              <w:top w:val="nil"/>
              <w:left w:val="nil"/>
              <w:bottom w:val="single" w:color="auto" w:sz="4" w:space="0"/>
              <w:right w:val="single" w:color="auto" w:sz="4" w:space="0"/>
            </w:tcBorders>
            <w:noWrap/>
            <w:vAlign w:val="center"/>
          </w:tcPr>
          <w:p>
            <w:pPr>
              <w:jc w:val="right"/>
              <w:rPr>
                <w:rFonts w:cs="Arial" w:asciiTheme="minorEastAsia" w:hAnsiTheme="minorEastAsia"/>
                <w:bCs/>
                <w:sz w:val="18"/>
                <w:szCs w:val="18"/>
              </w:rPr>
            </w:pPr>
            <w:r>
              <w:rPr>
                <w:rFonts w:cs="Arial" w:asciiTheme="minorEastAsia" w:hAnsiTheme="minorEastAsia"/>
                <w:bCs/>
                <w:sz w:val="18"/>
                <w:szCs w:val="18"/>
              </w:rPr>
              <w:t xml:space="preserve">90,267 </w:t>
            </w:r>
          </w:p>
        </w:tc>
        <w:tc>
          <w:tcPr>
            <w:tcW w:w="1065" w:type="dxa"/>
            <w:tcBorders>
              <w:top w:val="nil"/>
              <w:left w:val="nil"/>
              <w:bottom w:val="single" w:color="auto" w:sz="4" w:space="0"/>
              <w:right w:val="single" w:color="auto" w:sz="4" w:space="0"/>
            </w:tcBorders>
            <w:noWrap/>
            <w:vAlign w:val="center"/>
          </w:tcPr>
          <w:p>
            <w:pPr>
              <w:jc w:val="right"/>
              <w:rPr>
                <w:rFonts w:cs="Arial" w:asciiTheme="minorEastAsia" w:hAnsiTheme="minorEastAsia"/>
                <w:bCs/>
                <w:sz w:val="18"/>
                <w:szCs w:val="18"/>
              </w:rPr>
            </w:pPr>
            <w:r>
              <w:rPr>
                <w:rFonts w:cs="Arial" w:asciiTheme="minorEastAsia" w:hAnsiTheme="minorEastAsia"/>
                <w:bCs/>
                <w:sz w:val="18"/>
                <w:szCs w:val="18"/>
              </w:rPr>
              <w:t xml:space="preserve">77,397 </w:t>
            </w:r>
          </w:p>
        </w:tc>
        <w:tc>
          <w:tcPr>
            <w:tcW w:w="1110" w:type="dxa"/>
            <w:tcBorders>
              <w:top w:val="nil"/>
              <w:left w:val="nil"/>
              <w:bottom w:val="single" w:color="auto" w:sz="4" w:space="0"/>
              <w:right w:val="single" w:color="auto" w:sz="4" w:space="0"/>
            </w:tcBorders>
            <w:noWrap/>
            <w:vAlign w:val="center"/>
          </w:tcPr>
          <w:p>
            <w:pPr>
              <w:jc w:val="right"/>
              <w:rPr>
                <w:rFonts w:cs="Arial" w:asciiTheme="minorEastAsia" w:hAnsiTheme="minorEastAsia"/>
                <w:bCs/>
                <w:sz w:val="18"/>
                <w:szCs w:val="18"/>
              </w:rPr>
            </w:pPr>
            <w:r>
              <w:rPr>
                <w:rFonts w:cs="Arial" w:asciiTheme="minorEastAsia" w:hAnsiTheme="minorEastAsia"/>
                <w:bCs/>
                <w:sz w:val="18"/>
                <w:szCs w:val="18"/>
              </w:rPr>
              <w:t xml:space="preserve">85.7 </w:t>
            </w:r>
          </w:p>
        </w:tc>
      </w:tr>
      <w:tr>
        <w:tblPrEx>
          <w:tblCellMar>
            <w:top w:w="0" w:type="dxa"/>
            <w:left w:w="108" w:type="dxa"/>
            <w:bottom w:w="0" w:type="dxa"/>
            <w:right w:w="108" w:type="dxa"/>
          </w:tblCellMar>
        </w:tblPrEx>
        <w:trPr>
          <w:trHeight w:val="300" w:hRule="atLeast"/>
          <w:jc w:val="center"/>
        </w:trPr>
        <w:tc>
          <w:tcPr>
            <w:tcW w:w="15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市本级</w:t>
            </w:r>
          </w:p>
        </w:tc>
        <w:tc>
          <w:tcPr>
            <w:tcW w:w="1110" w:type="dxa"/>
            <w:tcBorders>
              <w:top w:val="nil"/>
              <w:left w:val="nil"/>
              <w:bottom w:val="single" w:color="auto" w:sz="4" w:space="0"/>
              <w:right w:val="single" w:color="auto" w:sz="4" w:space="0"/>
            </w:tcBorders>
            <w:noWrap/>
            <w:vAlign w:val="center"/>
          </w:tcPr>
          <w:p>
            <w:pPr>
              <w:ind w:right="90"/>
              <w:jc w:val="right"/>
              <w:rPr>
                <w:rFonts w:cs="Arial" w:asciiTheme="minorEastAsia" w:hAnsiTheme="minorEastAsia"/>
                <w:sz w:val="18"/>
                <w:szCs w:val="18"/>
              </w:rPr>
            </w:pPr>
            <w:r>
              <w:rPr>
                <w:rFonts w:cs="Arial" w:asciiTheme="minorEastAsia" w:hAnsiTheme="minorEastAsia"/>
                <w:sz w:val="18"/>
                <w:szCs w:val="18"/>
              </w:rPr>
              <w:t xml:space="preserve">62,653 </w:t>
            </w:r>
          </w:p>
        </w:tc>
        <w:tc>
          <w:tcPr>
            <w:tcW w:w="1125" w:type="dxa"/>
            <w:tcBorders>
              <w:top w:val="nil"/>
              <w:left w:val="nil"/>
              <w:bottom w:val="single" w:color="auto" w:sz="4" w:space="0"/>
              <w:right w:val="single" w:color="auto" w:sz="4" w:space="0"/>
            </w:tcBorders>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45,071 </w:t>
            </w:r>
          </w:p>
        </w:tc>
        <w:tc>
          <w:tcPr>
            <w:tcW w:w="1065" w:type="dxa"/>
            <w:tcBorders>
              <w:top w:val="nil"/>
              <w:left w:val="nil"/>
              <w:bottom w:val="single" w:color="auto" w:sz="4" w:space="0"/>
              <w:right w:val="single" w:color="auto" w:sz="4" w:space="0"/>
            </w:tcBorders>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17,582 </w:t>
            </w:r>
          </w:p>
        </w:tc>
        <w:tc>
          <w:tcPr>
            <w:tcW w:w="1110" w:type="dxa"/>
            <w:tcBorders>
              <w:top w:val="nil"/>
              <w:left w:val="nil"/>
              <w:bottom w:val="single" w:color="auto" w:sz="4" w:space="0"/>
              <w:right w:val="single" w:color="auto" w:sz="4" w:space="0"/>
            </w:tcBorders>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39.0 </w:t>
            </w:r>
          </w:p>
        </w:tc>
      </w:tr>
      <w:tr>
        <w:tblPrEx>
          <w:tblCellMar>
            <w:top w:w="0" w:type="dxa"/>
            <w:left w:w="108" w:type="dxa"/>
            <w:bottom w:w="0" w:type="dxa"/>
            <w:right w:w="108" w:type="dxa"/>
          </w:tblCellMar>
        </w:tblPrEx>
        <w:trPr>
          <w:trHeight w:val="300" w:hRule="atLeast"/>
          <w:jc w:val="center"/>
        </w:trPr>
        <w:tc>
          <w:tcPr>
            <w:tcW w:w="15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县区小计</w:t>
            </w:r>
          </w:p>
        </w:tc>
        <w:tc>
          <w:tcPr>
            <w:tcW w:w="1110" w:type="dxa"/>
            <w:tcBorders>
              <w:top w:val="nil"/>
              <w:left w:val="nil"/>
              <w:bottom w:val="single" w:color="auto" w:sz="4" w:space="0"/>
              <w:right w:val="single" w:color="auto" w:sz="4" w:space="0"/>
            </w:tcBorders>
            <w:noWrap/>
            <w:vAlign w:val="center"/>
          </w:tcPr>
          <w:p>
            <w:pPr>
              <w:jc w:val="right"/>
              <w:rPr>
                <w:rFonts w:cs="Arial" w:asciiTheme="minorEastAsia" w:hAnsiTheme="minorEastAsia"/>
                <w:bCs/>
                <w:sz w:val="18"/>
                <w:szCs w:val="18"/>
              </w:rPr>
            </w:pPr>
            <w:r>
              <w:rPr>
                <w:rFonts w:cs="Arial" w:asciiTheme="minorEastAsia" w:hAnsiTheme="minorEastAsia"/>
                <w:bCs/>
                <w:sz w:val="18"/>
                <w:szCs w:val="18"/>
              </w:rPr>
              <w:t xml:space="preserve">105,011 </w:t>
            </w:r>
          </w:p>
        </w:tc>
        <w:tc>
          <w:tcPr>
            <w:tcW w:w="1125" w:type="dxa"/>
            <w:tcBorders>
              <w:top w:val="nil"/>
              <w:left w:val="nil"/>
              <w:bottom w:val="single" w:color="auto" w:sz="4" w:space="0"/>
              <w:right w:val="single" w:color="auto" w:sz="4" w:space="0"/>
            </w:tcBorders>
            <w:noWrap/>
            <w:vAlign w:val="center"/>
          </w:tcPr>
          <w:p>
            <w:pPr>
              <w:jc w:val="right"/>
              <w:rPr>
                <w:rFonts w:cs="Arial" w:asciiTheme="minorEastAsia" w:hAnsiTheme="minorEastAsia"/>
                <w:bCs/>
                <w:sz w:val="18"/>
                <w:szCs w:val="18"/>
              </w:rPr>
            </w:pPr>
            <w:r>
              <w:rPr>
                <w:rFonts w:cs="Arial" w:asciiTheme="minorEastAsia" w:hAnsiTheme="minorEastAsia"/>
                <w:bCs/>
                <w:sz w:val="18"/>
                <w:szCs w:val="18"/>
              </w:rPr>
              <w:t xml:space="preserve">45,196 </w:t>
            </w:r>
          </w:p>
        </w:tc>
        <w:tc>
          <w:tcPr>
            <w:tcW w:w="1065" w:type="dxa"/>
            <w:tcBorders>
              <w:top w:val="nil"/>
              <w:left w:val="nil"/>
              <w:bottom w:val="single" w:color="auto" w:sz="4" w:space="0"/>
              <w:right w:val="single" w:color="auto" w:sz="4" w:space="0"/>
            </w:tcBorders>
            <w:noWrap/>
            <w:vAlign w:val="center"/>
          </w:tcPr>
          <w:p>
            <w:pPr>
              <w:jc w:val="right"/>
              <w:rPr>
                <w:rFonts w:cs="Arial" w:asciiTheme="minorEastAsia" w:hAnsiTheme="minorEastAsia"/>
                <w:bCs/>
                <w:sz w:val="18"/>
                <w:szCs w:val="18"/>
              </w:rPr>
            </w:pPr>
            <w:r>
              <w:rPr>
                <w:rFonts w:cs="Arial" w:asciiTheme="minorEastAsia" w:hAnsiTheme="minorEastAsia"/>
                <w:bCs/>
                <w:sz w:val="18"/>
                <w:szCs w:val="18"/>
              </w:rPr>
              <w:t xml:space="preserve">59,815 </w:t>
            </w:r>
          </w:p>
        </w:tc>
        <w:tc>
          <w:tcPr>
            <w:tcW w:w="1110" w:type="dxa"/>
            <w:tcBorders>
              <w:top w:val="nil"/>
              <w:left w:val="nil"/>
              <w:bottom w:val="single" w:color="auto" w:sz="4" w:space="0"/>
              <w:right w:val="single" w:color="auto" w:sz="4" w:space="0"/>
            </w:tcBorders>
            <w:noWrap/>
            <w:vAlign w:val="center"/>
          </w:tcPr>
          <w:p>
            <w:pPr>
              <w:jc w:val="right"/>
              <w:rPr>
                <w:rFonts w:cs="Arial" w:asciiTheme="minorEastAsia" w:hAnsiTheme="minorEastAsia"/>
                <w:bCs/>
                <w:sz w:val="18"/>
                <w:szCs w:val="18"/>
              </w:rPr>
            </w:pPr>
            <w:r>
              <w:rPr>
                <w:rFonts w:cs="Arial" w:asciiTheme="minorEastAsia" w:hAnsiTheme="minorEastAsia"/>
                <w:bCs/>
                <w:sz w:val="18"/>
                <w:szCs w:val="18"/>
              </w:rPr>
              <w:t xml:space="preserve">132.3 </w:t>
            </w:r>
          </w:p>
        </w:tc>
      </w:tr>
      <w:tr>
        <w:tblPrEx>
          <w:tblCellMar>
            <w:top w:w="0" w:type="dxa"/>
            <w:left w:w="108" w:type="dxa"/>
            <w:bottom w:w="0" w:type="dxa"/>
            <w:right w:w="108" w:type="dxa"/>
          </w:tblCellMar>
        </w:tblPrEx>
        <w:trPr>
          <w:trHeight w:val="300" w:hRule="atLeast"/>
          <w:jc w:val="center"/>
        </w:trPr>
        <w:tc>
          <w:tcPr>
            <w:tcW w:w="15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盘山县</w:t>
            </w:r>
          </w:p>
        </w:tc>
        <w:tc>
          <w:tcPr>
            <w:tcW w:w="1110" w:type="dxa"/>
            <w:tcBorders>
              <w:top w:val="nil"/>
              <w:left w:val="nil"/>
              <w:bottom w:val="single" w:color="auto" w:sz="4" w:space="0"/>
              <w:right w:val="single" w:color="auto" w:sz="4" w:space="0"/>
            </w:tcBorders>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14,494 </w:t>
            </w:r>
          </w:p>
        </w:tc>
        <w:tc>
          <w:tcPr>
            <w:tcW w:w="1125" w:type="dxa"/>
            <w:tcBorders>
              <w:top w:val="nil"/>
              <w:left w:val="nil"/>
              <w:bottom w:val="single" w:color="auto" w:sz="4" w:space="0"/>
              <w:right w:val="single" w:color="auto" w:sz="4" w:space="0"/>
            </w:tcBorders>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12,585 </w:t>
            </w:r>
          </w:p>
        </w:tc>
        <w:tc>
          <w:tcPr>
            <w:tcW w:w="1065" w:type="dxa"/>
            <w:tcBorders>
              <w:top w:val="nil"/>
              <w:left w:val="nil"/>
              <w:bottom w:val="single" w:color="auto" w:sz="4" w:space="0"/>
              <w:right w:val="single" w:color="auto" w:sz="4" w:space="0"/>
            </w:tcBorders>
            <w:noWrap/>
            <w:vAlign w:val="center"/>
          </w:tcPr>
          <w:p>
            <w:pPr>
              <w:jc w:val="right"/>
              <w:rPr>
                <w:rFonts w:cs="Arial" w:asciiTheme="minorEastAsia" w:hAnsiTheme="minorEastAsia"/>
                <w:bCs/>
                <w:sz w:val="18"/>
                <w:szCs w:val="18"/>
              </w:rPr>
            </w:pPr>
            <w:r>
              <w:rPr>
                <w:rFonts w:cs="Arial" w:asciiTheme="minorEastAsia" w:hAnsiTheme="minorEastAsia"/>
                <w:bCs/>
                <w:sz w:val="18"/>
                <w:szCs w:val="18"/>
              </w:rPr>
              <w:t xml:space="preserve">1,909 </w:t>
            </w:r>
          </w:p>
        </w:tc>
        <w:tc>
          <w:tcPr>
            <w:tcW w:w="1110" w:type="dxa"/>
            <w:tcBorders>
              <w:top w:val="nil"/>
              <w:left w:val="nil"/>
              <w:bottom w:val="single" w:color="auto" w:sz="4" w:space="0"/>
              <w:right w:val="single" w:color="auto" w:sz="4" w:space="0"/>
            </w:tcBorders>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15.2 </w:t>
            </w:r>
          </w:p>
        </w:tc>
      </w:tr>
      <w:tr>
        <w:tblPrEx>
          <w:tblCellMar>
            <w:top w:w="0" w:type="dxa"/>
            <w:left w:w="108" w:type="dxa"/>
            <w:bottom w:w="0" w:type="dxa"/>
            <w:right w:w="108" w:type="dxa"/>
          </w:tblCellMar>
        </w:tblPrEx>
        <w:trPr>
          <w:trHeight w:val="300" w:hRule="atLeast"/>
          <w:jc w:val="center"/>
        </w:trPr>
        <w:tc>
          <w:tcPr>
            <w:tcW w:w="15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双台子区</w:t>
            </w:r>
          </w:p>
        </w:tc>
        <w:tc>
          <w:tcPr>
            <w:tcW w:w="1110" w:type="dxa"/>
            <w:tcBorders>
              <w:top w:val="nil"/>
              <w:left w:val="nil"/>
              <w:bottom w:val="single" w:color="auto" w:sz="4" w:space="0"/>
              <w:right w:val="single" w:color="auto" w:sz="4" w:space="0"/>
            </w:tcBorders>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5,506 </w:t>
            </w:r>
          </w:p>
        </w:tc>
        <w:tc>
          <w:tcPr>
            <w:tcW w:w="1125" w:type="dxa"/>
            <w:tcBorders>
              <w:top w:val="nil"/>
              <w:left w:val="nil"/>
              <w:bottom w:val="single" w:color="auto" w:sz="4" w:space="0"/>
              <w:right w:val="single" w:color="auto" w:sz="4" w:space="0"/>
            </w:tcBorders>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11,933 </w:t>
            </w:r>
          </w:p>
        </w:tc>
        <w:tc>
          <w:tcPr>
            <w:tcW w:w="1065" w:type="dxa"/>
            <w:tcBorders>
              <w:top w:val="nil"/>
              <w:left w:val="nil"/>
              <w:bottom w:val="single" w:color="auto" w:sz="4" w:space="0"/>
              <w:right w:val="single" w:color="auto" w:sz="4" w:space="0"/>
            </w:tcBorders>
            <w:noWrap/>
            <w:vAlign w:val="center"/>
          </w:tcPr>
          <w:p>
            <w:pPr>
              <w:jc w:val="right"/>
              <w:rPr>
                <w:rFonts w:cs="Arial" w:asciiTheme="minorEastAsia" w:hAnsiTheme="minorEastAsia"/>
                <w:bCs/>
                <w:sz w:val="18"/>
                <w:szCs w:val="18"/>
              </w:rPr>
            </w:pPr>
            <w:r>
              <w:rPr>
                <w:rFonts w:cs="Arial" w:asciiTheme="minorEastAsia" w:hAnsiTheme="minorEastAsia"/>
                <w:bCs/>
                <w:sz w:val="18"/>
                <w:szCs w:val="18"/>
              </w:rPr>
              <w:t xml:space="preserve">-6,427 </w:t>
            </w:r>
          </w:p>
        </w:tc>
        <w:tc>
          <w:tcPr>
            <w:tcW w:w="1110" w:type="dxa"/>
            <w:tcBorders>
              <w:top w:val="nil"/>
              <w:left w:val="nil"/>
              <w:bottom w:val="single" w:color="auto" w:sz="4" w:space="0"/>
              <w:right w:val="single" w:color="auto" w:sz="4" w:space="0"/>
            </w:tcBorders>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-53.9 </w:t>
            </w:r>
          </w:p>
        </w:tc>
      </w:tr>
      <w:tr>
        <w:tblPrEx>
          <w:tblCellMar>
            <w:top w:w="0" w:type="dxa"/>
            <w:left w:w="108" w:type="dxa"/>
            <w:bottom w:w="0" w:type="dxa"/>
            <w:right w:w="108" w:type="dxa"/>
          </w:tblCellMar>
        </w:tblPrEx>
        <w:trPr>
          <w:trHeight w:val="300" w:hRule="atLeast"/>
          <w:jc w:val="center"/>
        </w:trPr>
        <w:tc>
          <w:tcPr>
            <w:tcW w:w="15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兴隆台区</w:t>
            </w:r>
          </w:p>
        </w:tc>
        <w:tc>
          <w:tcPr>
            <w:tcW w:w="1110" w:type="dxa"/>
            <w:tcBorders>
              <w:top w:val="nil"/>
              <w:left w:val="nil"/>
              <w:bottom w:val="single" w:color="auto" w:sz="4" w:space="0"/>
              <w:right w:val="single" w:color="auto" w:sz="4" w:space="0"/>
            </w:tcBorders>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15,103 </w:t>
            </w:r>
          </w:p>
        </w:tc>
        <w:tc>
          <w:tcPr>
            <w:tcW w:w="1125" w:type="dxa"/>
            <w:tcBorders>
              <w:top w:val="nil"/>
              <w:left w:val="nil"/>
              <w:bottom w:val="single" w:color="auto" w:sz="4" w:space="0"/>
              <w:right w:val="single" w:color="auto" w:sz="4" w:space="0"/>
            </w:tcBorders>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3,570 </w:t>
            </w:r>
          </w:p>
        </w:tc>
        <w:tc>
          <w:tcPr>
            <w:tcW w:w="1065" w:type="dxa"/>
            <w:tcBorders>
              <w:top w:val="nil"/>
              <w:left w:val="nil"/>
              <w:bottom w:val="single" w:color="auto" w:sz="4" w:space="0"/>
              <w:right w:val="single" w:color="auto" w:sz="4" w:space="0"/>
            </w:tcBorders>
            <w:noWrap/>
            <w:vAlign w:val="center"/>
          </w:tcPr>
          <w:p>
            <w:pPr>
              <w:jc w:val="right"/>
              <w:rPr>
                <w:rFonts w:cs="Arial" w:asciiTheme="minorEastAsia" w:hAnsiTheme="minorEastAsia"/>
                <w:bCs/>
                <w:sz w:val="18"/>
                <w:szCs w:val="18"/>
              </w:rPr>
            </w:pPr>
            <w:r>
              <w:rPr>
                <w:rFonts w:cs="Arial" w:asciiTheme="minorEastAsia" w:hAnsiTheme="minorEastAsia"/>
                <w:bCs/>
                <w:sz w:val="18"/>
                <w:szCs w:val="18"/>
              </w:rPr>
              <w:t xml:space="preserve">11,533 </w:t>
            </w:r>
          </w:p>
        </w:tc>
        <w:tc>
          <w:tcPr>
            <w:tcW w:w="1110" w:type="dxa"/>
            <w:tcBorders>
              <w:top w:val="nil"/>
              <w:left w:val="nil"/>
              <w:bottom w:val="single" w:color="auto" w:sz="4" w:space="0"/>
              <w:right w:val="single" w:color="auto" w:sz="4" w:space="0"/>
            </w:tcBorders>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323.1 </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大洼区</w:t>
            </w:r>
          </w:p>
        </w:tc>
        <w:tc>
          <w:tcPr>
            <w:tcW w:w="1110" w:type="dxa"/>
            <w:tcBorders>
              <w:top w:val="nil"/>
              <w:left w:val="nil"/>
              <w:bottom w:val="single" w:color="auto" w:sz="4" w:space="0"/>
              <w:right w:val="single" w:color="auto" w:sz="4" w:space="0"/>
            </w:tcBorders>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10,522 </w:t>
            </w:r>
          </w:p>
        </w:tc>
        <w:tc>
          <w:tcPr>
            <w:tcW w:w="1125" w:type="dxa"/>
            <w:tcBorders>
              <w:top w:val="nil"/>
              <w:left w:val="nil"/>
              <w:bottom w:val="single" w:color="auto" w:sz="4" w:space="0"/>
              <w:right w:val="single" w:color="auto" w:sz="4" w:space="0"/>
            </w:tcBorders>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7,016 </w:t>
            </w:r>
          </w:p>
        </w:tc>
        <w:tc>
          <w:tcPr>
            <w:tcW w:w="1065" w:type="dxa"/>
            <w:tcBorders>
              <w:top w:val="nil"/>
              <w:left w:val="nil"/>
              <w:bottom w:val="single" w:color="auto" w:sz="4" w:space="0"/>
              <w:right w:val="single" w:color="auto" w:sz="4" w:space="0"/>
            </w:tcBorders>
            <w:noWrap/>
            <w:vAlign w:val="center"/>
          </w:tcPr>
          <w:p>
            <w:pPr>
              <w:jc w:val="right"/>
              <w:rPr>
                <w:rFonts w:cs="Arial" w:asciiTheme="minorEastAsia" w:hAnsiTheme="minorEastAsia"/>
                <w:bCs/>
                <w:sz w:val="18"/>
                <w:szCs w:val="18"/>
              </w:rPr>
            </w:pPr>
            <w:r>
              <w:rPr>
                <w:rFonts w:cs="Arial" w:asciiTheme="minorEastAsia" w:hAnsiTheme="minorEastAsia"/>
                <w:bCs/>
                <w:sz w:val="18"/>
                <w:szCs w:val="18"/>
              </w:rPr>
              <w:t xml:space="preserve">3,506 </w:t>
            </w:r>
          </w:p>
        </w:tc>
        <w:tc>
          <w:tcPr>
            <w:tcW w:w="1110" w:type="dxa"/>
            <w:tcBorders>
              <w:top w:val="nil"/>
              <w:left w:val="nil"/>
              <w:bottom w:val="single" w:color="auto" w:sz="4" w:space="0"/>
              <w:right w:val="single" w:color="auto" w:sz="4" w:space="0"/>
            </w:tcBorders>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50.0 </w:t>
            </w:r>
          </w:p>
        </w:tc>
      </w:tr>
      <w:tr>
        <w:tblPrEx>
          <w:tblCellMar>
            <w:top w:w="0" w:type="dxa"/>
            <w:left w:w="108" w:type="dxa"/>
            <w:bottom w:w="0" w:type="dxa"/>
            <w:right w:w="108" w:type="dxa"/>
          </w:tblCellMar>
        </w:tblPrEx>
        <w:trPr>
          <w:trHeight w:val="270" w:hRule="atLeast"/>
          <w:jc w:val="center"/>
        </w:trPr>
        <w:tc>
          <w:tcPr>
            <w:tcW w:w="150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辽滨经开区</w:t>
            </w:r>
          </w:p>
        </w:tc>
        <w:tc>
          <w:tcPr>
            <w:tcW w:w="1110" w:type="dxa"/>
            <w:tcBorders>
              <w:top w:val="nil"/>
              <w:left w:val="nil"/>
              <w:bottom w:val="single" w:color="auto" w:sz="4" w:space="0"/>
              <w:right w:val="single" w:color="auto" w:sz="4" w:space="0"/>
            </w:tcBorders>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59,386 </w:t>
            </w:r>
          </w:p>
        </w:tc>
        <w:tc>
          <w:tcPr>
            <w:tcW w:w="1125" w:type="dxa"/>
            <w:tcBorders>
              <w:top w:val="nil"/>
              <w:left w:val="nil"/>
              <w:bottom w:val="single" w:color="auto" w:sz="4" w:space="0"/>
              <w:right w:val="single" w:color="auto" w:sz="4" w:space="0"/>
            </w:tcBorders>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10,092 </w:t>
            </w:r>
          </w:p>
        </w:tc>
        <w:tc>
          <w:tcPr>
            <w:tcW w:w="1065" w:type="dxa"/>
            <w:tcBorders>
              <w:top w:val="nil"/>
              <w:left w:val="nil"/>
              <w:bottom w:val="single" w:color="auto" w:sz="4" w:space="0"/>
              <w:right w:val="single" w:color="auto" w:sz="4" w:space="0"/>
            </w:tcBorders>
            <w:noWrap/>
            <w:vAlign w:val="center"/>
          </w:tcPr>
          <w:p>
            <w:pPr>
              <w:jc w:val="right"/>
              <w:rPr>
                <w:rFonts w:cs="Arial" w:asciiTheme="minorEastAsia" w:hAnsiTheme="minorEastAsia"/>
                <w:bCs/>
                <w:sz w:val="18"/>
                <w:szCs w:val="18"/>
              </w:rPr>
            </w:pPr>
            <w:r>
              <w:rPr>
                <w:rFonts w:hint="eastAsia" w:cs="Arial" w:asciiTheme="minorEastAsia" w:hAnsiTheme="minorEastAsia"/>
                <w:bCs/>
                <w:sz w:val="18"/>
                <w:szCs w:val="18"/>
              </w:rPr>
              <w:t>4</w:t>
            </w:r>
            <w:r>
              <w:rPr>
                <w:rFonts w:cs="Arial" w:asciiTheme="minorEastAsia" w:hAnsiTheme="minorEastAsia"/>
                <w:bCs/>
                <w:sz w:val="18"/>
                <w:szCs w:val="18"/>
              </w:rPr>
              <w:t xml:space="preserve">9,294 </w:t>
            </w:r>
          </w:p>
        </w:tc>
        <w:tc>
          <w:tcPr>
            <w:tcW w:w="1110" w:type="dxa"/>
            <w:tcBorders>
              <w:top w:val="nil"/>
              <w:left w:val="nil"/>
              <w:bottom w:val="single" w:color="auto" w:sz="4" w:space="0"/>
              <w:right w:val="single" w:color="auto" w:sz="4" w:space="0"/>
            </w:tcBorders>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488.4 </w:t>
            </w:r>
          </w:p>
        </w:tc>
      </w:tr>
    </w:tbl>
    <w:p>
      <w:pPr>
        <w:pStyle w:val="2"/>
        <w:ind w:firstLine="1400" w:firstLineChars="500"/>
        <w:rPr>
          <w:rFonts w:ascii="仿宋" w:hAnsi="仿宋" w:eastAsia="仿宋"/>
          <w:sz w:val="28"/>
          <w:szCs w:val="28"/>
        </w:rPr>
      </w:pPr>
    </w:p>
    <w:p>
      <w:pPr>
        <w:pStyle w:val="2"/>
        <w:ind w:firstLine="1400" w:firstLineChars="500"/>
      </w:pPr>
      <w:r>
        <w:rPr>
          <w:rFonts w:hint="eastAsia" w:ascii="仿宋" w:hAnsi="仿宋" w:eastAsia="仿宋"/>
          <w:sz w:val="28"/>
          <w:szCs w:val="28"/>
        </w:rPr>
        <w:t>2024年1-7月份全市政府性基金预算支出构成情况</w:t>
      </w:r>
    </w:p>
    <w:p>
      <w:pPr>
        <w:pStyle w:val="2"/>
        <w:ind w:firstLine="1280"/>
        <w:jc w:val="center"/>
        <w:rPr>
          <w:rFonts w:ascii="仿宋_GB2312" w:hAnsi="仿宋" w:eastAsia="仿宋_GB2312" w:cs="宋体"/>
          <w:bCs/>
          <w:kern w:val="0"/>
          <w:sz w:val="32"/>
          <w:szCs w:val="32"/>
        </w:rPr>
      </w:pPr>
      <w:r>
        <w:rPr>
          <w:rFonts w:ascii="仿宋_GB2312" w:hAnsi="仿宋" w:eastAsia="仿宋_GB2312" w:cs="宋体"/>
          <w:bCs/>
          <w:kern w:val="0"/>
          <w:sz w:val="32"/>
          <w:szCs w:val="32"/>
        </w:rPr>
        <w:drawing>
          <wp:inline distT="0" distB="0" distL="0" distR="0">
            <wp:extent cx="4457700" cy="2686050"/>
            <wp:effectExtent l="19050" t="0" r="19050" b="0"/>
            <wp:docPr id="1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napToGrid w:val="0"/>
        <w:ind w:firstLine="643" w:firstLineChars="200"/>
        <w:rPr>
          <w:rFonts w:cs="宋体" w:asciiTheme="majorEastAsia" w:hAnsiTheme="majorEastAsia" w:eastAsiaTheme="majorEastAsia"/>
          <w:b/>
          <w:bCs/>
          <w:kern w:val="0"/>
          <w:sz w:val="32"/>
          <w:szCs w:val="32"/>
        </w:rPr>
      </w:pPr>
      <w:r>
        <w:rPr>
          <w:rFonts w:hint="eastAsia" w:cs="宋体" w:asciiTheme="majorEastAsia" w:hAnsiTheme="majorEastAsia" w:eastAsiaTheme="majorEastAsia"/>
          <w:b/>
          <w:bCs/>
          <w:kern w:val="0"/>
          <w:sz w:val="32"/>
          <w:szCs w:val="32"/>
        </w:rPr>
        <w:t>（三）国有资本经营预算支出</w:t>
      </w:r>
    </w:p>
    <w:p>
      <w:pPr>
        <w:snapToGrid w:val="0"/>
        <w:ind w:firstLine="640" w:firstLineChars="200"/>
        <w:rPr>
          <w:rFonts w:ascii="仿宋" w:hAnsi="仿宋" w:eastAsia="仿宋" w:cs="宋体"/>
          <w:bCs/>
          <w:kern w:val="0"/>
          <w:sz w:val="32"/>
          <w:szCs w:val="32"/>
        </w:rPr>
      </w:pPr>
      <w:r>
        <w:rPr>
          <w:rFonts w:hint="eastAsia" w:ascii="仿宋_GB2312" w:hAnsi="仿宋" w:eastAsia="仿宋_GB2312" w:cs="宋体"/>
          <w:bCs/>
          <w:kern w:val="0"/>
          <w:sz w:val="32"/>
          <w:szCs w:val="32"/>
        </w:rPr>
        <w:t>2024年1-7月份，全市国有资本经营预算支出5.1亿元，同比增加2.1亿元，增长69.6%。其中盘山县和大洼区国有企业注入资本金同比分别增加1.6亿元和0.6亿元</w:t>
      </w:r>
      <w:r>
        <w:rPr>
          <w:rFonts w:hint="eastAsia" w:ascii="仿宋" w:hAnsi="仿宋" w:eastAsia="仿宋" w:cs="宋体"/>
          <w:bCs/>
          <w:kern w:val="0"/>
          <w:sz w:val="32"/>
          <w:szCs w:val="32"/>
        </w:rPr>
        <w:t>。</w:t>
      </w:r>
    </w:p>
    <w:p>
      <w:pPr>
        <w:pStyle w:val="2"/>
        <w:spacing w:line="300" w:lineRule="exact"/>
        <w:jc w:val="center"/>
        <w:rPr>
          <w:rFonts w:ascii="仿宋" w:hAnsi="仿宋" w:eastAsia="仿宋"/>
          <w:sz w:val="28"/>
          <w:szCs w:val="28"/>
        </w:rPr>
      </w:pPr>
    </w:p>
    <w:p>
      <w:pPr>
        <w:pStyle w:val="2"/>
        <w:spacing w:line="300" w:lineRule="exact"/>
        <w:jc w:val="center"/>
        <w:rPr>
          <w:rFonts w:ascii="仿宋" w:hAnsi="仿宋" w:eastAsia="仿宋"/>
          <w:sz w:val="28"/>
          <w:szCs w:val="28"/>
        </w:rPr>
      </w:pPr>
      <w:r>
        <w:rPr>
          <w:rFonts w:hint="eastAsia" w:ascii="仿宋" w:hAnsi="仿宋" w:eastAsia="仿宋"/>
          <w:sz w:val="28"/>
          <w:szCs w:val="28"/>
        </w:rPr>
        <w:t>2024年1-7月份全市国有资本经营预算支出变动情况表</w:t>
      </w:r>
    </w:p>
    <w:p>
      <w:pPr>
        <w:pStyle w:val="2"/>
        <w:spacing w:line="300" w:lineRule="exact"/>
        <w:ind w:left="1470" w:right="1470"/>
        <w:jc w:val="center"/>
        <w:rPr>
          <w:rFonts w:ascii="仿宋" w:hAnsi="仿宋" w:eastAsia="仿宋"/>
          <w:sz w:val="28"/>
          <w:szCs w:val="28"/>
        </w:rPr>
      </w:pPr>
      <w:r>
        <w:rPr>
          <w:rFonts w:hint="eastAsia" w:ascii="仿宋" w:hAnsi="仿宋" w:eastAsia="仿宋"/>
          <w:sz w:val="28"/>
          <w:szCs w:val="28"/>
        </w:rPr>
        <w:t>单位：万元</w:t>
      </w:r>
    </w:p>
    <w:p>
      <w:pPr>
        <w:pStyle w:val="2"/>
        <w:ind w:firstLine="840"/>
        <w:jc w:val="center"/>
      </w:pPr>
    </w:p>
    <w:tbl>
      <w:tblPr>
        <w:tblStyle w:val="9"/>
        <w:tblW w:w="5910" w:type="dxa"/>
        <w:jc w:val="center"/>
        <w:tblLayout w:type="fixed"/>
        <w:tblCellMar>
          <w:top w:w="0" w:type="dxa"/>
          <w:left w:w="108" w:type="dxa"/>
          <w:bottom w:w="0" w:type="dxa"/>
          <w:right w:w="108" w:type="dxa"/>
        </w:tblCellMar>
      </w:tblPr>
      <w:tblGrid>
        <w:gridCol w:w="1646"/>
        <w:gridCol w:w="1171"/>
        <w:gridCol w:w="1006"/>
        <w:gridCol w:w="1006"/>
        <w:gridCol w:w="1081"/>
      </w:tblGrid>
      <w:tr>
        <w:tblPrEx>
          <w:tblCellMar>
            <w:top w:w="0" w:type="dxa"/>
            <w:left w:w="108" w:type="dxa"/>
            <w:bottom w:w="0" w:type="dxa"/>
            <w:right w:w="108" w:type="dxa"/>
          </w:tblCellMar>
        </w:tblPrEx>
        <w:trPr>
          <w:trHeight w:val="270" w:hRule="atLeast"/>
          <w:jc w:val="center"/>
        </w:trPr>
        <w:tc>
          <w:tcPr>
            <w:tcW w:w="164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分地区</w:t>
            </w:r>
          </w:p>
        </w:tc>
        <w:tc>
          <w:tcPr>
            <w:tcW w:w="117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  期</w:t>
            </w:r>
          </w:p>
        </w:tc>
        <w:tc>
          <w:tcPr>
            <w:tcW w:w="100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同  期</w:t>
            </w:r>
          </w:p>
        </w:tc>
        <w:tc>
          <w:tcPr>
            <w:tcW w:w="100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增减额</w:t>
            </w:r>
          </w:p>
        </w:tc>
        <w:tc>
          <w:tcPr>
            <w:tcW w:w="108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增减%</w:t>
            </w:r>
          </w:p>
        </w:tc>
      </w:tr>
      <w:tr>
        <w:tblPrEx>
          <w:tblCellMar>
            <w:top w:w="0" w:type="dxa"/>
            <w:left w:w="108" w:type="dxa"/>
            <w:bottom w:w="0" w:type="dxa"/>
            <w:right w:w="108" w:type="dxa"/>
          </w:tblCellMar>
        </w:tblPrEx>
        <w:trPr>
          <w:trHeight w:val="270" w:hRule="atLeast"/>
          <w:jc w:val="center"/>
        </w:trPr>
        <w:tc>
          <w:tcPr>
            <w:tcW w:w="1646"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全市合计</w:t>
            </w:r>
          </w:p>
        </w:tc>
        <w:tc>
          <w:tcPr>
            <w:tcW w:w="1171" w:type="dxa"/>
            <w:tcBorders>
              <w:top w:val="nil"/>
              <w:left w:val="nil"/>
              <w:bottom w:val="single" w:color="auto" w:sz="4" w:space="0"/>
              <w:right w:val="single" w:color="auto" w:sz="4" w:space="0"/>
            </w:tcBorders>
            <w:noWrap/>
            <w:vAlign w:val="center"/>
          </w:tcPr>
          <w:p>
            <w:pPr>
              <w:jc w:val="right"/>
              <w:rPr>
                <w:rFonts w:cs="Arial" w:asciiTheme="minorEastAsia" w:hAnsiTheme="minorEastAsia"/>
                <w:bCs/>
                <w:sz w:val="18"/>
                <w:szCs w:val="18"/>
              </w:rPr>
            </w:pPr>
            <w:r>
              <w:rPr>
                <w:rFonts w:cs="Arial" w:asciiTheme="minorEastAsia" w:hAnsiTheme="minorEastAsia"/>
                <w:bCs/>
                <w:sz w:val="18"/>
                <w:szCs w:val="18"/>
              </w:rPr>
              <w:t xml:space="preserve">51,303 </w:t>
            </w:r>
          </w:p>
        </w:tc>
        <w:tc>
          <w:tcPr>
            <w:tcW w:w="1006" w:type="dxa"/>
            <w:tcBorders>
              <w:top w:val="nil"/>
              <w:left w:val="nil"/>
              <w:bottom w:val="single" w:color="auto" w:sz="4" w:space="0"/>
              <w:right w:val="single" w:color="auto" w:sz="4" w:space="0"/>
            </w:tcBorders>
            <w:noWrap/>
            <w:vAlign w:val="center"/>
          </w:tcPr>
          <w:p>
            <w:pPr>
              <w:jc w:val="right"/>
              <w:rPr>
                <w:rFonts w:cs="Arial" w:asciiTheme="minorEastAsia" w:hAnsiTheme="minorEastAsia"/>
                <w:bCs/>
                <w:sz w:val="18"/>
                <w:szCs w:val="18"/>
              </w:rPr>
            </w:pPr>
            <w:r>
              <w:rPr>
                <w:rFonts w:cs="Arial" w:asciiTheme="minorEastAsia" w:hAnsiTheme="minorEastAsia"/>
                <w:bCs/>
                <w:sz w:val="18"/>
                <w:szCs w:val="18"/>
              </w:rPr>
              <w:t xml:space="preserve">30,246 </w:t>
            </w:r>
          </w:p>
        </w:tc>
        <w:tc>
          <w:tcPr>
            <w:tcW w:w="1006" w:type="dxa"/>
            <w:tcBorders>
              <w:top w:val="nil"/>
              <w:left w:val="nil"/>
              <w:bottom w:val="single" w:color="auto" w:sz="4" w:space="0"/>
              <w:right w:val="single" w:color="auto" w:sz="4" w:space="0"/>
            </w:tcBorders>
            <w:noWrap/>
            <w:vAlign w:val="center"/>
          </w:tcPr>
          <w:p>
            <w:pPr>
              <w:jc w:val="right"/>
              <w:rPr>
                <w:rFonts w:cs="Arial" w:asciiTheme="minorEastAsia" w:hAnsiTheme="minorEastAsia"/>
                <w:bCs/>
                <w:sz w:val="18"/>
                <w:szCs w:val="18"/>
              </w:rPr>
            </w:pPr>
            <w:r>
              <w:rPr>
                <w:rFonts w:cs="Arial" w:asciiTheme="minorEastAsia" w:hAnsiTheme="minorEastAsia"/>
                <w:bCs/>
                <w:sz w:val="18"/>
                <w:szCs w:val="18"/>
              </w:rPr>
              <w:t xml:space="preserve">21,057 </w:t>
            </w:r>
          </w:p>
        </w:tc>
        <w:tc>
          <w:tcPr>
            <w:tcW w:w="1081" w:type="dxa"/>
            <w:tcBorders>
              <w:top w:val="nil"/>
              <w:left w:val="nil"/>
              <w:bottom w:val="single" w:color="auto" w:sz="4" w:space="0"/>
              <w:right w:val="single" w:color="auto" w:sz="4" w:space="0"/>
            </w:tcBorders>
            <w:noWrap/>
            <w:vAlign w:val="center"/>
          </w:tcPr>
          <w:p>
            <w:pPr>
              <w:jc w:val="right"/>
              <w:rPr>
                <w:rFonts w:cs="Arial" w:asciiTheme="minorEastAsia" w:hAnsiTheme="minorEastAsia"/>
                <w:bCs/>
                <w:sz w:val="18"/>
                <w:szCs w:val="18"/>
              </w:rPr>
            </w:pPr>
            <w:r>
              <w:rPr>
                <w:rFonts w:cs="Arial" w:asciiTheme="minorEastAsia" w:hAnsiTheme="minorEastAsia"/>
                <w:bCs/>
                <w:sz w:val="18"/>
                <w:szCs w:val="18"/>
              </w:rPr>
              <w:t xml:space="preserve">69.6 </w:t>
            </w:r>
          </w:p>
        </w:tc>
      </w:tr>
      <w:tr>
        <w:tblPrEx>
          <w:tblCellMar>
            <w:top w:w="0" w:type="dxa"/>
            <w:left w:w="108" w:type="dxa"/>
            <w:bottom w:w="0" w:type="dxa"/>
            <w:right w:w="108" w:type="dxa"/>
          </w:tblCellMar>
        </w:tblPrEx>
        <w:trPr>
          <w:trHeight w:val="270" w:hRule="atLeast"/>
          <w:jc w:val="center"/>
        </w:trPr>
        <w:tc>
          <w:tcPr>
            <w:tcW w:w="164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市本级</w:t>
            </w:r>
          </w:p>
        </w:tc>
        <w:tc>
          <w:tcPr>
            <w:tcW w:w="1171" w:type="dxa"/>
            <w:tcBorders>
              <w:top w:val="nil"/>
              <w:left w:val="nil"/>
              <w:bottom w:val="single" w:color="auto" w:sz="4" w:space="0"/>
              <w:right w:val="single" w:color="auto" w:sz="4" w:space="0"/>
            </w:tcBorders>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17 </w:t>
            </w:r>
          </w:p>
        </w:tc>
        <w:tc>
          <w:tcPr>
            <w:tcW w:w="1006" w:type="dxa"/>
            <w:tcBorders>
              <w:top w:val="nil"/>
              <w:left w:val="nil"/>
              <w:bottom w:val="single" w:color="auto" w:sz="4" w:space="0"/>
              <w:right w:val="single" w:color="auto" w:sz="4" w:space="0"/>
            </w:tcBorders>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200 </w:t>
            </w:r>
          </w:p>
        </w:tc>
        <w:tc>
          <w:tcPr>
            <w:tcW w:w="1006" w:type="dxa"/>
            <w:tcBorders>
              <w:top w:val="nil"/>
              <w:left w:val="nil"/>
              <w:bottom w:val="single" w:color="auto" w:sz="4" w:space="0"/>
              <w:right w:val="single" w:color="auto" w:sz="4" w:space="0"/>
            </w:tcBorders>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-183 </w:t>
            </w:r>
          </w:p>
        </w:tc>
        <w:tc>
          <w:tcPr>
            <w:tcW w:w="1081" w:type="dxa"/>
            <w:tcBorders>
              <w:top w:val="nil"/>
              <w:left w:val="nil"/>
              <w:bottom w:val="single" w:color="auto" w:sz="4" w:space="0"/>
              <w:right w:val="single" w:color="auto" w:sz="4" w:space="0"/>
            </w:tcBorders>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-91.5 </w:t>
            </w:r>
          </w:p>
        </w:tc>
      </w:tr>
      <w:tr>
        <w:tblPrEx>
          <w:tblCellMar>
            <w:top w:w="0" w:type="dxa"/>
            <w:left w:w="108" w:type="dxa"/>
            <w:bottom w:w="0" w:type="dxa"/>
            <w:right w:w="108" w:type="dxa"/>
          </w:tblCellMar>
        </w:tblPrEx>
        <w:trPr>
          <w:trHeight w:val="270" w:hRule="atLeast"/>
          <w:jc w:val="center"/>
        </w:trPr>
        <w:tc>
          <w:tcPr>
            <w:tcW w:w="164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县区小计</w:t>
            </w:r>
          </w:p>
        </w:tc>
        <w:tc>
          <w:tcPr>
            <w:tcW w:w="1171" w:type="dxa"/>
            <w:tcBorders>
              <w:top w:val="nil"/>
              <w:left w:val="nil"/>
              <w:bottom w:val="single" w:color="auto" w:sz="4" w:space="0"/>
              <w:right w:val="single" w:color="auto" w:sz="4" w:space="0"/>
            </w:tcBorders>
            <w:noWrap/>
            <w:vAlign w:val="center"/>
          </w:tcPr>
          <w:p>
            <w:pPr>
              <w:jc w:val="right"/>
              <w:rPr>
                <w:rFonts w:cs="Arial" w:asciiTheme="minorEastAsia" w:hAnsiTheme="minorEastAsia"/>
                <w:bCs/>
                <w:sz w:val="18"/>
                <w:szCs w:val="18"/>
              </w:rPr>
            </w:pPr>
            <w:r>
              <w:rPr>
                <w:rFonts w:cs="Arial" w:asciiTheme="minorEastAsia" w:hAnsiTheme="minorEastAsia"/>
                <w:bCs/>
                <w:sz w:val="18"/>
                <w:szCs w:val="18"/>
              </w:rPr>
              <w:t xml:space="preserve">51,286 </w:t>
            </w:r>
          </w:p>
        </w:tc>
        <w:tc>
          <w:tcPr>
            <w:tcW w:w="1006" w:type="dxa"/>
            <w:tcBorders>
              <w:top w:val="nil"/>
              <w:left w:val="nil"/>
              <w:bottom w:val="single" w:color="auto" w:sz="4" w:space="0"/>
              <w:right w:val="single" w:color="auto" w:sz="4" w:space="0"/>
            </w:tcBorders>
            <w:noWrap/>
            <w:vAlign w:val="center"/>
          </w:tcPr>
          <w:p>
            <w:pPr>
              <w:jc w:val="right"/>
              <w:rPr>
                <w:rFonts w:cs="Arial" w:asciiTheme="minorEastAsia" w:hAnsiTheme="minorEastAsia"/>
                <w:bCs/>
                <w:sz w:val="18"/>
                <w:szCs w:val="18"/>
              </w:rPr>
            </w:pPr>
            <w:r>
              <w:rPr>
                <w:rFonts w:cs="Arial" w:asciiTheme="minorEastAsia" w:hAnsiTheme="minorEastAsia"/>
                <w:bCs/>
                <w:sz w:val="18"/>
                <w:szCs w:val="18"/>
              </w:rPr>
              <w:t xml:space="preserve">30,046 </w:t>
            </w:r>
          </w:p>
        </w:tc>
        <w:tc>
          <w:tcPr>
            <w:tcW w:w="1006" w:type="dxa"/>
            <w:tcBorders>
              <w:top w:val="nil"/>
              <w:left w:val="nil"/>
              <w:bottom w:val="single" w:color="auto" w:sz="4" w:space="0"/>
              <w:right w:val="single" w:color="auto" w:sz="4" w:space="0"/>
            </w:tcBorders>
            <w:noWrap/>
            <w:vAlign w:val="center"/>
          </w:tcPr>
          <w:p>
            <w:pPr>
              <w:jc w:val="right"/>
              <w:rPr>
                <w:rFonts w:cs="Arial" w:asciiTheme="minorEastAsia" w:hAnsiTheme="minorEastAsia"/>
                <w:bCs/>
                <w:sz w:val="18"/>
                <w:szCs w:val="18"/>
              </w:rPr>
            </w:pPr>
            <w:r>
              <w:rPr>
                <w:rFonts w:cs="Arial" w:asciiTheme="minorEastAsia" w:hAnsiTheme="minorEastAsia"/>
                <w:bCs/>
                <w:sz w:val="18"/>
                <w:szCs w:val="18"/>
              </w:rPr>
              <w:t xml:space="preserve">21,240 </w:t>
            </w:r>
          </w:p>
        </w:tc>
        <w:tc>
          <w:tcPr>
            <w:tcW w:w="1081" w:type="dxa"/>
            <w:tcBorders>
              <w:top w:val="nil"/>
              <w:left w:val="nil"/>
              <w:bottom w:val="single" w:color="auto" w:sz="4" w:space="0"/>
              <w:right w:val="single" w:color="auto" w:sz="4" w:space="0"/>
            </w:tcBorders>
            <w:noWrap/>
            <w:vAlign w:val="center"/>
          </w:tcPr>
          <w:p>
            <w:pPr>
              <w:jc w:val="right"/>
              <w:rPr>
                <w:rFonts w:cs="Arial" w:asciiTheme="minorEastAsia" w:hAnsiTheme="minorEastAsia"/>
                <w:bCs/>
                <w:sz w:val="18"/>
                <w:szCs w:val="18"/>
              </w:rPr>
            </w:pPr>
            <w:r>
              <w:rPr>
                <w:rFonts w:cs="Arial" w:asciiTheme="minorEastAsia" w:hAnsiTheme="minorEastAsia"/>
                <w:bCs/>
                <w:sz w:val="18"/>
                <w:szCs w:val="18"/>
              </w:rPr>
              <w:t xml:space="preserve">70.7 </w:t>
            </w:r>
          </w:p>
        </w:tc>
      </w:tr>
      <w:tr>
        <w:tblPrEx>
          <w:tblCellMar>
            <w:top w:w="0" w:type="dxa"/>
            <w:left w:w="108" w:type="dxa"/>
            <w:bottom w:w="0" w:type="dxa"/>
            <w:right w:w="108" w:type="dxa"/>
          </w:tblCellMar>
        </w:tblPrEx>
        <w:trPr>
          <w:trHeight w:val="270" w:hRule="atLeast"/>
          <w:jc w:val="center"/>
        </w:trPr>
        <w:tc>
          <w:tcPr>
            <w:tcW w:w="164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盘山县</w:t>
            </w:r>
          </w:p>
        </w:tc>
        <w:tc>
          <w:tcPr>
            <w:tcW w:w="1171" w:type="dxa"/>
            <w:tcBorders>
              <w:top w:val="nil"/>
              <w:left w:val="nil"/>
              <w:bottom w:val="single" w:color="auto" w:sz="4" w:space="0"/>
              <w:right w:val="single" w:color="auto" w:sz="4" w:space="0"/>
            </w:tcBorders>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32,728 </w:t>
            </w:r>
          </w:p>
        </w:tc>
        <w:tc>
          <w:tcPr>
            <w:tcW w:w="1006" w:type="dxa"/>
            <w:tcBorders>
              <w:top w:val="nil"/>
              <w:left w:val="nil"/>
              <w:bottom w:val="single" w:color="auto" w:sz="4" w:space="0"/>
              <w:right w:val="single" w:color="auto" w:sz="4" w:space="0"/>
            </w:tcBorders>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17,194 </w:t>
            </w:r>
          </w:p>
        </w:tc>
        <w:tc>
          <w:tcPr>
            <w:tcW w:w="1006" w:type="dxa"/>
            <w:tcBorders>
              <w:top w:val="nil"/>
              <w:left w:val="nil"/>
              <w:bottom w:val="single" w:color="auto" w:sz="4" w:space="0"/>
              <w:right w:val="single" w:color="auto" w:sz="4" w:space="0"/>
            </w:tcBorders>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15,534 </w:t>
            </w:r>
          </w:p>
        </w:tc>
        <w:tc>
          <w:tcPr>
            <w:tcW w:w="1081" w:type="dxa"/>
            <w:tcBorders>
              <w:top w:val="nil"/>
              <w:left w:val="nil"/>
              <w:bottom w:val="single" w:color="auto" w:sz="4" w:space="0"/>
              <w:right w:val="single" w:color="auto" w:sz="4" w:space="0"/>
            </w:tcBorders>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90.3 </w:t>
            </w:r>
          </w:p>
        </w:tc>
      </w:tr>
      <w:tr>
        <w:tblPrEx>
          <w:tblCellMar>
            <w:top w:w="0" w:type="dxa"/>
            <w:left w:w="108" w:type="dxa"/>
            <w:bottom w:w="0" w:type="dxa"/>
            <w:right w:w="108" w:type="dxa"/>
          </w:tblCellMar>
        </w:tblPrEx>
        <w:trPr>
          <w:trHeight w:val="270" w:hRule="atLeast"/>
          <w:jc w:val="center"/>
        </w:trPr>
        <w:tc>
          <w:tcPr>
            <w:tcW w:w="164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双台子区</w:t>
            </w:r>
          </w:p>
        </w:tc>
        <w:tc>
          <w:tcPr>
            <w:tcW w:w="1171" w:type="dxa"/>
            <w:tcBorders>
              <w:top w:val="nil"/>
              <w:left w:val="nil"/>
              <w:bottom w:val="single" w:color="auto" w:sz="4" w:space="0"/>
              <w:right w:val="single" w:color="auto" w:sz="4" w:space="0"/>
            </w:tcBorders>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89 </w:t>
            </w:r>
          </w:p>
        </w:tc>
        <w:tc>
          <w:tcPr>
            <w:tcW w:w="1006" w:type="dxa"/>
            <w:tcBorders>
              <w:top w:val="nil"/>
              <w:left w:val="nil"/>
              <w:bottom w:val="single" w:color="auto" w:sz="4" w:space="0"/>
              <w:right w:val="single" w:color="auto" w:sz="4" w:space="0"/>
            </w:tcBorders>
            <w:noWrap/>
            <w:vAlign w:val="center"/>
          </w:tcPr>
          <w:p>
            <w:pPr>
              <w:ind w:right="90"/>
              <w:jc w:val="right"/>
              <w:rPr>
                <w:rFonts w:cs="Arial" w:asciiTheme="minorEastAsia" w:hAnsiTheme="minorEastAsia"/>
                <w:sz w:val="18"/>
                <w:szCs w:val="18"/>
              </w:rPr>
            </w:pPr>
            <w:r>
              <w:rPr>
                <w:rFonts w:cs="Arial" w:asciiTheme="minorEastAsia" w:hAnsiTheme="minorEastAsia"/>
                <w:sz w:val="18"/>
                <w:szCs w:val="18"/>
              </w:rPr>
              <w:t xml:space="preserve"> 17 </w:t>
            </w:r>
          </w:p>
        </w:tc>
        <w:tc>
          <w:tcPr>
            <w:tcW w:w="1006" w:type="dxa"/>
            <w:tcBorders>
              <w:top w:val="nil"/>
              <w:left w:val="nil"/>
              <w:bottom w:val="single" w:color="auto" w:sz="4" w:space="0"/>
              <w:right w:val="single" w:color="auto" w:sz="4" w:space="0"/>
            </w:tcBorders>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72 </w:t>
            </w:r>
          </w:p>
        </w:tc>
        <w:tc>
          <w:tcPr>
            <w:tcW w:w="1081" w:type="dxa"/>
            <w:tcBorders>
              <w:top w:val="nil"/>
              <w:left w:val="nil"/>
              <w:bottom w:val="single" w:color="auto" w:sz="4" w:space="0"/>
              <w:right w:val="single" w:color="auto" w:sz="4" w:space="0"/>
            </w:tcBorders>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423.5 </w:t>
            </w:r>
          </w:p>
        </w:tc>
      </w:tr>
      <w:tr>
        <w:tblPrEx>
          <w:tblCellMar>
            <w:top w:w="0" w:type="dxa"/>
            <w:left w:w="108" w:type="dxa"/>
            <w:bottom w:w="0" w:type="dxa"/>
            <w:right w:w="108" w:type="dxa"/>
          </w:tblCellMar>
        </w:tblPrEx>
        <w:trPr>
          <w:trHeight w:val="270" w:hRule="atLeast"/>
          <w:jc w:val="center"/>
        </w:trPr>
        <w:tc>
          <w:tcPr>
            <w:tcW w:w="164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兴隆台区</w:t>
            </w:r>
          </w:p>
        </w:tc>
        <w:tc>
          <w:tcPr>
            <w:tcW w:w="1171" w:type="dxa"/>
            <w:tcBorders>
              <w:top w:val="nil"/>
              <w:left w:val="nil"/>
              <w:bottom w:val="single" w:color="auto" w:sz="4" w:space="0"/>
              <w:right w:val="single" w:color="auto" w:sz="4" w:space="0"/>
            </w:tcBorders>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2,245 </w:t>
            </w:r>
          </w:p>
        </w:tc>
        <w:tc>
          <w:tcPr>
            <w:tcW w:w="1006" w:type="dxa"/>
            <w:tcBorders>
              <w:top w:val="nil"/>
              <w:left w:val="nil"/>
              <w:bottom w:val="single" w:color="auto" w:sz="4" w:space="0"/>
              <w:right w:val="single" w:color="auto" w:sz="4" w:space="0"/>
            </w:tcBorders>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2,823 </w:t>
            </w:r>
          </w:p>
        </w:tc>
        <w:tc>
          <w:tcPr>
            <w:tcW w:w="1006" w:type="dxa"/>
            <w:tcBorders>
              <w:top w:val="nil"/>
              <w:left w:val="nil"/>
              <w:bottom w:val="single" w:color="auto" w:sz="4" w:space="0"/>
              <w:right w:val="single" w:color="auto" w:sz="4" w:space="0"/>
            </w:tcBorders>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-578 </w:t>
            </w:r>
          </w:p>
        </w:tc>
        <w:tc>
          <w:tcPr>
            <w:tcW w:w="1081" w:type="dxa"/>
            <w:tcBorders>
              <w:top w:val="nil"/>
              <w:left w:val="nil"/>
              <w:bottom w:val="single" w:color="auto" w:sz="4" w:space="0"/>
              <w:right w:val="single" w:color="auto" w:sz="4" w:space="0"/>
            </w:tcBorders>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-20.5 </w:t>
            </w:r>
          </w:p>
        </w:tc>
      </w:tr>
      <w:tr>
        <w:tblPrEx>
          <w:tblCellMar>
            <w:top w:w="0" w:type="dxa"/>
            <w:left w:w="108" w:type="dxa"/>
            <w:bottom w:w="0" w:type="dxa"/>
            <w:right w:w="108" w:type="dxa"/>
          </w:tblCellMar>
        </w:tblPrEx>
        <w:trPr>
          <w:trHeight w:val="270" w:hRule="atLeast"/>
          <w:jc w:val="center"/>
        </w:trPr>
        <w:tc>
          <w:tcPr>
            <w:tcW w:w="164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大洼区</w:t>
            </w:r>
          </w:p>
        </w:tc>
        <w:tc>
          <w:tcPr>
            <w:tcW w:w="1171" w:type="dxa"/>
            <w:tcBorders>
              <w:top w:val="nil"/>
              <w:left w:val="nil"/>
              <w:bottom w:val="single" w:color="auto" w:sz="4" w:space="0"/>
              <w:right w:val="single" w:color="auto" w:sz="4" w:space="0"/>
            </w:tcBorders>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12,668 </w:t>
            </w:r>
          </w:p>
        </w:tc>
        <w:tc>
          <w:tcPr>
            <w:tcW w:w="1006" w:type="dxa"/>
            <w:tcBorders>
              <w:top w:val="nil"/>
              <w:left w:val="nil"/>
              <w:bottom w:val="single" w:color="auto" w:sz="4" w:space="0"/>
              <w:right w:val="single" w:color="auto" w:sz="4" w:space="0"/>
            </w:tcBorders>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6,660 </w:t>
            </w:r>
          </w:p>
        </w:tc>
        <w:tc>
          <w:tcPr>
            <w:tcW w:w="1006" w:type="dxa"/>
            <w:tcBorders>
              <w:top w:val="nil"/>
              <w:left w:val="nil"/>
              <w:bottom w:val="single" w:color="auto" w:sz="4" w:space="0"/>
              <w:right w:val="single" w:color="auto" w:sz="4" w:space="0"/>
            </w:tcBorders>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6,008 </w:t>
            </w:r>
          </w:p>
        </w:tc>
        <w:tc>
          <w:tcPr>
            <w:tcW w:w="1081" w:type="dxa"/>
            <w:tcBorders>
              <w:top w:val="nil"/>
              <w:left w:val="nil"/>
              <w:bottom w:val="single" w:color="auto" w:sz="4" w:space="0"/>
              <w:right w:val="single" w:color="auto" w:sz="4" w:space="0"/>
            </w:tcBorders>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90.2 </w:t>
            </w:r>
          </w:p>
        </w:tc>
      </w:tr>
      <w:tr>
        <w:tblPrEx>
          <w:tblCellMar>
            <w:top w:w="0" w:type="dxa"/>
            <w:left w:w="108" w:type="dxa"/>
            <w:bottom w:w="0" w:type="dxa"/>
            <w:right w:w="108" w:type="dxa"/>
          </w:tblCellMar>
        </w:tblPrEx>
        <w:trPr>
          <w:trHeight w:val="302" w:hRule="atLeast"/>
          <w:jc w:val="center"/>
        </w:trPr>
        <w:tc>
          <w:tcPr>
            <w:tcW w:w="1646" w:type="dxa"/>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辽滨经开区</w:t>
            </w:r>
          </w:p>
        </w:tc>
        <w:tc>
          <w:tcPr>
            <w:tcW w:w="1171" w:type="dxa"/>
            <w:tcBorders>
              <w:top w:val="nil"/>
              <w:left w:val="nil"/>
              <w:bottom w:val="single" w:color="auto" w:sz="4" w:space="0"/>
              <w:right w:val="single" w:color="auto" w:sz="4" w:space="0"/>
            </w:tcBorders>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3,556 </w:t>
            </w:r>
          </w:p>
        </w:tc>
        <w:tc>
          <w:tcPr>
            <w:tcW w:w="1006" w:type="dxa"/>
            <w:tcBorders>
              <w:top w:val="nil"/>
              <w:left w:val="nil"/>
              <w:bottom w:val="single" w:color="auto" w:sz="4" w:space="0"/>
              <w:right w:val="single" w:color="auto" w:sz="4" w:space="0"/>
            </w:tcBorders>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3,352 </w:t>
            </w:r>
          </w:p>
        </w:tc>
        <w:tc>
          <w:tcPr>
            <w:tcW w:w="1006" w:type="dxa"/>
            <w:tcBorders>
              <w:top w:val="nil"/>
              <w:left w:val="nil"/>
              <w:bottom w:val="single" w:color="auto" w:sz="4" w:space="0"/>
              <w:right w:val="single" w:color="auto" w:sz="4" w:space="0"/>
            </w:tcBorders>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204 </w:t>
            </w:r>
          </w:p>
        </w:tc>
        <w:tc>
          <w:tcPr>
            <w:tcW w:w="1081" w:type="dxa"/>
            <w:tcBorders>
              <w:top w:val="nil"/>
              <w:left w:val="nil"/>
              <w:bottom w:val="single" w:color="auto" w:sz="4" w:space="0"/>
              <w:right w:val="single" w:color="auto" w:sz="4" w:space="0"/>
            </w:tcBorders>
            <w:noWrap/>
            <w:vAlign w:val="center"/>
          </w:tcPr>
          <w:p>
            <w:pPr>
              <w:jc w:val="right"/>
              <w:rPr>
                <w:rFonts w:cs="Arial" w:asciiTheme="minorEastAsia" w:hAnsiTheme="minorEastAsia"/>
                <w:sz w:val="18"/>
                <w:szCs w:val="18"/>
              </w:rPr>
            </w:pPr>
            <w:r>
              <w:rPr>
                <w:rFonts w:cs="Arial" w:asciiTheme="minorEastAsia" w:hAnsiTheme="minorEastAsia"/>
                <w:sz w:val="18"/>
                <w:szCs w:val="18"/>
              </w:rPr>
              <w:t xml:space="preserve">6.1 </w:t>
            </w:r>
          </w:p>
        </w:tc>
      </w:tr>
    </w:tbl>
    <w:p>
      <w:pPr>
        <w:snapToGrid w:val="0"/>
        <w:ind w:firstLine="640" w:firstLineChars="200"/>
        <w:rPr>
          <w:rFonts w:ascii="黑体" w:hAnsi="黑体" w:eastAsia="黑体" w:cs="宋体"/>
          <w:bCs/>
          <w:kern w:val="0"/>
          <w:sz w:val="32"/>
          <w:szCs w:val="32"/>
        </w:rPr>
      </w:pPr>
    </w:p>
    <w:p>
      <w:pPr>
        <w:snapToGrid w:val="0"/>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三、财政预算执行主要特点</w:t>
      </w:r>
    </w:p>
    <w:p>
      <w:pPr>
        <w:pStyle w:val="2"/>
        <w:ind w:firstLine="630" w:firstLineChars="196"/>
        <w:rPr>
          <w:rFonts w:eastAsiaTheme="majorEastAsia"/>
        </w:rPr>
      </w:pPr>
      <w:r>
        <w:rPr>
          <w:rFonts w:hint="eastAsia" w:cs="宋体" w:asciiTheme="majorEastAsia" w:hAnsiTheme="majorEastAsia" w:eastAsiaTheme="majorEastAsia"/>
          <w:b/>
          <w:bCs/>
          <w:kern w:val="0"/>
          <w:sz w:val="32"/>
          <w:szCs w:val="32"/>
        </w:rPr>
        <w:t>（一）财政收入稳步增长</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2024年以来，全市各级财政部门不断提高政治站位，牢牢把握组织收入工作主动性，以钉钉子的精神抓落实，密切关注经济发展趋势及财政收入动态，多措并举加强调度，依法依规组织收入。1-7月份全市一般公共预算收入91.9亿元，为预算的67.5%，超序时进度9.2个百分点；同比增长5.2%，为打好打赢攻坚之年攻坚之战提供有力保障。</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市本级和各县区、经济区一般公共预算收入同比均实现正增长，均超过年初预算序时进度。</w:t>
      </w:r>
    </w:p>
    <w:p>
      <w:pPr>
        <w:pStyle w:val="2"/>
        <w:ind w:firstLine="840"/>
      </w:pPr>
    </w:p>
    <w:p>
      <w:pPr>
        <w:pStyle w:val="2"/>
        <w:spacing w:line="300" w:lineRule="exact"/>
        <w:jc w:val="center"/>
        <w:rPr>
          <w:rFonts w:ascii="仿宋" w:hAnsi="仿宋" w:eastAsia="仿宋"/>
          <w:sz w:val="28"/>
          <w:szCs w:val="28"/>
        </w:rPr>
      </w:pPr>
      <w:r>
        <w:rPr>
          <w:rFonts w:hint="eastAsia" w:ascii="仿宋" w:hAnsi="仿宋" w:eastAsia="仿宋"/>
          <w:sz w:val="28"/>
          <w:szCs w:val="28"/>
        </w:rPr>
        <w:t>2024年1-7月份全市一般公共预算收入增长进度情况</w:t>
      </w:r>
    </w:p>
    <w:p>
      <w:pPr>
        <w:pStyle w:val="2"/>
        <w:spacing w:line="300" w:lineRule="exact"/>
        <w:jc w:val="center"/>
        <w:rPr>
          <w:rFonts w:ascii="仿宋" w:hAnsi="仿宋" w:eastAsia="仿宋"/>
          <w:sz w:val="28"/>
          <w:szCs w:val="28"/>
        </w:rPr>
      </w:pPr>
      <w:r>
        <w:rPr>
          <w:rFonts w:hint="eastAsia" w:ascii="仿宋" w:hAnsi="仿宋" w:eastAsia="仿宋"/>
          <w:sz w:val="28"/>
          <w:szCs w:val="28"/>
        </w:rPr>
        <w:t>单位：万元</w:t>
      </w:r>
    </w:p>
    <w:p>
      <w:pPr>
        <w:pStyle w:val="2"/>
        <w:spacing w:line="300" w:lineRule="exact"/>
        <w:jc w:val="center"/>
        <w:rPr>
          <w:rFonts w:ascii="仿宋" w:hAnsi="仿宋" w:eastAsia="仿宋"/>
          <w:sz w:val="28"/>
          <w:szCs w:val="28"/>
        </w:rPr>
      </w:pPr>
    </w:p>
    <w:tbl>
      <w:tblPr>
        <w:tblStyle w:val="9"/>
        <w:tblW w:w="7656" w:type="dxa"/>
        <w:jc w:val="center"/>
        <w:tblLayout w:type="fixed"/>
        <w:tblCellMar>
          <w:top w:w="0" w:type="dxa"/>
          <w:left w:w="108" w:type="dxa"/>
          <w:bottom w:w="0" w:type="dxa"/>
          <w:right w:w="108" w:type="dxa"/>
        </w:tblCellMar>
      </w:tblPr>
      <w:tblGrid>
        <w:gridCol w:w="1525"/>
        <w:gridCol w:w="1134"/>
        <w:gridCol w:w="991"/>
        <w:gridCol w:w="992"/>
        <w:gridCol w:w="992"/>
        <w:gridCol w:w="851"/>
        <w:gridCol w:w="1171"/>
      </w:tblGrid>
      <w:tr>
        <w:tblPrEx>
          <w:tblCellMar>
            <w:top w:w="0" w:type="dxa"/>
            <w:left w:w="108" w:type="dxa"/>
            <w:bottom w:w="0" w:type="dxa"/>
            <w:right w:w="108" w:type="dxa"/>
          </w:tblCellMar>
        </w:tblPrEx>
        <w:trPr>
          <w:trHeight w:val="346" w:hRule="atLeast"/>
          <w:jc w:val="center"/>
        </w:trPr>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分地区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预算数</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本  期</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同  期</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增减额</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增减%</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完成预算%</w:t>
            </w:r>
          </w:p>
        </w:tc>
      </w:tr>
      <w:tr>
        <w:tblPrEx>
          <w:tblCellMar>
            <w:top w:w="0" w:type="dxa"/>
            <w:left w:w="108" w:type="dxa"/>
            <w:bottom w:w="0" w:type="dxa"/>
            <w:right w:w="108" w:type="dxa"/>
          </w:tblCellMar>
        </w:tblPrEx>
        <w:trPr>
          <w:trHeight w:val="332" w:hRule="atLeast"/>
          <w:jc w:val="center"/>
        </w:trPr>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heme="minorEastAsia" w:hAnsiTheme="minorEastAsia"/>
                <w:sz w:val="18"/>
                <w:szCs w:val="18"/>
              </w:rPr>
            </w:pPr>
            <w:r>
              <w:rPr>
                <w:rFonts w:hint="eastAsia" w:asciiTheme="minorEastAsia" w:hAnsiTheme="minorEastAsia"/>
                <w:sz w:val="18"/>
                <w:szCs w:val="18"/>
              </w:rPr>
              <w:t xml:space="preserve">  全市合计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sz w:val="18"/>
                <w:szCs w:val="18"/>
              </w:rPr>
            </w:pPr>
            <w:r>
              <w:rPr>
                <w:rFonts w:hint="eastAsia" w:asciiTheme="minorEastAsia" w:hAnsiTheme="minorEastAsia" w:cstheme="minorEastAsia"/>
                <w:color w:val="000000"/>
                <w:kern w:val="0"/>
                <w:sz w:val="18"/>
                <w:szCs w:val="18"/>
              </w:rPr>
              <w:t xml:space="preserve"> 1,361,000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kern w:val="0"/>
                <w:sz w:val="18"/>
                <w:szCs w:val="18"/>
              </w:rPr>
            </w:pPr>
            <w:r>
              <w:rPr>
                <w:rFonts w:asciiTheme="minorEastAsia" w:hAnsiTheme="minorEastAsia" w:cstheme="minorEastAsia"/>
                <w:color w:val="000000"/>
                <w:kern w:val="0"/>
                <w:sz w:val="18"/>
                <w:szCs w:val="18"/>
              </w:rPr>
              <w:t xml:space="preserve">918,521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kern w:val="0"/>
                <w:sz w:val="18"/>
                <w:szCs w:val="18"/>
              </w:rPr>
            </w:pPr>
            <w:r>
              <w:rPr>
                <w:rFonts w:asciiTheme="minorEastAsia" w:hAnsiTheme="minorEastAsia" w:cstheme="minorEastAsia"/>
                <w:color w:val="000000"/>
                <w:kern w:val="0"/>
                <w:sz w:val="18"/>
                <w:szCs w:val="18"/>
              </w:rPr>
              <w:t xml:space="preserve">873,381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kern w:val="0"/>
                <w:sz w:val="18"/>
                <w:szCs w:val="18"/>
              </w:rPr>
            </w:pPr>
            <w:r>
              <w:rPr>
                <w:rFonts w:asciiTheme="minorEastAsia" w:hAnsiTheme="minorEastAsia" w:cstheme="minorEastAsia"/>
                <w:color w:val="000000"/>
                <w:kern w:val="0"/>
                <w:sz w:val="18"/>
                <w:szCs w:val="18"/>
              </w:rPr>
              <w:t xml:space="preserve">45,140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kern w:val="0"/>
                <w:sz w:val="18"/>
                <w:szCs w:val="18"/>
              </w:rPr>
            </w:pPr>
            <w:r>
              <w:rPr>
                <w:rFonts w:asciiTheme="minorEastAsia" w:hAnsiTheme="minorEastAsia" w:cstheme="minorEastAsia"/>
                <w:color w:val="000000"/>
                <w:kern w:val="0"/>
                <w:sz w:val="18"/>
                <w:szCs w:val="18"/>
              </w:rPr>
              <w:t xml:space="preserve">5.2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kern w:val="0"/>
                <w:sz w:val="18"/>
                <w:szCs w:val="18"/>
              </w:rPr>
            </w:pPr>
            <w:r>
              <w:rPr>
                <w:rFonts w:asciiTheme="minorEastAsia" w:hAnsiTheme="minorEastAsia" w:cstheme="minorEastAsia"/>
                <w:color w:val="000000"/>
                <w:kern w:val="0"/>
                <w:sz w:val="18"/>
                <w:szCs w:val="18"/>
              </w:rPr>
              <w:t xml:space="preserve">67.5 </w:t>
            </w:r>
          </w:p>
        </w:tc>
      </w:tr>
      <w:tr>
        <w:tblPrEx>
          <w:tblCellMar>
            <w:top w:w="0" w:type="dxa"/>
            <w:left w:w="108" w:type="dxa"/>
            <w:bottom w:w="0" w:type="dxa"/>
            <w:right w:w="108" w:type="dxa"/>
          </w:tblCellMar>
        </w:tblPrEx>
        <w:trPr>
          <w:trHeight w:val="333" w:hRule="atLeast"/>
          <w:jc w:val="center"/>
        </w:trPr>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heme="minorEastAsia" w:hAnsiTheme="minorEastAsia"/>
                <w:sz w:val="18"/>
                <w:szCs w:val="18"/>
              </w:rPr>
            </w:pPr>
            <w:r>
              <w:rPr>
                <w:rFonts w:hint="eastAsia" w:asciiTheme="minorEastAsia" w:hAnsiTheme="minorEastAsia"/>
                <w:sz w:val="18"/>
                <w:szCs w:val="18"/>
              </w:rPr>
              <w:t>市本级</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sz w:val="18"/>
                <w:szCs w:val="18"/>
              </w:rPr>
            </w:pPr>
            <w:r>
              <w:rPr>
                <w:rFonts w:hint="eastAsia" w:asciiTheme="minorEastAsia" w:hAnsiTheme="minorEastAsia" w:cstheme="minorEastAsia"/>
                <w:color w:val="000000"/>
                <w:kern w:val="0"/>
                <w:sz w:val="18"/>
                <w:szCs w:val="18"/>
              </w:rPr>
              <w:t xml:space="preserve"> 530,900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kern w:val="0"/>
                <w:sz w:val="18"/>
                <w:szCs w:val="18"/>
              </w:rPr>
            </w:pPr>
            <w:r>
              <w:rPr>
                <w:rFonts w:asciiTheme="minorEastAsia" w:hAnsiTheme="minorEastAsia" w:cstheme="minorEastAsia"/>
                <w:color w:val="000000"/>
                <w:kern w:val="0"/>
                <w:sz w:val="18"/>
                <w:szCs w:val="18"/>
              </w:rPr>
              <w:t xml:space="preserve">342,156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kern w:val="0"/>
                <w:sz w:val="18"/>
                <w:szCs w:val="18"/>
              </w:rPr>
            </w:pPr>
            <w:r>
              <w:rPr>
                <w:rFonts w:asciiTheme="minorEastAsia" w:hAnsiTheme="minorEastAsia" w:cstheme="minorEastAsia"/>
                <w:color w:val="000000"/>
                <w:kern w:val="0"/>
                <w:sz w:val="18"/>
                <w:szCs w:val="18"/>
              </w:rPr>
              <w:t xml:space="preserve">326,063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kern w:val="0"/>
                <w:sz w:val="18"/>
                <w:szCs w:val="18"/>
              </w:rPr>
            </w:pPr>
            <w:r>
              <w:rPr>
                <w:rFonts w:asciiTheme="minorEastAsia" w:hAnsiTheme="minorEastAsia" w:cstheme="minorEastAsia"/>
                <w:color w:val="000000"/>
                <w:kern w:val="0"/>
                <w:sz w:val="18"/>
                <w:szCs w:val="18"/>
              </w:rPr>
              <w:t xml:space="preserve">16,093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kern w:val="0"/>
                <w:sz w:val="18"/>
                <w:szCs w:val="18"/>
              </w:rPr>
            </w:pPr>
            <w:r>
              <w:rPr>
                <w:rFonts w:asciiTheme="minorEastAsia" w:hAnsiTheme="minorEastAsia" w:cstheme="minorEastAsia"/>
                <w:color w:val="000000"/>
                <w:kern w:val="0"/>
                <w:sz w:val="18"/>
                <w:szCs w:val="18"/>
              </w:rPr>
              <w:t xml:space="preserve">4.9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kern w:val="0"/>
                <w:sz w:val="18"/>
                <w:szCs w:val="18"/>
              </w:rPr>
            </w:pPr>
            <w:r>
              <w:rPr>
                <w:rFonts w:asciiTheme="minorEastAsia" w:hAnsiTheme="minorEastAsia" w:cstheme="minorEastAsia"/>
                <w:color w:val="000000"/>
                <w:kern w:val="0"/>
                <w:sz w:val="18"/>
                <w:szCs w:val="18"/>
              </w:rPr>
              <w:t xml:space="preserve">64.4 </w:t>
            </w:r>
          </w:p>
        </w:tc>
      </w:tr>
      <w:tr>
        <w:tblPrEx>
          <w:tblCellMar>
            <w:top w:w="0" w:type="dxa"/>
            <w:left w:w="108" w:type="dxa"/>
            <w:bottom w:w="0" w:type="dxa"/>
            <w:right w:w="108" w:type="dxa"/>
          </w:tblCellMar>
        </w:tblPrEx>
        <w:trPr>
          <w:trHeight w:val="319" w:hRule="atLeast"/>
          <w:jc w:val="center"/>
        </w:trPr>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heme="minorEastAsia" w:hAnsiTheme="minorEastAsia"/>
                <w:sz w:val="18"/>
                <w:szCs w:val="18"/>
              </w:rPr>
            </w:pPr>
            <w:r>
              <w:rPr>
                <w:rFonts w:hint="eastAsia" w:asciiTheme="minorEastAsia" w:hAnsiTheme="minorEastAsia"/>
                <w:sz w:val="18"/>
                <w:szCs w:val="18"/>
              </w:rPr>
              <w:t>县区小计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sz w:val="18"/>
                <w:szCs w:val="18"/>
              </w:rPr>
            </w:pPr>
            <w:r>
              <w:rPr>
                <w:rFonts w:hint="eastAsia" w:asciiTheme="minorEastAsia" w:hAnsiTheme="minorEastAsia" w:cstheme="minorEastAsia"/>
                <w:color w:val="000000"/>
                <w:kern w:val="0"/>
                <w:sz w:val="18"/>
                <w:szCs w:val="18"/>
              </w:rPr>
              <w:t xml:space="preserve"> 830,100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kern w:val="0"/>
                <w:sz w:val="18"/>
                <w:szCs w:val="18"/>
              </w:rPr>
            </w:pPr>
            <w:r>
              <w:rPr>
                <w:rFonts w:asciiTheme="minorEastAsia" w:hAnsiTheme="minorEastAsia" w:cstheme="minorEastAsia"/>
                <w:color w:val="000000"/>
                <w:kern w:val="0"/>
                <w:sz w:val="18"/>
                <w:szCs w:val="18"/>
              </w:rPr>
              <w:t xml:space="preserve">576,365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kern w:val="0"/>
                <w:sz w:val="18"/>
                <w:szCs w:val="18"/>
              </w:rPr>
            </w:pPr>
            <w:r>
              <w:rPr>
                <w:rFonts w:asciiTheme="minorEastAsia" w:hAnsiTheme="minorEastAsia" w:cstheme="minorEastAsia"/>
                <w:color w:val="000000"/>
                <w:kern w:val="0"/>
                <w:sz w:val="18"/>
                <w:szCs w:val="18"/>
              </w:rPr>
              <w:t xml:space="preserve">547,318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kern w:val="0"/>
                <w:sz w:val="18"/>
                <w:szCs w:val="18"/>
              </w:rPr>
            </w:pPr>
            <w:r>
              <w:rPr>
                <w:rFonts w:asciiTheme="minorEastAsia" w:hAnsiTheme="minorEastAsia" w:cstheme="minorEastAsia"/>
                <w:color w:val="000000"/>
                <w:kern w:val="0"/>
                <w:sz w:val="18"/>
                <w:szCs w:val="18"/>
              </w:rPr>
              <w:t xml:space="preserve">29,047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kern w:val="0"/>
                <w:sz w:val="18"/>
                <w:szCs w:val="18"/>
              </w:rPr>
            </w:pPr>
            <w:r>
              <w:rPr>
                <w:rFonts w:asciiTheme="minorEastAsia" w:hAnsiTheme="minorEastAsia" w:cstheme="minorEastAsia"/>
                <w:color w:val="000000"/>
                <w:kern w:val="0"/>
                <w:sz w:val="18"/>
                <w:szCs w:val="18"/>
              </w:rPr>
              <w:t xml:space="preserve">5.3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kern w:val="0"/>
                <w:sz w:val="18"/>
                <w:szCs w:val="18"/>
              </w:rPr>
            </w:pPr>
            <w:r>
              <w:rPr>
                <w:rFonts w:asciiTheme="minorEastAsia" w:hAnsiTheme="minorEastAsia" w:cstheme="minorEastAsia"/>
                <w:color w:val="000000"/>
                <w:kern w:val="0"/>
                <w:sz w:val="18"/>
                <w:szCs w:val="18"/>
              </w:rPr>
              <w:t xml:space="preserve">69.4 </w:t>
            </w:r>
          </w:p>
        </w:tc>
      </w:tr>
      <w:tr>
        <w:tblPrEx>
          <w:tblCellMar>
            <w:top w:w="0" w:type="dxa"/>
            <w:left w:w="108" w:type="dxa"/>
            <w:bottom w:w="0" w:type="dxa"/>
            <w:right w:w="108" w:type="dxa"/>
          </w:tblCellMar>
        </w:tblPrEx>
        <w:trPr>
          <w:trHeight w:val="278" w:hRule="atLeast"/>
          <w:jc w:val="center"/>
        </w:trPr>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heme="minorEastAsia" w:hAnsiTheme="minorEastAsia"/>
                <w:sz w:val="18"/>
                <w:szCs w:val="18"/>
              </w:rPr>
            </w:pPr>
            <w:r>
              <w:rPr>
                <w:rFonts w:hint="eastAsia" w:asciiTheme="minorEastAsia" w:hAnsiTheme="minorEastAsia"/>
                <w:sz w:val="18"/>
                <w:szCs w:val="18"/>
              </w:rPr>
              <w:t xml:space="preserve">  盘山县</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sz w:val="18"/>
                <w:szCs w:val="18"/>
              </w:rPr>
            </w:pPr>
            <w:r>
              <w:rPr>
                <w:rFonts w:hint="eastAsia" w:asciiTheme="minorEastAsia" w:hAnsiTheme="minorEastAsia" w:cstheme="minorEastAsia"/>
                <w:color w:val="000000"/>
                <w:kern w:val="0"/>
                <w:sz w:val="18"/>
                <w:szCs w:val="18"/>
              </w:rPr>
              <w:t xml:space="preserve"> 121,900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kern w:val="0"/>
                <w:sz w:val="18"/>
                <w:szCs w:val="18"/>
              </w:rPr>
            </w:pPr>
            <w:r>
              <w:rPr>
                <w:rFonts w:asciiTheme="minorEastAsia" w:hAnsiTheme="minorEastAsia" w:cstheme="minorEastAsia"/>
                <w:color w:val="000000"/>
                <w:kern w:val="0"/>
                <w:sz w:val="18"/>
                <w:szCs w:val="18"/>
              </w:rPr>
              <w:t xml:space="preserve">71,433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kern w:val="0"/>
                <w:sz w:val="18"/>
                <w:szCs w:val="18"/>
              </w:rPr>
            </w:pPr>
            <w:r>
              <w:rPr>
                <w:rFonts w:asciiTheme="minorEastAsia" w:hAnsiTheme="minorEastAsia" w:cstheme="minorEastAsia"/>
                <w:color w:val="000000"/>
                <w:kern w:val="0"/>
                <w:sz w:val="18"/>
                <w:szCs w:val="18"/>
              </w:rPr>
              <w:t xml:space="preserve">62,216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kern w:val="0"/>
                <w:sz w:val="18"/>
                <w:szCs w:val="18"/>
              </w:rPr>
            </w:pPr>
            <w:r>
              <w:rPr>
                <w:rFonts w:asciiTheme="minorEastAsia" w:hAnsiTheme="minorEastAsia" w:cstheme="minorEastAsia"/>
                <w:color w:val="000000"/>
                <w:kern w:val="0"/>
                <w:sz w:val="18"/>
                <w:szCs w:val="18"/>
              </w:rPr>
              <w:t xml:space="preserve">9,217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kern w:val="0"/>
                <w:sz w:val="18"/>
                <w:szCs w:val="18"/>
              </w:rPr>
            </w:pPr>
            <w:r>
              <w:rPr>
                <w:rFonts w:asciiTheme="minorEastAsia" w:hAnsiTheme="minorEastAsia" w:cstheme="minorEastAsia"/>
                <w:color w:val="000000"/>
                <w:kern w:val="0"/>
                <w:sz w:val="18"/>
                <w:szCs w:val="18"/>
              </w:rPr>
              <w:t xml:space="preserve">14.8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kern w:val="0"/>
                <w:sz w:val="18"/>
                <w:szCs w:val="18"/>
              </w:rPr>
            </w:pPr>
            <w:r>
              <w:rPr>
                <w:rFonts w:asciiTheme="minorEastAsia" w:hAnsiTheme="minorEastAsia" w:cstheme="minorEastAsia"/>
                <w:color w:val="000000"/>
                <w:kern w:val="0"/>
                <w:sz w:val="18"/>
                <w:szCs w:val="18"/>
              </w:rPr>
              <w:t xml:space="preserve">58.6 </w:t>
            </w:r>
          </w:p>
        </w:tc>
      </w:tr>
      <w:tr>
        <w:tblPrEx>
          <w:tblCellMar>
            <w:top w:w="0" w:type="dxa"/>
            <w:left w:w="108" w:type="dxa"/>
            <w:bottom w:w="0" w:type="dxa"/>
            <w:right w:w="108" w:type="dxa"/>
          </w:tblCellMar>
        </w:tblPrEx>
        <w:trPr>
          <w:trHeight w:val="359" w:hRule="atLeast"/>
          <w:jc w:val="center"/>
        </w:trPr>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heme="minorEastAsia" w:hAnsiTheme="minorEastAsia"/>
                <w:sz w:val="18"/>
                <w:szCs w:val="18"/>
              </w:rPr>
            </w:pPr>
            <w:r>
              <w:rPr>
                <w:rFonts w:hint="eastAsia" w:asciiTheme="minorEastAsia" w:hAnsiTheme="minorEastAsia"/>
                <w:sz w:val="18"/>
                <w:szCs w:val="18"/>
              </w:rPr>
              <w:t xml:space="preserve">  双台子区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sz w:val="18"/>
                <w:szCs w:val="18"/>
              </w:rPr>
            </w:pPr>
            <w:r>
              <w:rPr>
                <w:rFonts w:hint="eastAsia" w:asciiTheme="minorEastAsia" w:hAnsiTheme="minorEastAsia" w:cstheme="minorEastAsia"/>
                <w:color w:val="000000"/>
                <w:kern w:val="0"/>
                <w:sz w:val="18"/>
                <w:szCs w:val="18"/>
              </w:rPr>
              <w:t xml:space="preserve"> 54,000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kern w:val="0"/>
                <w:sz w:val="18"/>
                <w:szCs w:val="18"/>
              </w:rPr>
            </w:pPr>
            <w:r>
              <w:rPr>
                <w:rFonts w:asciiTheme="minorEastAsia" w:hAnsiTheme="minorEastAsia" w:cstheme="minorEastAsia"/>
                <w:color w:val="000000"/>
                <w:kern w:val="0"/>
                <w:sz w:val="18"/>
                <w:szCs w:val="18"/>
              </w:rPr>
              <w:t xml:space="preserve">33,145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kern w:val="0"/>
                <w:sz w:val="18"/>
                <w:szCs w:val="18"/>
              </w:rPr>
            </w:pPr>
            <w:r>
              <w:rPr>
                <w:rFonts w:asciiTheme="minorEastAsia" w:hAnsiTheme="minorEastAsia" w:cstheme="minorEastAsia"/>
                <w:color w:val="000000"/>
                <w:kern w:val="0"/>
                <w:sz w:val="18"/>
                <w:szCs w:val="18"/>
              </w:rPr>
              <w:t xml:space="preserve">32,736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kern w:val="0"/>
                <w:sz w:val="18"/>
                <w:szCs w:val="18"/>
              </w:rPr>
            </w:pPr>
            <w:r>
              <w:rPr>
                <w:rFonts w:asciiTheme="minorEastAsia" w:hAnsiTheme="minorEastAsia" w:cstheme="minorEastAsia"/>
                <w:color w:val="000000"/>
                <w:kern w:val="0"/>
                <w:sz w:val="18"/>
                <w:szCs w:val="18"/>
              </w:rPr>
              <w:t xml:space="preserve">409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kern w:val="0"/>
                <w:sz w:val="18"/>
                <w:szCs w:val="18"/>
              </w:rPr>
            </w:pPr>
            <w:r>
              <w:rPr>
                <w:rFonts w:asciiTheme="minorEastAsia" w:hAnsiTheme="minorEastAsia" w:cstheme="minorEastAsia"/>
                <w:color w:val="000000"/>
                <w:kern w:val="0"/>
                <w:sz w:val="18"/>
                <w:szCs w:val="18"/>
              </w:rPr>
              <w:t xml:space="preserve">1.2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kern w:val="0"/>
                <w:sz w:val="18"/>
                <w:szCs w:val="18"/>
              </w:rPr>
            </w:pPr>
            <w:r>
              <w:rPr>
                <w:rFonts w:asciiTheme="minorEastAsia" w:hAnsiTheme="minorEastAsia" w:cstheme="minorEastAsia"/>
                <w:color w:val="000000"/>
                <w:kern w:val="0"/>
                <w:sz w:val="18"/>
                <w:szCs w:val="18"/>
              </w:rPr>
              <w:t xml:space="preserve">61.4 </w:t>
            </w:r>
          </w:p>
        </w:tc>
      </w:tr>
      <w:tr>
        <w:tblPrEx>
          <w:tblCellMar>
            <w:top w:w="0" w:type="dxa"/>
            <w:left w:w="108" w:type="dxa"/>
            <w:bottom w:w="0" w:type="dxa"/>
            <w:right w:w="108" w:type="dxa"/>
          </w:tblCellMar>
        </w:tblPrEx>
        <w:trPr>
          <w:trHeight w:val="360" w:hRule="atLeast"/>
          <w:jc w:val="center"/>
        </w:trPr>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heme="minorEastAsia" w:hAnsiTheme="minorEastAsia"/>
                <w:sz w:val="18"/>
                <w:szCs w:val="18"/>
              </w:rPr>
            </w:pPr>
            <w:r>
              <w:rPr>
                <w:rFonts w:hint="eastAsia" w:asciiTheme="minorEastAsia" w:hAnsiTheme="minorEastAsia"/>
                <w:sz w:val="18"/>
                <w:szCs w:val="18"/>
              </w:rPr>
              <w:t xml:space="preserve">  兴隆台区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sz w:val="18"/>
                <w:szCs w:val="18"/>
              </w:rPr>
            </w:pPr>
            <w:r>
              <w:rPr>
                <w:rFonts w:hint="eastAsia" w:asciiTheme="minorEastAsia" w:hAnsiTheme="minorEastAsia" w:cstheme="minorEastAsia"/>
                <w:color w:val="000000"/>
                <w:kern w:val="0"/>
                <w:sz w:val="18"/>
                <w:szCs w:val="18"/>
              </w:rPr>
              <w:t xml:space="preserve"> 220,000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kern w:val="0"/>
                <w:sz w:val="18"/>
                <w:szCs w:val="18"/>
              </w:rPr>
            </w:pPr>
            <w:r>
              <w:rPr>
                <w:rFonts w:asciiTheme="minorEastAsia" w:hAnsiTheme="minorEastAsia" w:cstheme="minorEastAsia"/>
                <w:color w:val="000000"/>
                <w:kern w:val="0"/>
                <w:sz w:val="18"/>
                <w:szCs w:val="18"/>
              </w:rPr>
              <w:t xml:space="preserve">146,024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kern w:val="0"/>
                <w:sz w:val="18"/>
                <w:szCs w:val="18"/>
              </w:rPr>
            </w:pPr>
            <w:r>
              <w:rPr>
                <w:rFonts w:asciiTheme="minorEastAsia" w:hAnsiTheme="minorEastAsia" w:cstheme="minorEastAsia"/>
                <w:color w:val="000000"/>
                <w:kern w:val="0"/>
                <w:sz w:val="18"/>
                <w:szCs w:val="18"/>
              </w:rPr>
              <w:t xml:space="preserve">138,435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kern w:val="0"/>
                <w:sz w:val="18"/>
                <w:szCs w:val="18"/>
              </w:rPr>
            </w:pPr>
            <w:r>
              <w:rPr>
                <w:rFonts w:asciiTheme="minorEastAsia" w:hAnsiTheme="minorEastAsia" w:cstheme="minorEastAsia"/>
                <w:color w:val="000000"/>
                <w:kern w:val="0"/>
                <w:sz w:val="18"/>
                <w:szCs w:val="18"/>
              </w:rPr>
              <w:t xml:space="preserve">7,589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kern w:val="0"/>
                <w:sz w:val="18"/>
                <w:szCs w:val="18"/>
              </w:rPr>
            </w:pPr>
            <w:r>
              <w:rPr>
                <w:rFonts w:asciiTheme="minorEastAsia" w:hAnsiTheme="minorEastAsia" w:cstheme="minorEastAsia"/>
                <w:color w:val="000000"/>
                <w:kern w:val="0"/>
                <w:sz w:val="18"/>
                <w:szCs w:val="18"/>
              </w:rPr>
              <w:t xml:space="preserve">5.5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kern w:val="0"/>
                <w:sz w:val="18"/>
                <w:szCs w:val="18"/>
              </w:rPr>
            </w:pPr>
            <w:r>
              <w:rPr>
                <w:rFonts w:asciiTheme="minorEastAsia" w:hAnsiTheme="minorEastAsia" w:cstheme="minorEastAsia"/>
                <w:color w:val="000000"/>
                <w:kern w:val="0"/>
                <w:sz w:val="18"/>
                <w:szCs w:val="18"/>
              </w:rPr>
              <w:t xml:space="preserve">66.4 </w:t>
            </w:r>
          </w:p>
        </w:tc>
      </w:tr>
      <w:tr>
        <w:tblPrEx>
          <w:tblCellMar>
            <w:top w:w="0" w:type="dxa"/>
            <w:left w:w="108" w:type="dxa"/>
            <w:bottom w:w="0" w:type="dxa"/>
            <w:right w:w="108" w:type="dxa"/>
          </w:tblCellMar>
        </w:tblPrEx>
        <w:trPr>
          <w:trHeight w:val="319" w:hRule="atLeast"/>
          <w:jc w:val="center"/>
        </w:trPr>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heme="minorEastAsia" w:hAnsiTheme="minorEastAsia"/>
                <w:sz w:val="18"/>
                <w:szCs w:val="18"/>
              </w:rPr>
            </w:pPr>
            <w:r>
              <w:rPr>
                <w:rFonts w:hint="eastAsia" w:asciiTheme="minorEastAsia" w:hAnsiTheme="minorEastAsia"/>
                <w:sz w:val="18"/>
                <w:szCs w:val="18"/>
              </w:rPr>
              <w:t xml:space="preserve">  大洼区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sz w:val="18"/>
                <w:szCs w:val="18"/>
              </w:rPr>
            </w:pPr>
            <w:r>
              <w:rPr>
                <w:rFonts w:hint="eastAsia" w:asciiTheme="minorEastAsia" w:hAnsiTheme="minorEastAsia" w:cstheme="minorEastAsia"/>
                <w:color w:val="000000"/>
                <w:kern w:val="0"/>
                <w:sz w:val="18"/>
                <w:szCs w:val="18"/>
              </w:rPr>
              <w:t xml:space="preserve"> 112,200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kern w:val="0"/>
                <w:sz w:val="18"/>
                <w:szCs w:val="18"/>
              </w:rPr>
            </w:pPr>
            <w:r>
              <w:rPr>
                <w:rFonts w:asciiTheme="minorEastAsia" w:hAnsiTheme="minorEastAsia" w:cstheme="minorEastAsia"/>
                <w:color w:val="000000"/>
                <w:kern w:val="0"/>
                <w:sz w:val="18"/>
                <w:szCs w:val="18"/>
              </w:rPr>
              <w:t xml:space="preserve">75,424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kern w:val="0"/>
                <w:sz w:val="18"/>
                <w:szCs w:val="18"/>
              </w:rPr>
            </w:pPr>
            <w:r>
              <w:rPr>
                <w:rFonts w:asciiTheme="minorEastAsia" w:hAnsiTheme="minorEastAsia" w:cstheme="minorEastAsia"/>
                <w:color w:val="000000"/>
                <w:kern w:val="0"/>
                <w:sz w:val="18"/>
                <w:szCs w:val="18"/>
              </w:rPr>
              <w:t xml:space="preserve">66,324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kern w:val="0"/>
                <w:sz w:val="18"/>
                <w:szCs w:val="18"/>
              </w:rPr>
            </w:pPr>
            <w:r>
              <w:rPr>
                <w:rFonts w:asciiTheme="minorEastAsia" w:hAnsiTheme="minorEastAsia" w:cstheme="minorEastAsia"/>
                <w:color w:val="000000"/>
                <w:kern w:val="0"/>
                <w:sz w:val="18"/>
                <w:szCs w:val="18"/>
              </w:rPr>
              <w:t xml:space="preserve">9,100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kern w:val="0"/>
                <w:sz w:val="18"/>
                <w:szCs w:val="18"/>
              </w:rPr>
            </w:pPr>
            <w:r>
              <w:rPr>
                <w:rFonts w:asciiTheme="minorEastAsia" w:hAnsiTheme="minorEastAsia" w:cstheme="minorEastAsia"/>
                <w:color w:val="000000"/>
                <w:kern w:val="0"/>
                <w:sz w:val="18"/>
                <w:szCs w:val="18"/>
              </w:rPr>
              <w:t xml:space="preserve">13.7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kern w:val="0"/>
                <w:sz w:val="18"/>
                <w:szCs w:val="18"/>
              </w:rPr>
            </w:pPr>
            <w:r>
              <w:rPr>
                <w:rFonts w:asciiTheme="minorEastAsia" w:hAnsiTheme="minorEastAsia" w:cstheme="minorEastAsia"/>
                <w:color w:val="000000"/>
                <w:kern w:val="0"/>
                <w:sz w:val="18"/>
                <w:szCs w:val="18"/>
              </w:rPr>
              <w:t xml:space="preserve">67.2 </w:t>
            </w:r>
          </w:p>
        </w:tc>
      </w:tr>
      <w:tr>
        <w:tblPrEx>
          <w:tblCellMar>
            <w:top w:w="0" w:type="dxa"/>
            <w:left w:w="108" w:type="dxa"/>
            <w:bottom w:w="0" w:type="dxa"/>
            <w:right w:w="108" w:type="dxa"/>
          </w:tblCellMar>
        </w:tblPrEx>
        <w:trPr>
          <w:trHeight w:val="315" w:hRule="atLeast"/>
          <w:jc w:val="center"/>
        </w:trPr>
        <w:tc>
          <w:tcPr>
            <w:tcW w:w="1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heme="minorEastAsia" w:hAnsiTheme="minorEastAsia"/>
                <w:sz w:val="18"/>
                <w:szCs w:val="18"/>
              </w:rPr>
            </w:pPr>
            <w:r>
              <w:rPr>
                <w:rFonts w:hint="eastAsia" w:asciiTheme="minorEastAsia" w:hAnsiTheme="minorEastAsia"/>
                <w:sz w:val="18"/>
                <w:szCs w:val="18"/>
              </w:rPr>
              <w:t>辽滨经开区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sz w:val="18"/>
                <w:szCs w:val="18"/>
              </w:rPr>
            </w:pPr>
            <w:r>
              <w:rPr>
                <w:rFonts w:hint="eastAsia" w:asciiTheme="minorEastAsia" w:hAnsiTheme="minorEastAsia" w:cstheme="minorEastAsia"/>
                <w:color w:val="000000"/>
                <w:kern w:val="0"/>
                <w:sz w:val="18"/>
                <w:szCs w:val="18"/>
              </w:rPr>
              <w:t xml:space="preserve"> 322,000 </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kern w:val="0"/>
                <w:sz w:val="18"/>
                <w:szCs w:val="18"/>
              </w:rPr>
            </w:pPr>
            <w:r>
              <w:rPr>
                <w:rFonts w:asciiTheme="minorEastAsia" w:hAnsiTheme="minorEastAsia" w:cstheme="minorEastAsia"/>
                <w:color w:val="000000"/>
                <w:kern w:val="0"/>
                <w:sz w:val="18"/>
                <w:szCs w:val="18"/>
              </w:rPr>
              <w:t xml:space="preserve">250,339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kern w:val="0"/>
                <w:sz w:val="18"/>
                <w:szCs w:val="18"/>
              </w:rPr>
            </w:pPr>
            <w:r>
              <w:rPr>
                <w:rFonts w:asciiTheme="minorEastAsia" w:hAnsiTheme="minorEastAsia" w:cstheme="minorEastAsia"/>
                <w:color w:val="000000"/>
                <w:kern w:val="0"/>
                <w:sz w:val="18"/>
                <w:szCs w:val="18"/>
              </w:rPr>
              <w:t xml:space="preserve">247,607 </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kern w:val="0"/>
                <w:sz w:val="18"/>
                <w:szCs w:val="18"/>
              </w:rPr>
            </w:pPr>
            <w:r>
              <w:rPr>
                <w:rFonts w:asciiTheme="minorEastAsia" w:hAnsiTheme="minorEastAsia" w:cstheme="minorEastAsia"/>
                <w:color w:val="000000"/>
                <w:kern w:val="0"/>
                <w:sz w:val="18"/>
                <w:szCs w:val="18"/>
              </w:rPr>
              <w:t xml:space="preserve">2,732 </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kern w:val="0"/>
                <w:sz w:val="18"/>
                <w:szCs w:val="18"/>
              </w:rPr>
            </w:pPr>
            <w:r>
              <w:rPr>
                <w:rFonts w:asciiTheme="minorEastAsia" w:hAnsiTheme="minorEastAsia" w:cstheme="minorEastAsia"/>
                <w:color w:val="000000"/>
                <w:kern w:val="0"/>
                <w:sz w:val="18"/>
                <w:szCs w:val="18"/>
              </w:rPr>
              <w:t xml:space="preserve">1.1 </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Theme="minorEastAsia" w:hAnsiTheme="minorEastAsia" w:cstheme="minorEastAsia"/>
                <w:color w:val="000000"/>
                <w:kern w:val="0"/>
                <w:sz w:val="18"/>
                <w:szCs w:val="18"/>
              </w:rPr>
            </w:pPr>
            <w:r>
              <w:rPr>
                <w:rFonts w:asciiTheme="minorEastAsia" w:hAnsiTheme="minorEastAsia" w:cstheme="minorEastAsia"/>
                <w:color w:val="000000"/>
                <w:kern w:val="0"/>
                <w:sz w:val="18"/>
                <w:szCs w:val="18"/>
              </w:rPr>
              <w:t xml:space="preserve">77.7 </w:t>
            </w:r>
          </w:p>
        </w:tc>
      </w:tr>
    </w:tbl>
    <w:p>
      <w:pPr>
        <w:jc w:val="right"/>
        <w:rPr>
          <w:rFonts w:asciiTheme="minorEastAsia" w:hAnsiTheme="minorEastAsia"/>
          <w:sz w:val="18"/>
          <w:szCs w:val="18"/>
        </w:rPr>
      </w:pP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从全省排名来看，全市一般公共预算收入总量居全省第5位，增幅居全省第10位。虽增幅排名较上个月前移2位，但仍低于全省平均水平0.9个百分点，财政收入增长乏力的趋势没有扭转。非税占比30.0%，低于全省平均占比5.4个百分点，按从低到高的顺序居全省第2位,财政收入结构有所优化。收入进度67.5%，高于全省平均进度3.3个百分点，居全省第2位。</w:t>
      </w:r>
    </w:p>
    <w:p>
      <w:pPr>
        <w:snapToGrid w:val="0"/>
        <w:ind w:firstLine="643" w:firstLineChars="200"/>
        <w:rPr>
          <w:rFonts w:cs="宋体" w:asciiTheme="majorEastAsia" w:hAnsiTheme="majorEastAsia" w:eastAsiaTheme="majorEastAsia"/>
          <w:b/>
          <w:bCs/>
          <w:kern w:val="0"/>
          <w:sz w:val="32"/>
          <w:szCs w:val="32"/>
        </w:rPr>
      </w:pPr>
    </w:p>
    <w:p>
      <w:pPr>
        <w:snapToGrid w:val="0"/>
        <w:ind w:firstLine="560" w:firstLineChars="200"/>
        <w:rPr>
          <w:rFonts w:ascii="仿宋" w:hAnsi="仿宋" w:eastAsia="仿宋"/>
          <w:sz w:val="28"/>
          <w:szCs w:val="28"/>
        </w:rPr>
      </w:pPr>
      <w:r>
        <w:rPr>
          <w:rFonts w:hint="eastAsia" w:ascii="仿宋" w:hAnsi="仿宋" w:eastAsia="仿宋"/>
          <w:sz w:val="28"/>
          <w:szCs w:val="28"/>
        </w:rPr>
        <w:t>2024年1-6月份全省分地区一般公共预算收入完成情况表</w:t>
      </w:r>
    </w:p>
    <w:p>
      <w:pPr>
        <w:pStyle w:val="2"/>
        <w:spacing w:line="300" w:lineRule="exact"/>
        <w:ind w:left="1470" w:right="1470"/>
        <w:jc w:val="center"/>
        <w:rPr>
          <w:rFonts w:ascii="仿宋" w:hAnsi="仿宋" w:eastAsia="仿宋"/>
          <w:sz w:val="28"/>
          <w:szCs w:val="28"/>
        </w:rPr>
      </w:pPr>
      <w:r>
        <w:rPr>
          <w:rFonts w:hint="eastAsia" w:ascii="仿宋" w:hAnsi="仿宋" w:eastAsia="仿宋"/>
          <w:sz w:val="28"/>
          <w:szCs w:val="28"/>
        </w:rPr>
        <w:t>单位：亿元</w:t>
      </w:r>
    </w:p>
    <w:p>
      <w:pPr>
        <w:pStyle w:val="2"/>
        <w:spacing w:line="300" w:lineRule="exact"/>
        <w:ind w:left="1470" w:right="1470"/>
        <w:jc w:val="center"/>
        <w:rPr>
          <w:rFonts w:ascii="仿宋" w:hAnsi="仿宋" w:eastAsia="仿宋"/>
          <w:sz w:val="28"/>
          <w:szCs w:val="28"/>
        </w:rPr>
      </w:pPr>
    </w:p>
    <w:tbl>
      <w:tblPr>
        <w:tblStyle w:val="9"/>
        <w:tblW w:w="6120" w:type="dxa"/>
        <w:jc w:val="center"/>
        <w:tblLayout w:type="fixed"/>
        <w:tblCellMar>
          <w:top w:w="0" w:type="dxa"/>
          <w:left w:w="108" w:type="dxa"/>
          <w:bottom w:w="0" w:type="dxa"/>
          <w:right w:w="108" w:type="dxa"/>
        </w:tblCellMar>
      </w:tblPr>
      <w:tblGrid>
        <w:gridCol w:w="1080"/>
        <w:gridCol w:w="848"/>
        <w:gridCol w:w="832"/>
        <w:gridCol w:w="840"/>
        <w:gridCol w:w="840"/>
        <w:gridCol w:w="840"/>
        <w:gridCol w:w="840"/>
      </w:tblGrid>
      <w:tr>
        <w:tblPrEx>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各  市</w:t>
            </w:r>
          </w:p>
        </w:tc>
        <w:tc>
          <w:tcPr>
            <w:tcW w:w="8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总量</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排名</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增幅%</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排名</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进度%</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排名</w:t>
            </w:r>
          </w:p>
        </w:tc>
      </w:tr>
      <w:tr>
        <w:tblPrEx>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sz w:val="18"/>
                <w:szCs w:val="18"/>
              </w:rPr>
            </w:pPr>
            <w:r>
              <w:rPr>
                <w:rFonts w:hint="eastAsia" w:asciiTheme="minorEastAsia" w:hAnsiTheme="minorEastAsia"/>
                <w:sz w:val="18"/>
                <w:szCs w:val="18"/>
              </w:rPr>
              <w:t>全省合计</w:t>
            </w:r>
          </w:p>
        </w:tc>
        <w:tc>
          <w:tcPr>
            <w:tcW w:w="84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1855.9</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6.1</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sz w:val="18"/>
                <w:szCs w:val="18"/>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64.2</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p>
        </w:tc>
      </w:tr>
      <w:tr>
        <w:tblPrEx>
          <w:tblCellMar>
            <w:top w:w="0" w:type="dxa"/>
            <w:left w:w="108" w:type="dxa"/>
            <w:bottom w:w="0" w:type="dxa"/>
            <w:right w:w="108" w:type="dxa"/>
          </w:tblCellMar>
        </w:tblPrEx>
        <w:trPr>
          <w:trHeight w:val="326"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sz w:val="18"/>
                <w:szCs w:val="18"/>
              </w:rPr>
            </w:pPr>
            <w:r>
              <w:rPr>
                <w:rFonts w:hint="eastAsia" w:asciiTheme="minorEastAsia" w:hAnsiTheme="minorEastAsia"/>
                <w:sz w:val="18"/>
                <w:szCs w:val="18"/>
              </w:rPr>
              <w:t>沈阳市</w:t>
            </w:r>
          </w:p>
        </w:tc>
        <w:tc>
          <w:tcPr>
            <w:tcW w:w="84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524.8</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1</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4.5</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sz w:val="18"/>
                <w:szCs w:val="18"/>
              </w:rPr>
            </w:pPr>
            <w:r>
              <w:rPr>
                <w:rFonts w:hint="eastAsia" w:asciiTheme="minorEastAsia" w:hAnsiTheme="minorEastAsia"/>
                <w:sz w:val="18"/>
                <w:szCs w:val="18"/>
              </w:rPr>
              <w:t>11</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61.8</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13</w:t>
            </w:r>
          </w:p>
        </w:tc>
      </w:tr>
      <w:tr>
        <w:tblPrEx>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sz w:val="18"/>
                <w:szCs w:val="18"/>
              </w:rPr>
            </w:pPr>
            <w:r>
              <w:rPr>
                <w:rFonts w:hint="eastAsia" w:asciiTheme="minorEastAsia" w:hAnsiTheme="minorEastAsia"/>
                <w:sz w:val="18"/>
                <w:szCs w:val="18"/>
              </w:rPr>
              <w:t>大连市</w:t>
            </w:r>
          </w:p>
        </w:tc>
        <w:tc>
          <w:tcPr>
            <w:tcW w:w="84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494.9</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2</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4.1</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sz w:val="18"/>
                <w:szCs w:val="18"/>
              </w:rPr>
            </w:pPr>
            <w:r>
              <w:rPr>
                <w:rFonts w:hint="eastAsia" w:asciiTheme="minorEastAsia" w:hAnsiTheme="minorEastAsia"/>
                <w:sz w:val="18"/>
                <w:szCs w:val="18"/>
              </w:rPr>
              <w:t>12</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62.3</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11</w:t>
            </w:r>
          </w:p>
        </w:tc>
      </w:tr>
      <w:tr>
        <w:tblPrEx>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sz w:val="18"/>
                <w:szCs w:val="18"/>
              </w:rPr>
            </w:pPr>
            <w:r>
              <w:rPr>
                <w:rFonts w:hint="eastAsia" w:asciiTheme="minorEastAsia" w:hAnsiTheme="minorEastAsia"/>
                <w:sz w:val="18"/>
                <w:szCs w:val="18"/>
              </w:rPr>
              <w:t>鞍山市</w:t>
            </w:r>
          </w:p>
        </w:tc>
        <w:tc>
          <w:tcPr>
            <w:tcW w:w="84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113.5</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3</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10.8</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sz w:val="18"/>
                <w:szCs w:val="18"/>
              </w:rPr>
            </w:pPr>
            <w:r>
              <w:rPr>
                <w:rFonts w:hint="eastAsia" w:asciiTheme="minorEastAsia" w:hAnsiTheme="minorEastAsia"/>
                <w:sz w:val="18"/>
                <w:szCs w:val="18"/>
              </w:rPr>
              <w:t>4</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64.4</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9</w:t>
            </w:r>
          </w:p>
        </w:tc>
      </w:tr>
      <w:tr>
        <w:tblPrEx>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sz w:val="18"/>
                <w:szCs w:val="18"/>
              </w:rPr>
            </w:pPr>
            <w:r>
              <w:rPr>
                <w:rFonts w:hint="eastAsia" w:asciiTheme="minorEastAsia" w:hAnsiTheme="minorEastAsia"/>
                <w:sz w:val="18"/>
                <w:szCs w:val="18"/>
              </w:rPr>
              <w:t>抚顺市</w:t>
            </w:r>
          </w:p>
        </w:tc>
        <w:tc>
          <w:tcPr>
            <w:tcW w:w="84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46.8</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11</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14.4</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sz w:val="18"/>
                <w:szCs w:val="18"/>
              </w:rPr>
            </w:pPr>
            <w:r>
              <w:rPr>
                <w:rFonts w:hint="eastAsia" w:asciiTheme="minorEastAsia" w:hAnsiTheme="minorEastAsia"/>
                <w:sz w:val="18"/>
                <w:szCs w:val="18"/>
              </w:rPr>
              <w:t>2</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64.8</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7</w:t>
            </w:r>
          </w:p>
        </w:tc>
      </w:tr>
      <w:tr>
        <w:tblPrEx>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sz w:val="18"/>
                <w:szCs w:val="18"/>
              </w:rPr>
            </w:pPr>
            <w:r>
              <w:rPr>
                <w:rFonts w:hint="eastAsia" w:asciiTheme="minorEastAsia" w:hAnsiTheme="minorEastAsia"/>
                <w:sz w:val="18"/>
                <w:szCs w:val="18"/>
              </w:rPr>
              <w:t>本溪市</w:t>
            </w:r>
          </w:p>
        </w:tc>
        <w:tc>
          <w:tcPr>
            <w:tcW w:w="84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56.6</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8</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6.1</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sz w:val="18"/>
                <w:szCs w:val="18"/>
              </w:rPr>
            </w:pPr>
            <w:r>
              <w:rPr>
                <w:rFonts w:hint="eastAsia" w:asciiTheme="minorEastAsia" w:hAnsiTheme="minorEastAsia"/>
                <w:sz w:val="18"/>
                <w:szCs w:val="18"/>
              </w:rPr>
              <w:t>8</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67.4</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3</w:t>
            </w:r>
          </w:p>
        </w:tc>
      </w:tr>
      <w:tr>
        <w:tblPrEx>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sz w:val="18"/>
                <w:szCs w:val="18"/>
              </w:rPr>
            </w:pPr>
            <w:r>
              <w:rPr>
                <w:rFonts w:hint="eastAsia" w:asciiTheme="minorEastAsia" w:hAnsiTheme="minorEastAsia"/>
                <w:sz w:val="18"/>
                <w:szCs w:val="18"/>
              </w:rPr>
              <w:t>丹东市</w:t>
            </w:r>
          </w:p>
        </w:tc>
        <w:tc>
          <w:tcPr>
            <w:tcW w:w="84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49.5</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10</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9.3</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sz w:val="18"/>
                <w:szCs w:val="18"/>
              </w:rPr>
            </w:pPr>
            <w:r>
              <w:rPr>
                <w:rFonts w:hint="eastAsia" w:asciiTheme="minorEastAsia" w:hAnsiTheme="minorEastAsia"/>
                <w:sz w:val="18"/>
                <w:szCs w:val="18"/>
              </w:rPr>
              <w:t>5</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61.9</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12</w:t>
            </w:r>
          </w:p>
        </w:tc>
      </w:tr>
      <w:tr>
        <w:tblPrEx>
          <w:tblCellMar>
            <w:top w:w="0" w:type="dxa"/>
            <w:left w:w="108" w:type="dxa"/>
            <w:bottom w:w="0" w:type="dxa"/>
            <w:right w:w="108" w:type="dxa"/>
          </w:tblCellMar>
        </w:tblPrEx>
        <w:trPr>
          <w:trHeight w:val="323"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sz w:val="18"/>
                <w:szCs w:val="18"/>
              </w:rPr>
            </w:pPr>
            <w:r>
              <w:rPr>
                <w:rFonts w:hint="eastAsia" w:asciiTheme="minorEastAsia" w:hAnsiTheme="minorEastAsia"/>
                <w:sz w:val="18"/>
                <w:szCs w:val="18"/>
              </w:rPr>
              <w:t>锦州市</w:t>
            </w:r>
          </w:p>
        </w:tc>
        <w:tc>
          <w:tcPr>
            <w:tcW w:w="84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72.9</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6</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9.3</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sz w:val="18"/>
                <w:szCs w:val="18"/>
              </w:rPr>
            </w:pPr>
            <w:r>
              <w:rPr>
                <w:rFonts w:hint="eastAsia" w:asciiTheme="minorEastAsia" w:hAnsiTheme="minorEastAsia"/>
                <w:sz w:val="18"/>
                <w:szCs w:val="18"/>
              </w:rPr>
              <w:t>5</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60.2</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14</w:t>
            </w:r>
          </w:p>
        </w:tc>
      </w:tr>
      <w:tr>
        <w:tblPrEx>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sz w:val="18"/>
                <w:szCs w:val="18"/>
              </w:rPr>
            </w:pPr>
            <w:r>
              <w:rPr>
                <w:rFonts w:hint="eastAsia" w:asciiTheme="minorEastAsia" w:hAnsiTheme="minorEastAsia"/>
                <w:sz w:val="18"/>
                <w:szCs w:val="18"/>
              </w:rPr>
              <w:t>营口市</w:t>
            </w:r>
          </w:p>
        </w:tc>
        <w:tc>
          <w:tcPr>
            <w:tcW w:w="84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95.3</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4</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-3.3</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sz w:val="18"/>
                <w:szCs w:val="18"/>
              </w:rPr>
            </w:pPr>
            <w:r>
              <w:rPr>
                <w:rFonts w:hint="eastAsia" w:asciiTheme="minorEastAsia" w:hAnsiTheme="minorEastAsia"/>
                <w:sz w:val="18"/>
                <w:szCs w:val="18"/>
              </w:rPr>
              <w:t>14</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65.9</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4</w:t>
            </w:r>
          </w:p>
        </w:tc>
      </w:tr>
      <w:tr>
        <w:tblPrEx>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sz w:val="18"/>
                <w:szCs w:val="18"/>
              </w:rPr>
            </w:pPr>
            <w:r>
              <w:rPr>
                <w:rFonts w:hint="eastAsia" w:asciiTheme="minorEastAsia" w:hAnsiTheme="minorEastAsia"/>
                <w:sz w:val="18"/>
                <w:szCs w:val="18"/>
              </w:rPr>
              <w:t>阜新市</w:t>
            </w:r>
          </w:p>
        </w:tc>
        <w:tc>
          <w:tcPr>
            <w:tcW w:w="84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32.6</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14</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5.8</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sz w:val="18"/>
                <w:szCs w:val="18"/>
              </w:rPr>
            </w:pPr>
            <w:r>
              <w:rPr>
                <w:rFonts w:hint="eastAsia" w:asciiTheme="minorEastAsia" w:hAnsiTheme="minorEastAsia"/>
                <w:sz w:val="18"/>
                <w:szCs w:val="18"/>
              </w:rPr>
              <w:t>9</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64.9</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6</w:t>
            </w:r>
          </w:p>
        </w:tc>
      </w:tr>
      <w:tr>
        <w:tblPrEx>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sz w:val="18"/>
                <w:szCs w:val="18"/>
              </w:rPr>
            </w:pPr>
            <w:r>
              <w:rPr>
                <w:rFonts w:hint="eastAsia" w:asciiTheme="minorEastAsia" w:hAnsiTheme="minorEastAsia"/>
                <w:sz w:val="18"/>
                <w:szCs w:val="18"/>
              </w:rPr>
              <w:t>辽阳市</w:t>
            </w:r>
          </w:p>
        </w:tc>
        <w:tc>
          <w:tcPr>
            <w:tcW w:w="84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53.0</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9</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9.3</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sz w:val="18"/>
                <w:szCs w:val="18"/>
              </w:rPr>
            </w:pPr>
            <w:r>
              <w:rPr>
                <w:rFonts w:hint="eastAsia" w:asciiTheme="minorEastAsia" w:hAnsiTheme="minorEastAsia"/>
                <w:sz w:val="18"/>
                <w:szCs w:val="18"/>
              </w:rPr>
              <w:t>5</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62.7</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10</w:t>
            </w:r>
          </w:p>
        </w:tc>
      </w:tr>
      <w:tr>
        <w:tblPrEx>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sz w:val="18"/>
                <w:szCs w:val="18"/>
              </w:rPr>
            </w:pPr>
            <w:r>
              <w:rPr>
                <w:rFonts w:hint="eastAsia" w:asciiTheme="minorEastAsia" w:hAnsiTheme="minorEastAsia"/>
                <w:sz w:val="18"/>
                <w:szCs w:val="18"/>
              </w:rPr>
              <w:t>铁岭市</w:t>
            </w:r>
          </w:p>
        </w:tc>
        <w:tc>
          <w:tcPr>
            <w:tcW w:w="84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41.1</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13</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23.7</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sz w:val="18"/>
                <w:szCs w:val="18"/>
              </w:rPr>
            </w:pPr>
            <w:r>
              <w:rPr>
                <w:rFonts w:hint="eastAsia" w:asciiTheme="minorEastAsia" w:hAnsiTheme="minorEastAsia"/>
                <w:sz w:val="18"/>
                <w:szCs w:val="18"/>
              </w:rPr>
              <w:t xml:space="preserve">   1</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74.5</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1</w:t>
            </w:r>
          </w:p>
        </w:tc>
      </w:tr>
      <w:tr>
        <w:tblPrEx>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sz w:val="18"/>
                <w:szCs w:val="18"/>
              </w:rPr>
            </w:pPr>
            <w:r>
              <w:rPr>
                <w:rFonts w:hint="eastAsia" w:asciiTheme="minorEastAsia" w:hAnsiTheme="minorEastAsia"/>
                <w:sz w:val="18"/>
                <w:szCs w:val="18"/>
              </w:rPr>
              <w:t>朝阳市</w:t>
            </w:r>
          </w:p>
        </w:tc>
        <w:tc>
          <w:tcPr>
            <w:tcW w:w="84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57.0</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7</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3.6</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sz w:val="18"/>
                <w:szCs w:val="18"/>
              </w:rPr>
            </w:pPr>
            <w:r>
              <w:rPr>
                <w:rFonts w:hint="eastAsia" w:asciiTheme="minorEastAsia" w:hAnsiTheme="minorEastAsia"/>
                <w:sz w:val="18"/>
                <w:szCs w:val="18"/>
              </w:rPr>
              <w:t>13</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65.3</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5</w:t>
            </w:r>
          </w:p>
        </w:tc>
      </w:tr>
      <w:tr>
        <w:tblPrEx>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b/>
                <w:bCs/>
                <w:color w:val="FF0000"/>
                <w:sz w:val="18"/>
                <w:szCs w:val="18"/>
              </w:rPr>
            </w:pPr>
            <w:r>
              <w:rPr>
                <w:rFonts w:hint="eastAsia" w:asciiTheme="minorEastAsia" w:hAnsiTheme="minorEastAsia"/>
                <w:b/>
                <w:bCs/>
                <w:color w:val="FF0000"/>
                <w:sz w:val="18"/>
                <w:szCs w:val="18"/>
              </w:rPr>
              <w:t>盘锦市</w:t>
            </w:r>
          </w:p>
        </w:tc>
        <w:tc>
          <w:tcPr>
            <w:tcW w:w="84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
                <w:bCs/>
                <w:color w:val="FF0000"/>
                <w:sz w:val="18"/>
                <w:szCs w:val="18"/>
              </w:rPr>
            </w:pPr>
            <w:r>
              <w:rPr>
                <w:rFonts w:hint="eastAsia" w:asciiTheme="minorEastAsia" w:hAnsiTheme="minorEastAsia"/>
                <w:b/>
                <w:bCs/>
                <w:color w:val="FF0000"/>
                <w:sz w:val="18"/>
                <w:szCs w:val="18"/>
              </w:rPr>
              <w:t>91.9</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
                <w:bCs/>
                <w:color w:val="FF0000"/>
                <w:sz w:val="18"/>
                <w:szCs w:val="18"/>
              </w:rPr>
            </w:pPr>
            <w:r>
              <w:rPr>
                <w:rFonts w:hint="eastAsia" w:asciiTheme="minorEastAsia" w:hAnsiTheme="minorEastAsia"/>
                <w:b/>
                <w:bCs/>
                <w:color w:val="FF0000"/>
                <w:sz w:val="18"/>
                <w:szCs w:val="18"/>
              </w:rPr>
              <w:t>5</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
                <w:bCs/>
                <w:color w:val="FF0000"/>
                <w:sz w:val="18"/>
                <w:szCs w:val="18"/>
              </w:rPr>
            </w:pPr>
            <w:r>
              <w:rPr>
                <w:rFonts w:hint="eastAsia" w:asciiTheme="minorEastAsia" w:hAnsiTheme="minorEastAsia"/>
                <w:b/>
                <w:bCs/>
                <w:color w:val="FF0000"/>
                <w:sz w:val="18"/>
                <w:szCs w:val="18"/>
              </w:rPr>
              <w:t>5.2</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
                <w:bCs/>
                <w:color w:val="FF0000"/>
                <w:sz w:val="18"/>
                <w:szCs w:val="18"/>
              </w:rPr>
            </w:pPr>
            <w:r>
              <w:rPr>
                <w:rFonts w:hint="eastAsia" w:asciiTheme="minorEastAsia" w:hAnsiTheme="minorEastAsia"/>
                <w:b/>
                <w:bCs/>
                <w:color w:val="FF0000"/>
                <w:sz w:val="18"/>
                <w:szCs w:val="18"/>
              </w:rPr>
              <w:t>10</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
                <w:bCs/>
                <w:color w:val="FF0000"/>
                <w:sz w:val="18"/>
                <w:szCs w:val="18"/>
              </w:rPr>
            </w:pPr>
            <w:r>
              <w:rPr>
                <w:rFonts w:hint="eastAsia" w:asciiTheme="minorEastAsia" w:hAnsiTheme="minorEastAsia"/>
                <w:b/>
                <w:bCs/>
                <w:color w:val="FF0000"/>
                <w:sz w:val="18"/>
                <w:szCs w:val="18"/>
              </w:rPr>
              <w:t>67.5</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
                <w:color w:val="FF0000"/>
                <w:sz w:val="18"/>
                <w:szCs w:val="18"/>
              </w:rPr>
            </w:pPr>
            <w:r>
              <w:rPr>
                <w:rFonts w:hint="eastAsia" w:asciiTheme="minorEastAsia" w:hAnsiTheme="minorEastAsia"/>
                <w:b/>
                <w:color w:val="FF0000"/>
                <w:sz w:val="18"/>
                <w:szCs w:val="18"/>
              </w:rPr>
              <w:t>2</w:t>
            </w:r>
          </w:p>
        </w:tc>
      </w:tr>
      <w:tr>
        <w:tblPrEx>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Theme="minorEastAsia" w:hAnsiTheme="minorEastAsia"/>
                <w:sz w:val="18"/>
                <w:szCs w:val="18"/>
              </w:rPr>
            </w:pPr>
            <w:r>
              <w:rPr>
                <w:rFonts w:hint="eastAsia" w:asciiTheme="minorEastAsia" w:hAnsiTheme="minorEastAsia"/>
                <w:sz w:val="18"/>
                <w:szCs w:val="18"/>
              </w:rPr>
              <w:t>葫芦岛市</w:t>
            </w:r>
          </w:p>
        </w:tc>
        <w:tc>
          <w:tcPr>
            <w:tcW w:w="848"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46.8</w:t>
            </w:r>
          </w:p>
        </w:tc>
        <w:tc>
          <w:tcPr>
            <w:tcW w:w="832"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11</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14.3</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sz w:val="18"/>
                <w:szCs w:val="18"/>
              </w:rPr>
            </w:pPr>
            <w:r>
              <w:rPr>
                <w:rFonts w:hint="eastAsia" w:asciiTheme="minorEastAsia" w:hAnsiTheme="minorEastAsia"/>
                <w:sz w:val="18"/>
                <w:szCs w:val="18"/>
              </w:rPr>
              <w:t>3</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64.8</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Theme="minorEastAsia" w:hAnsiTheme="minorEastAsia"/>
                <w:bCs/>
                <w:sz w:val="18"/>
                <w:szCs w:val="18"/>
              </w:rPr>
            </w:pPr>
            <w:r>
              <w:rPr>
                <w:rFonts w:hint="eastAsia" w:asciiTheme="minorEastAsia" w:hAnsiTheme="minorEastAsia"/>
                <w:bCs/>
                <w:sz w:val="18"/>
                <w:szCs w:val="18"/>
              </w:rPr>
              <w:t>7</w:t>
            </w:r>
          </w:p>
        </w:tc>
      </w:tr>
    </w:tbl>
    <w:p>
      <w:pPr>
        <w:snapToGrid w:val="0"/>
        <w:ind w:firstLine="643" w:firstLineChars="200"/>
        <w:rPr>
          <w:rFonts w:cs="宋体" w:asciiTheme="majorEastAsia" w:hAnsiTheme="majorEastAsia" w:eastAsiaTheme="majorEastAsia"/>
          <w:b/>
          <w:bCs/>
          <w:kern w:val="0"/>
          <w:sz w:val="32"/>
          <w:szCs w:val="32"/>
        </w:rPr>
      </w:pPr>
    </w:p>
    <w:p>
      <w:pPr>
        <w:snapToGrid w:val="0"/>
        <w:ind w:firstLine="643" w:firstLineChars="200"/>
        <w:rPr>
          <w:rFonts w:cs="宋体" w:asciiTheme="majorEastAsia" w:hAnsiTheme="majorEastAsia" w:eastAsiaTheme="majorEastAsia"/>
          <w:b/>
          <w:bCs/>
          <w:kern w:val="0"/>
          <w:sz w:val="32"/>
          <w:szCs w:val="32"/>
        </w:rPr>
      </w:pPr>
      <w:r>
        <w:rPr>
          <w:rFonts w:hint="eastAsia" w:cs="宋体" w:asciiTheme="majorEastAsia" w:hAnsiTheme="majorEastAsia" w:eastAsiaTheme="majorEastAsia"/>
          <w:b/>
          <w:bCs/>
          <w:kern w:val="0"/>
          <w:sz w:val="32"/>
          <w:szCs w:val="32"/>
        </w:rPr>
        <w:t>（二）财政支出提质增效</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2024年1-7月份，全市各级财政部门按照市委、市政府年度重点工作安排，在坚持习惯“过紧日子”的前提下，把宝贵的资金用在发展紧要处、民生急需上，强化重大战略任务和基本民生财力保障。全市一般公共预算支出116.2亿元，同比增长2.9%，增幅较6月份提高0.9个百分点。分科目看，公共安全、教育、科学技术、社会保障和就业、卫生健康、节能环保等支出增速高于全省平均水平。</w:t>
      </w:r>
    </w:p>
    <w:p>
      <w:pPr>
        <w:pStyle w:val="2"/>
      </w:pPr>
    </w:p>
    <w:p>
      <w:pPr>
        <w:pStyle w:val="2"/>
      </w:pPr>
    </w:p>
    <w:p>
      <w:pPr>
        <w:pStyle w:val="2"/>
      </w:pPr>
    </w:p>
    <w:p>
      <w:pPr>
        <w:pStyle w:val="2"/>
      </w:pPr>
    </w:p>
    <w:p>
      <w:pPr>
        <w:pStyle w:val="2"/>
      </w:pPr>
    </w:p>
    <w:p>
      <w:pPr>
        <w:pStyle w:val="2"/>
      </w:pPr>
    </w:p>
    <w:p>
      <w:pPr>
        <w:pStyle w:val="2"/>
      </w:pPr>
    </w:p>
    <w:p>
      <w:pPr>
        <w:pStyle w:val="2"/>
        <w:tabs>
          <w:tab w:val="left" w:pos="1525"/>
          <w:tab w:val="center" w:pos="4213"/>
        </w:tabs>
        <w:spacing w:line="300" w:lineRule="exact"/>
        <w:jc w:val="center"/>
        <w:rPr>
          <w:rFonts w:ascii="仿宋" w:hAnsi="仿宋" w:eastAsia="仿宋"/>
          <w:sz w:val="28"/>
          <w:szCs w:val="28"/>
        </w:rPr>
      </w:pPr>
      <w:r>
        <w:rPr>
          <w:rFonts w:hint="eastAsia" w:ascii="仿宋" w:hAnsi="仿宋" w:eastAsia="仿宋"/>
          <w:sz w:val="28"/>
          <w:szCs w:val="28"/>
        </w:rPr>
        <w:t>2024年1-7月我市部分功能科目支出增幅情况</w:t>
      </w:r>
    </w:p>
    <w:p>
      <w:pPr>
        <w:pStyle w:val="2"/>
      </w:pPr>
    </w:p>
    <w:p>
      <w:pPr>
        <w:pStyle w:val="2"/>
      </w:pPr>
      <w:r>
        <w:drawing>
          <wp:inline distT="0" distB="0" distL="0" distR="0">
            <wp:extent cx="5181600" cy="2924175"/>
            <wp:effectExtent l="19050" t="0" r="19050" b="0"/>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2"/>
      </w:pP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从全省排名来看，受上级财政转移支付资金有限、同期项目支出垫高基数等因素影响，我市一般公共预算支出总量居全省第10位，增幅居全省第11位，位次始终靠后。</w:t>
      </w:r>
    </w:p>
    <w:p>
      <w:pPr>
        <w:pStyle w:val="2"/>
        <w:ind w:firstLine="840"/>
      </w:pPr>
    </w:p>
    <w:p>
      <w:pPr>
        <w:pStyle w:val="2"/>
        <w:tabs>
          <w:tab w:val="left" w:pos="1525"/>
          <w:tab w:val="center" w:pos="4213"/>
        </w:tabs>
        <w:spacing w:line="300" w:lineRule="exact"/>
        <w:jc w:val="center"/>
        <w:rPr>
          <w:rFonts w:ascii="仿宋" w:hAnsi="仿宋" w:eastAsia="仿宋"/>
          <w:sz w:val="28"/>
          <w:szCs w:val="28"/>
        </w:rPr>
      </w:pPr>
    </w:p>
    <w:p>
      <w:pPr>
        <w:pStyle w:val="2"/>
        <w:tabs>
          <w:tab w:val="left" w:pos="1525"/>
          <w:tab w:val="center" w:pos="4213"/>
        </w:tabs>
        <w:spacing w:line="300" w:lineRule="exact"/>
        <w:jc w:val="center"/>
        <w:rPr>
          <w:rFonts w:ascii="仿宋" w:hAnsi="仿宋" w:eastAsia="仿宋"/>
          <w:sz w:val="28"/>
          <w:szCs w:val="28"/>
        </w:rPr>
      </w:pPr>
      <w:r>
        <w:rPr>
          <w:rFonts w:hint="eastAsia" w:ascii="仿宋" w:hAnsi="仿宋" w:eastAsia="仿宋"/>
          <w:sz w:val="28"/>
          <w:szCs w:val="28"/>
        </w:rPr>
        <w:t>2024年1-7月份全省分地区一般公共预算支出执行情况表</w:t>
      </w:r>
    </w:p>
    <w:p>
      <w:pPr>
        <w:pStyle w:val="2"/>
        <w:tabs>
          <w:tab w:val="left" w:pos="1525"/>
          <w:tab w:val="center" w:pos="4213"/>
        </w:tabs>
        <w:spacing w:line="300" w:lineRule="exact"/>
        <w:jc w:val="center"/>
        <w:rPr>
          <w:rFonts w:ascii="仿宋" w:hAnsi="仿宋" w:eastAsia="仿宋"/>
          <w:sz w:val="28"/>
          <w:szCs w:val="28"/>
        </w:rPr>
      </w:pPr>
      <w:r>
        <w:rPr>
          <w:rFonts w:hint="eastAsia" w:ascii="仿宋" w:hAnsi="仿宋" w:eastAsia="仿宋"/>
          <w:sz w:val="28"/>
          <w:szCs w:val="28"/>
        </w:rPr>
        <w:t>（单位:亿元）</w:t>
      </w:r>
    </w:p>
    <w:p>
      <w:pPr>
        <w:pStyle w:val="2"/>
        <w:spacing w:line="300" w:lineRule="exact"/>
        <w:rPr>
          <w:rFonts w:ascii="仿宋" w:hAnsi="仿宋" w:eastAsia="仿宋"/>
          <w:sz w:val="28"/>
          <w:szCs w:val="28"/>
          <w:highlight w:val="yellow"/>
        </w:rPr>
      </w:pPr>
    </w:p>
    <w:tbl>
      <w:tblPr>
        <w:tblStyle w:val="9"/>
        <w:tblW w:w="5256" w:type="dxa"/>
        <w:jc w:val="center"/>
        <w:tblLayout w:type="fixed"/>
        <w:tblCellMar>
          <w:top w:w="0" w:type="dxa"/>
          <w:left w:w="108" w:type="dxa"/>
          <w:bottom w:w="0" w:type="dxa"/>
          <w:right w:w="108" w:type="dxa"/>
        </w:tblCellMar>
      </w:tblPr>
      <w:tblGrid>
        <w:gridCol w:w="1050"/>
        <w:gridCol w:w="1253"/>
        <w:gridCol w:w="1003"/>
        <w:gridCol w:w="885"/>
        <w:gridCol w:w="1065"/>
      </w:tblGrid>
      <w:tr>
        <w:tblPrEx>
          <w:tblCellMar>
            <w:top w:w="0" w:type="dxa"/>
            <w:left w:w="108" w:type="dxa"/>
            <w:bottom w:w="0" w:type="dxa"/>
            <w:right w:w="108" w:type="dxa"/>
          </w:tblCellMar>
        </w:tblPrEx>
        <w:trPr>
          <w:trHeight w:val="389"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各  市</w:t>
            </w: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完成额</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排名</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增减%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排名</w:t>
            </w:r>
          </w:p>
        </w:tc>
      </w:tr>
      <w:tr>
        <w:tblPrEx>
          <w:tblCellMar>
            <w:top w:w="0" w:type="dxa"/>
            <w:left w:w="108" w:type="dxa"/>
            <w:bottom w:w="0" w:type="dxa"/>
            <w:right w:w="108" w:type="dxa"/>
          </w:tblCellMar>
        </w:tblPrEx>
        <w:trPr>
          <w:trHeight w:val="354"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全省合计</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Theme="minorEastAsia" w:hAnsiTheme="minorEastAsia"/>
                <w:sz w:val="18"/>
                <w:szCs w:val="18"/>
              </w:rPr>
            </w:pPr>
            <w:r>
              <w:rPr>
                <w:rFonts w:hint="eastAsia" w:asciiTheme="minorEastAsia" w:hAnsiTheme="minorEastAsia"/>
                <w:sz w:val="18"/>
                <w:szCs w:val="18"/>
              </w:rPr>
              <w:t>3695.7</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cs="宋体" w:asciiTheme="minorEastAsia" w:hAnsiTheme="minorEastAsia"/>
                <w:sz w:val="18"/>
                <w:szCs w:val="18"/>
              </w:rPr>
            </w:pPr>
            <w:r>
              <w:rPr>
                <w:rFonts w:hint="eastAsia" w:asciiTheme="minorEastAsia" w:hAnsiTheme="minorEastAsia"/>
                <w:sz w:val="18"/>
                <w:szCs w:val="18"/>
              </w:rPr>
              <w:t>2.9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沈阳市</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cs="宋体" w:asciiTheme="minorEastAsia" w:hAnsiTheme="minorEastAsia"/>
                <w:sz w:val="18"/>
                <w:szCs w:val="18"/>
              </w:rPr>
            </w:pPr>
            <w:r>
              <w:rPr>
                <w:rFonts w:hint="eastAsia" w:asciiTheme="minorEastAsia" w:hAnsiTheme="minorEastAsia"/>
                <w:sz w:val="18"/>
                <w:szCs w:val="18"/>
              </w:rPr>
              <w:t>636.0</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cs="宋体" w:asciiTheme="minorEastAsia" w:hAnsiTheme="minorEastAsia"/>
                <w:sz w:val="18"/>
                <w:szCs w:val="18"/>
              </w:rPr>
            </w:pPr>
            <w:r>
              <w:rPr>
                <w:rFonts w:hint="eastAsia" w:asciiTheme="minorEastAsia" w:hAnsiTheme="minorEastAsia"/>
                <w:sz w:val="18"/>
                <w:szCs w:val="18"/>
              </w:rPr>
              <w:t>-0.9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r>
      <w:tr>
        <w:tblPrEx>
          <w:tblCellMar>
            <w:top w:w="0" w:type="dxa"/>
            <w:left w:w="108" w:type="dxa"/>
            <w:bottom w:w="0" w:type="dxa"/>
            <w:right w:w="108" w:type="dxa"/>
          </w:tblCellMar>
        </w:tblPrEx>
        <w:trPr>
          <w:trHeight w:val="322"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大连市</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cs="宋体" w:asciiTheme="minorEastAsia" w:hAnsiTheme="minorEastAsia"/>
                <w:sz w:val="18"/>
                <w:szCs w:val="18"/>
              </w:rPr>
            </w:pPr>
            <w:r>
              <w:rPr>
                <w:rFonts w:hint="eastAsia" w:asciiTheme="minorEastAsia" w:hAnsiTheme="minorEastAsia"/>
                <w:sz w:val="18"/>
                <w:szCs w:val="18"/>
              </w:rPr>
              <w:t>576.4</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cs="宋体" w:asciiTheme="minorEastAsia" w:hAnsiTheme="minorEastAsia"/>
                <w:sz w:val="18"/>
                <w:szCs w:val="18"/>
              </w:rPr>
            </w:pPr>
            <w:r>
              <w:rPr>
                <w:rFonts w:hint="eastAsia" w:asciiTheme="minorEastAsia" w:hAnsiTheme="minorEastAsia"/>
                <w:sz w:val="18"/>
                <w:szCs w:val="18"/>
              </w:rPr>
              <w:t>5.4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r>
      <w:tr>
        <w:tblPrEx>
          <w:tblCellMar>
            <w:top w:w="0" w:type="dxa"/>
            <w:left w:w="108" w:type="dxa"/>
            <w:bottom w:w="0" w:type="dxa"/>
            <w:right w:w="108" w:type="dxa"/>
          </w:tblCellMar>
        </w:tblPrEx>
        <w:trPr>
          <w:trHeight w:val="2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鞍山市</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cs="宋体" w:asciiTheme="minorEastAsia" w:hAnsiTheme="minorEastAsia"/>
                <w:sz w:val="18"/>
                <w:szCs w:val="18"/>
              </w:rPr>
            </w:pPr>
            <w:r>
              <w:rPr>
                <w:rFonts w:hint="eastAsia" w:asciiTheme="minorEastAsia" w:hAnsiTheme="minorEastAsia"/>
                <w:sz w:val="18"/>
                <w:szCs w:val="18"/>
              </w:rPr>
              <w:t>176.7</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cs="宋体" w:asciiTheme="minorEastAsia" w:hAnsiTheme="minorEastAsia"/>
                <w:sz w:val="18"/>
                <w:szCs w:val="18"/>
              </w:rPr>
            </w:pPr>
            <w:r>
              <w:rPr>
                <w:rFonts w:hint="eastAsia" w:asciiTheme="minorEastAsia" w:hAnsiTheme="minorEastAsia"/>
                <w:sz w:val="18"/>
                <w:szCs w:val="18"/>
              </w:rPr>
              <w:t>4.7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r>
      <w:tr>
        <w:tblPrEx>
          <w:tblCellMar>
            <w:top w:w="0" w:type="dxa"/>
            <w:left w:w="108" w:type="dxa"/>
            <w:bottom w:w="0" w:type="dxa"/>
            <w:right w:w="108" w:type="dxa"/>
          </w:tblCellMar>
        </w:tblPrEx>
        <w:trPr>
          <w:trHeight w:val="2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抚顺市</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cs="宋体" w:asciiTheme="minorEastAsia" w:hAnsiTheme="minorEastAsia"/>
                <w:sz w:val="18"/>
                <w:szCs w:val="18"/>
              </w:rPr>
            </w:pPr>
            <w:r>
              <w:rPr>
                <w:rFonts w:hint="eastAsia" w:asciiTheme="minorEastAsia" w:hAnsiTheme="minorEastAsia"/>
                <w:sz w:val="18"/>
                <w:szCs w:val="18"/>
              </w:rPr>
              <w:t>110.8</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cs="宋体" w:asciiTheme="minorEastAsia" w:hAnsiTheme="minorEastAsia"/>
                <w:sz w:val="18"/>
                <w:szCs w:val="18"/>
              </w:rPr>
            </w:pPr>
            <w:r>
              <w:rPr>
                <w:rFonts w:hint="eastAsia" w:asciiTheme="minorEastAsia" w:hAnsiTheme="minorEastAsia"/>
                <w:sz w:val="18"/>
                <w:szCs w:val="18"/>
              </w:rPr>
              <w:t>20.2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tblPrEx>
          <w:tblCellMar>
            <w:top w:w="0" w:type="dxa"/>
            <w:left w:w="108" w:type="dxa"/>
            <w:bottom w:w="0" w:type="dxa"/>
            <w:right w:w="108" w:type="dxa"/>
          </w:tblCellMar>
        </w:tblPrEx>
        <w:trPr>
          <w:trHeight w:val="2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本溪市</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cs="宋体" w:asciiTheme="minorEastAsia" w:hAnsiTheme="minorEastAsia"/>
                <w:sz w:val="18"/>
                <w:szCs w:val="18"/>
              </w:rPr>
            </w:pPr>
            <w:r>
              <w:rPr>
                <w:rFonts w:hint="eastAsia" w:asciiTheme="minorEastAsia" w:hAnsiTheme="minorEastAsia"/>
                <w:sz w:val="18"/>
                <w:szCs w:val="18"/>
              </w:rPr>
              <w:t>103.7</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cs="宋体" w:asciiTheme="minorEastAsia" w:hAnsiTheme="minorEastAsia"/>
                <w:sz w:val="18"/>
                <w:szCs w:val="18"/>
              </w:rPr>
            </w:pPr>
            <w:r>
              <w:rPr>
                <w:rFonts w:hint="eastAsia" w:asciiTheme="minorEastAsia" w:hAnsiTheme="minorEastAsia"/>
                <w:sz w:val="18"/>
                <w:szCs w:val="18"/>
              </w:rPr>
              <w:t>15.5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r>
      <w:tr>
        <w:tblPrEx>
          <w:tblCellMar>
            <w:top w:w="0" w:type="dxa"/>
            <w:left w:w="108" w:type="dxa"/>
            <w:bottom w:w="0" w:type="dxa"/>
            <w:right w:w="108" w:type="dxa"/>
          </w:tblCellMar>
        </w:tblPrEx>
        <w:trPr>
          <w:trHeight w:val="2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丹东市</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cs="宋体" w:asciiTheme="minorEastAsia" w:hAnsiTheme="minorEastAsia"/>
                <w:sz w:val="18"/>
                <w:szCs w:val="18"/>
              </w:rPr>
            </w:pPr>
            <w:r>
              <w:rPr>
                <w:rFonts w:hint="eastAsia" w:asciiTheme="minorEastAsia" w:hAnsiTheme="minorEastAsia"/>
                <w:sz w:val="18"/>
                <w:szCs w:val="18"/>
              </w:rPr>
              <w:t>137.3</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cs="宋体" w:asciiTheme="minorEastAsia" w:hAnsiTheme="minorEastAsia"/>
                <w:sz w:val="18"/>
                <w:szCs w:val="18"/>
              </w:rPr>
            </w:pPr>
            <w:r>
              <w:rPr>
                <w:rFonts w:hint="eastAsia" w:asciiTheme="minorEastAsia" w:hAnsiTheme="minorEastAsia"/>
                <w:sz w:val="18"/>
                <w:szCs w:val="18"/>
              </w:rPr>
              <w:t>4.1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r>
      <w:tr>
        <w:tblPrEx>
          <w:tblCellMar>
            <w:top w:w="0" w:type="dxa"/>
            <w:left w:w="108" w:type="dxa"/>
            <w:bottom w:w="0" w:type="dxa"/>
            <w:right w:w="108" w:type="dxa"/>
          </w:tblCellMar>
        </w:tblPrEx>
        <w:trPr>
          <w:trHeight w:val="2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锦州市</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cs="宋体" w:asciiTheme="minorEastAsia" w:hAnsiTheme="minorEastAsia"/>
                <w:sz w:val="18"/>
                <w:szCs w:val="18"/>
              </w:rPr>
            </w:pPr>
            <w:r>
              <w:rPr>
                <w:rFonts w:hint="eastAsia" w:asciiTheme="minorEastAsia" w:hAnsiTheme="minorEastAsia"/>
                <w:sz w:val="18"/>
                <w:szCs w:val="18"/>
              </w:rPr>
              <w:t>181.6</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cs="宋体" w:asciiTheme="minorEastAsia" w:hAnsiTheme="minorEastAsia"/>
                <w:sz w:val="18"/>
                <w:szCs w:val="18"/>
              </w:rPr>
            </w:pPr>
            <w:r>
              <w:rPr>
                <w:rFonts w:hint="eastAsia" w:asciiTheme="minorEastAsia" w:hAnsiTheme="minorEastAsia"/>
                <w:sz w:val="18"/>
                <w:szCs w:val="18"/>
              </w:rPr>
              <w:t>16.7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r>
      <w:tr>
        <w:tblPrEx>
          <w:tblCellMar>
            <w:top w:w="0" w:type="dxa"/>
            <w:left w:w="108" w:type="dxa"/>
            <w:bottom w:w="0" w:type="dxa"/>
            <w:right w:w="108" w:type="dxa"/>
          </w:tblCellMar>
        </w:tblPrEx>
        <w:trPr>
          <w:trHeight w:val="2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营口市</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cs="宋体" w:asciiTheme="minorEastAsia" w:hAnsiTheme="minorEastAsia"/>
                <w:sz w:val="18"/>
                <w:szCs w:val="18"/>
              </w:rPr>
            </w:pPr>
            <w:r>
              <w:rPr>
                <w:rFonts w:hint="eastAsia" w:asciiTheme="minorEastAsia" w:hAnsiTheme="minorEastAsia"/>
                <w:sz w:val="18"/>
                <w:szCs w:val="18"/>
              </w:rPr>
              <w:t>143.2</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cs="宋体" w:asciiTheme="minorEastAsia" w:hAnsiTheme="minorEastAsia"/>
                <w:sz w:val="18"/>
                <w:szCs w:val="18"/>
              </w:rPr>
            </w:pPr>
            <w:r>
              <w:rPr>
                <w:rFonts w:hint="eastAsia" w:asciiTheme="minorEastAsia" w:hAnsiTheme="minorEastAsia"/>
                <w:sz w:val="18"/>
                <w:szCs w:val="18"/>
              </w:rPr>
              <w:t>13.2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r>
      <w:tr>
        <w:tblPrEx>
          <w:tblCellMar>
            <w:top w:w="0" w:type="dxa"/>
            <w:left w:w="108" w:type="dxa"/>
            <w:bottom w:w="0" w:type="dxa"/>
            <w:right w:w="108" w:type="dxa"/>
          </w:tblCellMar>
        </w:tblPrEx>
        <w:trPr>
          <w:trHeight w:val="2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阜新市</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cs="宋体" w:asciiTheme="minorEastAsia" w:hAnsiTheme="minorEastAsia"/>
                <w:sz w:val="18"/>
                <w:szCs w:val="18"/>
              </w:rPr>
            </w:pPr>
            <w:r>
              <w:rPr>
                <w:rFonts w:hint="eastAsia" w:asciiTheme="minorEastAsia" w:hAnsiTheme="minorEastAsia"/>
                <w:sz w:val="18"/>
                <w:szCs w:val="18"/>
              </w:rPr>
              <w:t>102.2</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cs="宋体" w:asciiTheme="minorEastAsia" w:hAnsiTheme="minorEastAsia"/>
                <w:sz w:val="18"/>
                <w:szCs w:val="18"/>
              </w:rPr>
            </w:pPr>
            <w:r>
              <w:rPr>
                <w:rFonts w:hint="eastAsia" w:asciiTheme="minorEastAsia" w:hAnsiTheme="minorEastAsia"/>
                <w:sz w:val="18"/>
                <w:szCs w:val="18"/>
              </w:rPr>
              <w:t>11.5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r>
      <w:tr>
        <w:tblPrEx>
          <w:tblCellMar>
            <w:top w:w="0" w:type="dxa"/>
            <w:left w:w="108" w:type="dxa"/>
            <w:bottom w:w="0" w:type="dxa"/>
            <w:right w:w="108" w:type="dxa"/>
          </w:tblCellMar>
        </w:tblPrEx>
        <w:trPr>
          <w:trHeight w:val="2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辽阳市</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cs="宋体" w:asciiTheme="minorEastAsia" w:hAnsiTheme="minorEastAsia"/>
                <w:sz w:val="18"/>
                <w:szCs w:val="18"/>
              </w:rPr>
            </w:pPr>
            <w:r>
              <w:rPr>
                <w:rFonts w:hint="eastAsia" w:asciiTheme="minorEastAsia" w:hAnsiTheme="minorEastAsia"/>
                <w:sz w:val="18"/>
                <w:szCs w:val="18"/>
              </w:rPr>
              <w:t>105.4</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cs="宋体" w:asciiTheme="minorEastAsia" w:hAnsiTheme="minorEastAsia"/>
                <w:sz w:val="18"/>
                <w:szCs w:val="18"/>
              </w:rPr>
            </w:pPr>
            <w:r>
              <w:rPr>
                <w:rFonts w:hint="eastAsia" w:asciiTheme="minorEastAsia" w:hAnsiTheme="minorEastAsia"/>
                <w:sz w:val="18"/>
                <w:szCs w:val="18"/>
              </w:rPr>
              <w:t>-23.5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r>
      <w:tr>
        <w:tblPrEx>
          <w:tblCellMar>
            <w:top w:w="0" w:type="dxa"/>
            <w:left w:w="108" w:type="dxa"/>
            <w:bottom w:w="0" w:type="dxa"/>
            <w:right w:w="108" w:type="dxa"/>
          </w:tblCellMar>
        </w:tblPrEx>
        <w:trPr>
          <w:trHeight w:val="2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铁岭市</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cs="宋体" w:asciiTheme="minorEastAsia" w:hAnsiTheme="minorEastAsia"/>
                <w:sz w:val="18"/>
                <w:szCs w:val="18"/>
              </w:rPr>
            </w:pPr>
            <w:r>
              <w:rPr>
                <w:rFonts w:hint="eastAsia" w:asciiTheme="minorEastAsia" w:hAnsiTheme="minorEastAsia"/>
                <w:sz w:val="18"/>
                <w:szCs w:val="18"/>
              </w:rPr>
              <w:t>131.9</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cs="宋体" w:asciiTheme="minorEastAsia" w:hAnsiTheme="minorEastAsia"/>
                <w:sz w:val="18"/>
                <w:szCs w:val="18"/>
              </w:rPr>
            </w:pPr>
            <w:r>
              <w:rPr>
                <w:rFonts w:hint="eastAsia" w:asciiTheme="minorEastAsia" w:hAnsiTheme="minorEastAsia"/>
                <w:sz w:val="18"/>
                <w:szCs w:val="18"/>
              </w:rPr>
              <w:t>5.1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r>
      <w:tr>
        <w:tblPrEx>
          <w:tblCellMar>
            <w:top w:w="0" w:type="dxa"/>
            <w:left w:w="108" w:type="dxa"/>
            <w:bottom w:w="0" w:type="dxa"/>
            <w:right w:w="108" w:type="dxa"/>
          </w:tblCellMar>
        </w:tblPrEx>
        <w:trPr>
          <w:trHeight w:val="24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朝阳市</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cs="宋体" w:asciiTheme="minorEastAsia" w:hAnsiTheme="minorEastAsia"/>
                <w:sz w:val="18"/>
                <w:szCs w:val="18"/>
              </w:rPr>
            </w:pPr>
            <w:r>
              <w:rPr>
                <w:rFonts w:hint="eastAsia" w:asciiTheme="minorEastAsia" w:hAnsiTheme="minorEastAsia"/>
                <w:sz w:val="18"/>
                <w:szCs w:val="18"/>
              </w:rPr>
              <w:t>175.1</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cs="宋体" w:asciiTheme="minorEastAsia" w:hAnsiTheme="minorEastAsia"/>
                <w:sz w:val="18"/>
                <w:szCs w:val="18"/>
              </w:rPr>
            </w:pPr>
            <w:r>
              <w:rPr>
                <w:rFonts w:hint="eastAsia" w:asciiTheme="minorEastAsia" w:hAnsiTheme="minorEastAsia"/>
                <w:sz w:val="18"/>
                <w:szCs w:val="18"/>
              </w:rPr>
              <w:t>5.7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r>
      <w:tr>
        <w:tblPrEx>
          <w:tblCellMar>
            <w:top w:w="0" w:type="dxa"/>
            <w:left w:w="108" w:type="dxa"/>
            <w:bottom w:w="0" w:type="dxa"/>
            <w:right w:w="108" w:type="dxa"/>
          </w:tblCellMar>
        </w:tblPrEx>
        <w:trPr>
          <w:trHeight w:val="2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FF0000"/>
                <w:kern w:val="0"/>
                <w:sz w:val="18"/>
                <w:szCs w:val="18"/>
              </w:rPr>
            </w:pPr>
            <w:r>
              <w:rPr>
                <w:rFonts w:hint="eastAsia" w:ascii="宋体" w:hAnsi="宋体" w:eastAsia="宋体" w:cs="宋体"/>
                <w:b/>
                <w:color w:val="FF0000"/>
                <w:kern w:val="0"/>
                <w:sz w:val="18"/>
                <w:szCs w:val="18"/>
              </w:rPr>
              <w:t>盘锦市</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cs="宋体" w:asciiTheme="minorEastAsia" w:hAnsiTheme="minorEastAsia"/>
                <w:b/>
                <w:color w:val="FF0000"/>
                <w:sz w:val="18"/>
                <w:szCs w:val="18"/>
              </w:rPr>
            </w:pPr>
            <w:r>
              <w:rPr>
                <w:rFonts w:hint="eastAsia" w:asciiTheme="minorEastAsia" w:hAnsiTheme="minorEastAsia"/>
                <w:b/>
                <w:color w:val="FF0000"/>
                <w:sz w:val="18"/>
                <w:szCs w:val="18"/>
              </w:rPr>
              <w:t>116.2</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FF0000"/>
                <w:kern w:val="0"/>
                <w:sz w:val="18"/>
                <w:szCs w:val="18"/>
              </w:rPr>
            </w:pPr>
            <w:r>
              <w:rPr>
                <w:rFonts w:hint="eastAsia" w:ascii="宋体" w:hAnsi="宋体" w:eastAsia="宋体" w:cs="宋体"/>
                <w:b/>
                <w:color w:val="FF0000"/>
                <w:kern w:val="0"/>
                <w:sz w:val="18"/>
                <w:szCs w:val="18"/>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cs="宋体" w:asciiTheme="minorEastAsia" w:hAnsiTheme="minorEastAsia"/>
                <w:b/>
                <w:color w:val="FF0000"/>
                <w:sz w:val="18"/>
                <w:szCs w:val="18"/>
              </w:rPr>
            </w:pPr>
            <w:r>
              <w:rPr>
                <w:rFonts w:hint="eastAsia" w:asciiTheme="minorEastAsia" w:hAnsiTheme="minorEastAsia"/>
                <w:b/>
                <w:color w:val="FF0000"/>
                <w:sz w:val="18"/>
                <w:szCs w:val="18"/>
              </w:rPr>
              <w:t>2.9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FF0000"/>
                <w:kern w:val="0"/>
                <w:sz w:val="18"/>
                <w:szCs w:val="18"/>
              </w:rPr>
            </w:pPr>
            <w:r>
              <w:rPr>
                <w:rFonts w:hint="eastAsia" w:ascii="宋体" w:hAnsi="宋体" w:eastAsia="宋体" w:cs="宋体"/>
                <w:b/>
                <w:color w:val="FF0000"/>
                <w:kern w:val="0"/>
                <w:sz w:val="18"/>
                <w:szCs w:val="18"/>
              </w:rPr>
              <w:t>11</w:t>
            </w:r>
          </w:p>
        </w:tc>
      </w:tr>
      <w:tr>
        <w:tblPrEx>
          <w:tblCellMar>
            <w:top w:w="0" w:type="dxa"/>
            <w:left w:w="108" w:type="dxa"/>
            <w:bottom w:w="0" w:type="dxa"/>
            <w:right w:w="108" w:type="dxa"/>
          </w:tblCellMar>
        </w:tblPrEx>
        <w:trPr>
          <w:trHeight w:val="253"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葫芦岛</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cs="宋体" w:asciiTheme="minorEastAsia" w:hAnsiTheme="minorEastAsia"/>
                <w:sz w:val="18"/>
                <w:szCs w:val="18"/>
              </w:rPr>
            </w:pPr>
            <w:r>
              <w:rPr>
                <w:rFonts w:hint="eastAsia" w:asciiTheme="minorEastAsia" w:hAnsiTheme="minorEastAsia"/>
                <w:sz w:val="18"/>
                <w:szCs w:val="18"/>
              </w:rPr>
              <w:t>129.3</w:t>
            </w: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cs="宋体" w:asciiTheme="minorEastAsia" w:hAnsiTheme="minorEastAsia"/>
                <w:sz w:val="18"/>
                <w:szCs w:val="18"/>
              </w:rPr>
            </w:pPr>
            <w:r>
              <w:rPr>
                <w:rFonts w:hint="eastAsia" w:asciiTheme="minorEastAsia" w:hAnsiTheme="minorEastAsia"/>
                <w:sz w:val="18"/>
                <w:szCs w:val="18"/>
              </w:rPr>
              <w:t>1.9</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r>
    </w:tbl>
    <w:p>
      <w:pPr>
        <w:pStyle w:val="2"/>
        <w:ind w:firstLine="840"/>
      </w:pPr>
    </w:p>
    <w:p>
      <w:pPr>
        <w:snapToGrid w:val="0"/>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w:t>
      </w:r>
      <w:r>
        <w:rPr>
          <w:rFonts w:hint="eastAsia" w:cs="宋体" w:asciiTheme="majorEastAsia" w:hAnsiTheme="majorEastAsia" w:eastAsiaTheme="majorEastAsia"/>
          <w:b/>
          <w:bCs/>
          <w:kern w:val="0"/>
          <w:sz w:val="32"/>
          <w:szCs w:val="32"/>
        </w:rPr>
        <w:t>三）财政收入增长压力较大</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2024年年初以来，受减费降税、重点企业涉税整治、石化行业盈利能力下滑、土地及房地产低迷等诸多不利因素影响，全市税收收入一直低位运行，下降趋势明显。1-7月份税收收入同比下降3.4%，虽然较6月份降幅收窄2.8个百分点，但仍处于减收状态。其中增值税同比减少3.8亿元，下降12.4%，拉低全市税收收入5.7个百分点。</w:t>
      </w:r>
    </w:p>
    <w:p>
      <w:pPr>
        <w:snapToGrid w:val="0"/>
        <w:ind w:firstLine="480" w:firstLineChars="150"/>
        <w:rPr>
          <w:rFonts w:ascii="仿宋_GB2312" w:hAnsi="仿宋" w:eastAsia="仿宋_GB2312" w:cs="宋体"/>
          <w:bCs/>
          <w:kern w:val="0"/>
          <w:sz w:val="32"/>
          <w:szCs w:val="32"/>
        </w:rPr>
      </w:pPr>
      <w:r>
        <w:rPr>
          <w:rFonts w:hint="eastAsia" w:ascii="仿宋_GB2312" w:hAnsi="仿宋" w:eastAsia="仿宋_GB2312" w:cs="宋体"/>
          <w:bCs/>
          <w:kern w:val="0"/>
          <w:sz w:val="32"/>
          <w:szCs w:val="32"/>
        </w:rPr>
        <w:t>非税收入方面，受公积金增值收益、罚没收入缴库程序加快及“三资”清查盘活全面推进影响，罚没收入、国有资源有偿使用收入和政府住房基金收入较同期均实现较大增长。但从全年和长远分析，这些增长属于上下年月份间缴库差异和一次性因素，稳定增长基础并不牢固。</w:t>
      </w:r>
    </w:p>
    <w:p>
      <w:pPr>
        <w:snapToGrid w:val="0"/>
        <w:ind w:firstLine="480" w:firstLineChars="150"/>
        <w:rPr>
          <w:rFonts w:ascii="仿宋_GB2312" w:hAnsi="仿宋" w:eastAsia="仿宋_GB2312" w:cs="宋体"/>
          <w:bCs/>
          <w:kern w:val="0"/>
          <w:sz w:val="32"/>
          <w:szCs w:val="32"/>
        </w:rPr>
      </w:pPr>
      <w:r>
        <w:rPr>
          <w:rFonts w:hint="eastAsia" w:ascii="黑体" w:hAnsi="黑体" w:eastAsia="黑体" w:cs="宋体"/>
          <w:bCs/>
          <w:kern w:val="0"/>
          <w:sz w:val="32"/>
          <w:szCs w:val="32"/>
        </w:rPr>
        <w:t>（</w:t>
      </w:r>
      <w:r>
        <w:rPr>
          <w:rFonts w:hint="eastAsia" w:cs="宋体" w:asciiTheme="majorEastAsia" w:hAnsiTheme="majorEastAsia" w:eastAsiaTheme="majorEastAsia"/>
          <w:b/>
          <w:bCs/>
          <w:kern w:val="0"/>
          <w:sz w:val="32"/>
          <w:szCs w:val="32"/>
        </w:rPr>
        <w:t>四）收支矛盾依然</w:t>
      </w:r>
      <w:r>
        <w:rPr>
          <w:rFonts w:cs="宋体" w:asciiTheme="majorEastAsia" w:hAnsiTheme="majorEastAsia" w:eastAsiaTheme="majorEastAsia"/>
          <w:b/>
          <w:bCs/>
          <w:kern w:val="0"/>
          <w:sz w:val="32"/>
          <w:szCs w:val="32"/>
        </w:rPr>
        <w:t>存在</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2024年以来，在诸多超预期因素冲击和影响下，我市经济恢复的基础尚不牢固，财政收入增长依然面临多重制约因素，各方面刚性支出需求增大，财政收支持续紧平衡状态。从收入端看，受我市产业结构单一、支柱行业利润下滑等不利因素影响，税收持续减收，财政收入增速放缓，组织收入工作压力持续加大。从支出端看，我市正处于攻坚之年关键期，各项经济社会发展需求持续增加，“三保”、民生、债务付息等刚性支出有增无减，财政收支缺口凸显。收支双向承压，财政</w:t>
      </w:r>
      <w:r>
        <w:rPr>
          <w:rFonts w:ascii="仿宋_GB2312" w:hAnsi="仿宋" w:eastAsia="仿宋_GB2312" w:cs="宋体"/>
          <w:bCs/>
          <w:kern w:val="0"/>
          <w:sz w:val="32"/>
          <w:szCs w:val="32"/>
        </w:rPr>
        <w:t>收支矛盾仍未缓解</w:t>
      </w:r>
      <w:r>
        <w:rPr>
          <w:rFonts w:hint="eastAsia" w:ascii="仿宋_GB2312" w:hAnsi="仿宋" w:eastAsia="仿宋_GB2312" w:cs="宋体"/>
          <w:bCs/>
          <w:kern w:val="0"/>
          <w:sz w:val="32"/>
          <w:szCs w:val="32"/>
        </w:rPr>
        <w:t>。</w:t>
      </w:r>
    </w:p>
    <w:p>
      <w:pPr>
        <w:snapToGrid w:val="0"/>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四、下一步工作安排</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下</w:t>
      </w:r>
      <w:r>
        <w:rPr>
          <w:rFonts w:hint="eastAsia" w:ascii="仿宋_GB2312" w:hAnsi="仿宋" w:eastAsia="仿宋_GB2312" w:cs="宋体"/>
          <w:bCs/>
          <w:kern w:val="0"/>
          <w:sz w:val="32"/>
          <w:szCs w:val="32"/>
          <w:lang w:val="en-US" w:eastAsia="zh-CN"/>
        </w:rPr>
        <w:t>一步，</w:t>
      </w:r>
      <w:r>
        <w:rPr>
          <w:rFonts w:hint="eastAsia" w:ascii="仿宋_GB2312" w:hAnsi="仿宋" w:eastAsia="仿宋_GB2312" w:cs="宋体"/>
          <w:bCs/>
          <w:kern w:val="0"/>
          <w:sz w:val="32"/>
          <w:szCs w:val="32"/>
        </w:rPr>
        <w:t>全市各级财政部门要按照全面振兴新突破三年行动要求，发扬</w:t>
      </w:r>
      <w:r>
        <w:rPr>
          <w:rFonts w:ascii="仿宋_GB2312" w:hAnsi="仿宋" w:eastAsia="仿宋_GB2312" w:cs="宋体"/>
          <w:bCs/>
          <w:kern w:val="0"/>
          <w:sz w:val="32"/>
          <w:szCs w:val="32"/>
        </w:rPr>
        <w:t>“</w:t>
      </w:r>
      <w:r>
        <w:rPr>
          <w:rFonts w:hint="eastAsia" w:ascii="仿宋_GB2312" w:hAnsi="仿宋" w:eastAsia="仿宋_GB2312" w:cs="宋体"/>
          <w:bCs/>
          <w:kern w:val="0"/>
          <w:sz w:val="32"/>
          <w:szCs w:val="32"/>
        </w:rPr>
        <w:t>拼抢争实</w:t>
      </w:r>
      <w:r>
        <w:rPr>
          <w:rFonts w:ascii="仿宋_GB2312" w:hAnsi="仿宋" w:eastAsia="仿宋_GB2312" w:cs="宋体"/>
          <w:bCs/>
          <w:kern w:val="0"/>
          <w:sz w:val="32"/>
          <w:szCs w:val="32"/>
        </w:rPr>
        <w:t>”</w:t>
      </w:r>
      <w:r>
        <w:rPr>
          <w:rFonts w:hint="eastAsia" w:ascii="仿宋_GB2312" w:hAnsi="仿宋" w:eastAsia="仿宋_GB2312" w:cs="宋体"/>
          <w:bCs/>
          <w:kern w:val="0"/>
          <w:sz w:val="32"/>
          <w:szCs w:val="32"/>
        </w:rPr>
        <w:t>工作作风，按照积极的财政政策加力提效要求，聚焦今年的各项目标任务，推动更高质量发展，持续改善民生，防范化解金融风险，推进财政改革管理，提升财政政策效能，持续提高</w:t>
      </w:r>
      <w:r>
        <w:rPr>
          <w:rFonts w:ascii="仿宋_GB2312" w:hAnsi="仿宋" w:eastAsia="仿宋_GB2312" w:cs="宋体"/>
          <w:bCs/>
          <w:kern w:val="0"/>
          <w:sz w:val="32"/>
          <w:szCs w:val="32"/>
        </w:rPr>
        <w:t>“</w:t>
      </w:r>
      <w:r>
        <w:rPr>
          <w:rFonts w:hint="eastAsia" w:ascii="仿宋_GB2312" w:hAnsi="仿宋" w:eastAsia="仿宋_GB2312" w:cs="宋体"/>
          <w:bCs/>
          <w:kern w:val="0"/>
          <w:sz w:val="32"/>
          <w:szCs w:val="32"/>
        </w:rPr>
        <w:t>精算、精管、精准、精细</w:t>
      </w:r>
      <w:r>
        <w:rPr>
          <w:rFonts w:ascii="仿宋_GB2312" w:hAnsi="仿宋" w:eastAsia="仿宋_GB2312" w:cs="宋体"/>
          <w:bCs/>
          <w:kern w:val="0"/>
          <w:sz w:val="32"/>
          <w:szCs w:val="32"/>
        </w:rPr>
        <w:t>”</w:t>
      </w:r>
      <w:r>
        <w:rPr>
          <w:rFonts w:hint="eastAsia" w:ascii="仿宋_GB2312" w:hAnsi="仿宋" w:eastAsia="仿宋_GB2312" w:cs="宋体"/>
          <w:bCs/>
          <w:kern w:val="0"/>
          <w:sz w:val="32"/>
          <w:szCs w:val="32"/>
        </w:rPr>
        <w:t>水平，推动稳经济促发展保稳定各项财政政策落实落地，为全面振兴新突破三年行动攻坚之年攻坚之战提供坚强的财力保障。</w:t>
      </w:r>
    </w:p>
    <w:p>
      <w:pPr>
        <w:snapToGrid w:val="0"/>
        <w:ind w:firstLine="643" w:firstLineChars="200"/>
        <w:rPr>
          <w:rFonts w:ascii="仿宋_GB2312" w:hAnsi="仿宋" w:eastAsia="仿宋_GB2312" w:cs="宋体"/>
          <w:bCs/>
          <w:kern w:val="0"/>
          <w:sz w:val="32"/>
          <w:szCs w:val="32"/>
        </w:rPr>
      </w:pPr>
      <w:r>
        <w:rPr>
          <w:rFonts w:hint="eastAsia" w:ascii="仿宋_GB2312" w:hAnsi="仿宋" w:eastAsia="仿宋_GB2312" w:cs="宋体"/>
          <w:b/>
          <w:bCs/>
          <w:kern w:val="0"/>
          <w:sz w:val="32"/>
          <w:szCs w:val="32"/>
        </w:rPr>
        <w:t>收入方面：</w:t>
      </w:r>
      <w:r>
        <w:rPr>
          <w:rFonts w:hint="eastAsia" w:ascii="仿宋_GB2312" w:hAnsi="仿宋" w:eastAsia="仿宋_GB2312" w:cs="宋体"/>
          <w:bCs/>
          <w:kern w:val="0"/>
          <w:sz w:val="32"/>
          <w:szCs w:val="32"/>
        </w:rPr>
        <w:t>一是加强</w:t>
      </w:r>
      <w:r>
        <w:rPr>
          <w:rFonts w:ascii="仿宋_GB2312" w:hAnsi="仿宋" w:eastAsia="仿宋_GB2312" w:cs="宋体"/>
          <w:bCs/>
          <w:kern w:val="0"/>
          <w:sz w:val="32"/>
          <w:szCs w:val="32"/>
        </w:rPr>
        <w:t>与</w:t>
      </w:r>
      <w:r>
        <w:rPr>
          <w:rFonts w:hint="eastAsia" w:ascii="仿宋_GB2312" w:hAnsi="仿宋" w:eastAsia="仿宋_GB2312" w:cs="宋体"/>
          <w:bCs/>
          <w:kern w:val="0"/>
          <w:sz w:val="32"/>
          <w:szCs w:val="32"/>
        </w:rPr>
        <w:t>税务</w:t>
      </w:r>
      <w:r>
        <w:rPr>
          <w:rFonts w:ascii="仿宋_GB2312" w:hAnsi="仿宋" w:eastAsia="仿宋_GB2312" w:cs="宋体"/>
          <w:bCs/>
          <w:kern w:val="0"/>
          <w:sz w:val="32"/>
          <w:szCs w:val="32"/>
        </w:rPr>
        <w:t>和非税征收部门联动，严格收入征管，深挖增收潜力，做到依法征收、应收尽收。</w:t>
      </w:r>
      <w:r>
        <w:rPr>
          <w:rFonts w:hint="eastAsia" w:ascii="仿宋_GB2312" w:hAnsi="仿宋" w:eastAsia="仿宋_GB2312" w:cs="宋体"/>
          <w:bCs/>
          <w:kern w:val="0"/>
          <w:sz w:val="32"/>
          <w:szCs w:val="32"/>
        </w:rPr>
        <w:t>二是抢抓国家政策机遇，落实好推动新时代东北全面振兴取得新突破若干政策措施，积极争取上级资金。三是</w:t>
      </w:r>
      <w:bookmarkStart w:id="0" w:name="_GoBack"/>
      <w:bookmarkEnd w:id="0"/>
      <w:r>
        <w:rPr>
          <w:rFonts w:ascii="仿宋_GB2312" w:hAnsi="仿宋" w:eastAsia="仿宋_GB2312" w:cs="宋体"/>
          <w:bCs/>
          <w:kern w:val="0"/>
          <w:sz w:val="32"/>
          <w:szCs w:val="32"/>
        </w:rPr>
        <w:t>积极推进国有“三资”盘活力度和有效开发利用，收回闲置沉淀存量资金</w:t>
      </w:r>
      <w:r>
        <w:rPr>
          <w:rFonts w:hint="eastAsia" w:ascii="仿宋_GB2312" w:hAnsi="仿宋" w:eastAsia="仿宋_GB2312" w:cs="宋体"/>
          <w:bCs/>
          <w:kern w:val="0"/>
          <w:sz w:val="32"/>
          <w:szCs w:val="32"/>
        </w:rPr>
        <w:t>，</w:t>
      </w:r>
      <w:r>
        <w:rPr>
          <w:rFonts w:ascii="仿宋_GB2312" w:hAnsi="仿宋" w:eastAsia="仿宋_GB2312" w:cs="宋体"/>
          <w:bCs/>
          <w:kern w:val="0"/>
          <w:sz w:val="32"/>
          <w:szCs w:val="32"/>
        </w:rPr>
        <w:t>促进财政资源统筹</w:t>
      </w:r>
      <w:r>
        <w:rPr>
          <w:rFonts w:hint="eastAsia" w:ascii="仿宋_GB2312" w:hAnsi="仿宋" w:eastAsia="仿宋_GB2312" w:cs="宋体"/>
          <w:bCs/>
          <w:kern w:val="0"/>
          <w:sz w:val="32"/>
          <w:szCs w:val="32"/>
        </w:rPr>
        <w:t>，</w:t>
      </w:r>
      <w:r>
        <w:rPr>
          <w:rFonts w:ascii="仿宋_GB2312" w:hAnsi="仿宋" w:eastAsia="仿宋_GB2312" w:cs="宋体"/>
          <w:bCs/>
          <w:kern w:val="0"/>
          <w:sz w:val="32"/>
          <w:szCs w:val="32"/>
        </w:rPr>
        <w:t>提升财政保障</w:t>
      </w:r>
      <w:r>
        <w:rPr>
          <w:rFonts w:hint="eastAsia" w:ascii="仿宋_GB2312" w:hAnsi="仿宋" w:eastAsia="仿宋_GB2312" w:cs="宋体"/>
          <w:bCs/>
          <w:kern w:val="0"/>
          <w:sz w:val="32"/>
          <w:szCs w:val="32"/>
        </w:rPr>
        <w:t>能力。</w:t>
      </w:r>
    </w:p>
    <w:p>
      <w:pPr>
        <w:snapToGrid w:val="0"/>
        <w:ind w:firstLine="643" w:firstLineChars="200"/>
        <w:rPr>
          <w:rFonts w:ascii="仿宋_GB2312" w:hAnsi="仿宋" w:eastAsia="仿宋_GB2312" w:cs="宋体"/>
          <w:bCs/>
          <w:kern w:val="0"/>
          <w:sz w:val="32"/>
          <w:szCs w:val="32"/>
        </w:rPr>
      </w:pPr>
      <w:r>
        <w:rPr>
          <w:rFonts w:hint="eastAsia" w:ascii="仿宋_GB2312" w:hAnsi="仿宋" w:eastAsia="仿宋_GB2312" w:cs="宋体"/>
          <w:b/>
          <w:bCs/>
          <w:kern w:val="0"/>
          <w:sz w:val="32"/>
          <w:szCs w:val="32"/>
        </w:rPr>
        <w:t>支出方面：</w:t>
      </w:r>
      <w:r>
        <w:rPr>
          <w:rFonts w:hint="eastAsia" w:ascii="仿宋_GB2312" w:hAnsi="仿宋" w:eastAsia="仿宋_GB2312" w:cs="宋体"/>
          <w:bCs/>
          <w:kern w:val="0"/>
          <w:sz w:val="32"/>
          <w:szCs w:val="32"/>
        </w:rPr>
        <w:t>厉行节约，坚持“过紧日子”，在提质增效上下功夫，大力压减一般性支出，强化“三公”经费预算管理。优化支出结构，强化重点领域投入保障，支持保障和改善民生，保持适当支出强度，释放积极信号。压实责任，筑牢兜实基层“三保”。着力</w:t>
      </w:r>
      <w:r>
        <w:rPr>
          <w:rFonts w:ascii="仿宋_GB2312" w:hAnsi="仿宋" w:eastAsia="仿宋_GB2312" w:cs="宋体"/>
          <w:bCs/>
          <w:kern w:val="0"/>
          <w:sz w:val="32"/>
          <w:szCs w:val="32"/>
        </w:rPr>
        <w:t>抓好国库库款管理</w:t>
      </w:r>
      <w:r>
        <w:rPr>
          <w:rFonts w:hint="eastAsia" w:ascii="仿宋_GB2312" w:hAnsi="仿宋" w:eastAsia="仿宋_GB2312" w:cs="宋体"/>
          <w:bCs/>
          <w:kern w:val="0"/>
          <w:sz w:val="32"/>
          <w:szCs w:val="32"/>
        </w:rPr>
        <w:t>，</w:t>
      </w:r>
      <w:r>
        <w:rPr>
          <w:rFonts w:ascii="仿宋_GB2312" w:hAnsi="仿宋" w:eastAsia="仿宋_GB2312" w:cs="宋体"/>
          <w:bCs/>
          <w:kern w:val="0"/>
          <w:sz w:val="32"/>
          <w:szCs w:val="32"/>
        </w:rPr>
        <w:t>稳妥做好基层库款保障</w:t>
      </w:r>
      <w:r>
        <w:rPr>
          <w:rFonts w:hint="eastAsia" w:ascii="仿宋_GB2312" w:hAnsi="仿宋" w:eastAsia="仿宋_GB2312" w:cs="宋体"/>
          <w:bCs/>
          <w:kern w:val="0"/>
          <w:sz w:val="32"/>
          <w:szCs w:val="32"/>
        </w:rPr>
        <w:t>和</w:t>
      </w:r>
      <w:r>
        <w:rPr>
          <w:rFonts w:ascii="仿宋_GB2312" w:hAnsi="仿宋" w:eastAsia="仿宋_GB2312" w:cs="宋体"/>
          <w:bCs/>
          <w:kern w:val="0"/>
          <w:sz w:val="32"/>
          <w:szCs w:val="32"/>
        </w:rPr>
        <w:t>运行监测</w:t>
      </w:r>
      <w:r>
        <w:rPr>
          <w:rFonts w:hint="eastAsia" w:ascii="仿宋_GB2312" w:hAnsi="仿宋" w:eastAsia="仿宋_GB2312" w:cs="宋体"/>
          <w:bCs/>
          <w:kern w:val="0"/>
          <w:sz w:val="32"/>
          <w:szCs w:val="32"/>
        </w:rPr>
        <w:t>，加快建立</w:t>
      </w:r>
      <w:r>
        <w:rPr>
          <w:rFonts w:ascii="仿宋_GB2312" w:hAnsi="仿宋" w:eastAsia="仿宋_GB2312" w:cs="宋体"/>
          <w:bCs/>
          <w:kern w:val="0"/>
          <w:sz w:val="32"/>
          <w:szCs w:val="32"/>
        </w:rPr>
        <w:t>库款应急调度机制</w:t>
      </w:r>
      <w:r>
        <w:rPr>
          <w:rFonts w:hint="eastAsia" w:ascii="仿宋_GB2312" w:hAnsi="仿宋" w:eastAsia="仿宋_GB2312" w:cs="宋体"/>
          <w:bCs/>
          <w:kern w:val="0"/>
          <w:sz w:val="32"/>
          <w:szCs w:val="32"/>
        </w:rPr>
        <w:t>，</w:t>
      </w:r>
      <w:r>
        <w:rPr>
          <w:rFonts w:ascii="仿宋_GB2312" w:hAnsi="仿宋" w:eastAsia="仿宋_GB2312" w:cs="宋体"/>
          <w:bCs/>
          <w:kern w:val="0"/>
          <w:sz w:val="32"/>
          <w:szCs w:val="32"/>
        </w:rPr>
        <w:t>把握关键</w:t>
      </w:r>
      <w:r>
        <w:rPr>
          <w:rFonts w:hint="eastAsia" w:ascii="仿宋_GB2312" w:hAnsi="仿宋" w:eastAsia="仿宋_GB2312" w:cs="宋体"/>
          <w:bCs/>
          <w:kern w:val="0"/>
          <w:sz w:val="32"/>
          <w:szCs w:val="32"/>
        </w:rPr>
        <w:t>时间</w:t>
      </w:r>
      <w:r>
        <w:rPr>
          <w:rFonts w:ascii="仿宋_GB2312" w:hAnsi="仿宋" w:eastAsia="仿宋_GB2312" w:cs="宋体"/>
          <w:bCs/>
          <w:kern w:val="0"/>
          <w:sz w:val="32"/>
          <w:szCs w:val="32"/>
        </w:rPr>
        <w:t>节点，合理安排库款支出</w:t>
      </w:r>
      <w:r>
        <w:rPr>
          <w:rFonts w:hint="eastAsia" w:ascii="仿宋_GB2312" w:hAnsi="仿宋" w:eastAsia="仿宋_GB2312" w:cs="宋体"/>
          <w:bCs/>
          <w:kern w:val="0"/>
          <w:sz w:val="32"/>
          <w:szCs w:val="32"/>
        </w:rPr>
        <w:t>。</w:t>
      </w:r>
    </w:p>
    <w:p>
      <w:pPr>
        <w:snapToGrid w:val="0"/>
        <w:ind w:firstLine="640" w:firstLineChars="200"/>
        <w:rPr>
          <w:rFonts w:ascii="仿宋_GB2312" w:hAnsi="仿宋" w:eastAsia="仿宋_GB2312" w:cs="宋体"/>
          <w:bCs/>
          <w:kern w:val="0"/>
          <w:sz w:val="32"/>
          <w:szCs w:val="32"/>
        </w:rPr>
      </w:pPr>
    </w:p>
    <w:p>
      <w:pPr>
        <w:pStyle w:val="2"/>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06103"/>
    </w:sdtPr>
    <w:sdtContent>
      <w:p>
        <w:pPr>
          <w:pStyle w:val="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ZjYjQ2MTk4ZjkxYTYwMzk3OTY1MTNhODUxMDI0NGMifQ=="/>
  </w:docVars>
  <w:rsids>
    <w:rsidRoot w:val="00795867"/>
    <w:rsid w:val="00000272"/>
    <w:rsid w:val="00000E66"/>
    <w:rsid w:val="000025E7"/>
    <w:rsid w:val="00004590"/>
    <w:rsid w:val="00004759"/>
    <w:rsid w:val="00004E2A"/>
    <w:rsid w:val="00005567"/>
    <w:rsid w:val="00005A9F"/>
    <w:rsid w:val="00006F22"/>
    <w:rsid w:val="00007744"/>
    <w:rsid w:val="000109FC"/>
    <w:rsid w:val="00011062"/>
    <w:rsid w:val="00011A6F"/>
    <w:rsid w:val="0001296F"/>
    <w:rsid w:val="000136E0"/>
    <w:rsid w:val="000137BF"/>
    <w:rsid w:val="00013FA7"/>
    <w:rsid w:val="00013FFB"/>
    <w:rsid w:val="000153AD"/>
    <w:rsid w:val="000155D4"/>
    <w:rsid w:val="0001578E"/>
    <w:rsid w:val="000172B3"/>
    <w:rsid w:val="000177B6"/>
    <w:rsid w:val="00017C7D"/>
    <w:rsid w:val="000201D0"/>
    <w:rsid w:val="00020212"/>
    <w:rsid w:val="000203E2"/>
    <w:rsid w:val="000216E0"/>
    <w:rsid w:val="00024D5E"/>
    <w:rsid w:val="00026EAB"/>
    <w:rsid w:val="000305EC"/>
    <w:rsid w:val="000327C3"/>
    <w:rsid w:val="0003315B"/>
    <w:rsid w:val="00033226"/>
    <w:rsid w:val="0003365F"/>
    <w:rsid w:val="00033C4A"/>
    <w:rsid w:val="00034477"/>
    <w:rsid w:val="00035A1C"/>
    <w:rsid w:val="00040E90"/>
    <w:rsid w:val="0004173E"/>
    <w:rsid w:val="000421DA"/>
    <w:rsid w:val="00042B2E"/>
    <w:rsid w:val="000449F7"/>
    <w:rsid w:val="00044D42"/>
    <w:rsid w:val="00044D48"/>
    <w:rsid w:val="00044DE0"/>
    <w:rsid w:val="00045C20"/>
    <w:rsid w:val="00046D18"/>
    <w:rsid w:val="0005104F"/>
    <w:rsid w:val="00053804"/>
    <w:rsid w:val="00054400"/>
    <w:rsid w:val="000549EA"/>
    <w:rsid w:val="00054D30"/>
    <w:rsid w:val="00056D3D"/>
    <w:rsid w:val="00056E80"/>
    <w:rsid w:val="00057F3D"/>
    <w:rsid w:val="00057FCD"/>
    <w:rsid w:val="0006059F"/>
    <w:rsid w:val="00060E7A"/>
    <w:rsid w:val="000622AC"/>
    <w:rsid w:val="000626A4"/>
    <w:rsid w:val="00063E39"/>
    <w:rsid w:val="0006555E"/>
    <w:rsid w:val="00065A3A"/>
    <w:rsid w:val="00066900"/>
    <w:rsid w:val="0007001B"/>
    <w:rsid w:val="00072E21"/>
    <w:rsid w:val="000736ED"/>
    <w:rsid w:val="00073A5C"/>
    <w:rsid w:val="000752F3"/>
    <w:rsid w:val="00080385"/>
    <w:rsid w:val="000821AA"/>
    <w:rsid w:val="00082685"/>
    <w:rsid w:val="000836D5"/>
    <w:rsid w:val="00084730"/>
    <w:rsid w:val="00086EFF"/>
    <w:rsid w:val="0009084F"/>
    <w:rsid w:val="000938E0"/>
    <w:rsid w:val="00095492"/>
    <w:rsid w:val="00095B10"/>
    <w:rsid w:val="000A38F5"/>
    <w:rsid w:val="000A4C7A"/>
    <w:rsid w:val="000A4F12"/>
    <w:rsid w:val="000A5177"/>
    <w:rsid w:val="000A5386"/>
    <w:rsid w:val="000A5E9C"/>
    <w:rsid w:val="000A6B1E"/>
    <w:rsid w:val="000A7BD2"/>
    <w:rsid w:val="000A7F74"/>
    <w:rsid w:val="000B0BF8"/>
    <w:rsid w:val="000B1E0D"/>
    <w:rsid w:val="000B1F16"/>
    <w:rsid w:val="000B21AA"/>
    <w:rsid w:val="000B3D08"/>
    <w:rsid w:val="000B3F4C"/>
    <w:rsid w:val="000B69D7"/>
    <w:rsid w:val="000B70F7"/>
    <w:rsid w:val="000C2D2B"/>
    <w:rsid w:val="000C3766"/>
    <w:rsid w:val="000C4BC2"/>
    <w:rsid w:val="000C5AE6"/>
    <w:rsid w:val="000C61D2"/>
    <w:rsid w:val="000C624C"/>
    <w:rsid w:val="000D00D9"/>
    <w:rsid w:val="000D0244"/>
    <w:rsid w:val="000D0FA4"/>
    <w:rsid w:val="000D10B7"/>
    <w:rsid w:val="000D5068"/>
    <w:rsid w:val="000D5D4F"/>
    <w:rsid w:val="000D6131"/>
    <w:rsid w:val="000D6140"/>
    <w:rsid w:val="000D676C"/>
    <w:rsid w:val="000E6290"/>
    <w:rsid w:val="000E7311"/>
    <w:rsid w:val="000F2D8E"/>
    <w:rsid w:val="000F3CBF"/>
    <w:rsid w:val="000F4C16"/>
    <w:rsid w:val="000F4F16"/>
    <w:rsid w:val="000F721E"/>
    <w:rsid w:val="000F73A4"/>
    <w:rsid w:val="001001D5"/>
    <w:rsid w:val="00100DC5"/>
    <w:rsid w:val="00102AB9"/>
    <w:rsid w:val="001034E0"/>
    <w:rsid w:val="00103991"/>
    <w:rsid w:val="00103D16"/>
    <w:rsid w:val="00105F3F"/>
    <w:rsid w:val="00106809"/>
    <w:rsid w:val="00106CDD"/>
    <w:rsid w:val="00110924"/>
    <w:rsid w:val="0011327B"/>
    <w:rsid w:val="00114298"/>
    <w:rsid w:val="00114D60"/>
    <w:rsid w:val="0011575A"/>
    <w:rsid w:val="00116281"/>
    <w:rsid w:val="001168B6"/>
    <w:rsid w:val="00116B23"/>
    <w:rsid w:val="001170D4"/>
    <w:rsid w:val="00120087"/>
    <w:rsid w:val="00120BC8"/>
    <w:rsid w:val="0012693C"/>
    <w:rsid w:val="0013542A"/>
    <w:rsid w:val="0014002E"/>
    <w:rsid w:val="00140399"/>
    <w:rsid w:val="00140D82"/>
    <w:rsid w:val="00142AF9"/>
    <w:rsid w:val="00142F79"/>
    <w:rsid w:val="00143DB8"/>
    <w:rsid w:val="0014423E"/>
    <w:rsid w:val="0014627E"/>
    <w:rsid w:val="00146399"/>
    <w:rsid w:val="00147123"/>
    <w:rsid w:val="001476FF"/>
    <w:rsid w:val="00154764"/>
    <w:rsid w:val="00155047"/>
    <w:rsid w:val="0015555F"/>
    <w:rsid w:val="00155F72"/>
    <w:rsid w:val="0015628B"/>
    <w:rsid w:val="00156374"/>
    <w:rsid w:val="0016086B"/>
    <w:rsid w:val="001610F4"/>
    <w:rsid w:val="00161344"/>
    <w:rsid w:val="00162749"/>
    <w:rsid w:val="00163789"/>
    <w:rsid w:val="00166D0E"/>
    <w:rsid w:val="00173134"/>
    <w:rsid w:val="00175AFF"/>
    <w:rsid w:val="00176BAB"/>
    <w:rsid w:val="00176C0C"/>
    <w:rsid w:val="00177E40"/>
    <w:rsid w:val="0018226C"/>
    <w:rsid w:val="001827AB"/>
    <w:rsid w:val="00186439"/>
    <w:rsid w:val="001871C1"/>
    <w:rsid w:val="00187F16"/>
    <w:rsid w:val="001937CC"/>
    <w:rsid w:val="00195ABA"/>
    <w:rsid w:val="0019661C"/>
    <w:rsid w:val="001A0856"/>
    <w:rsid w:val="001A1F2E"/>
    <w:rsid w:val="001A3807"/>
    <w:rsid w:val="001A44E4"/>
    <w:rsid w:val="001A4558"/>
    <w:rsid w:val="001A4B94"/>
    <w:rsid w:val="001A76AB"/>
    <w:rsid w:val="001B0B12"/>
    <w:rsid w:val="001B185C"/>
    <w:rsid w:val="001B27F8"/>
    <w:rsid w:val="001B3E95"/>
    <w:rsid w:val="001B4072"/>
    <w:rsid w:val="001B5BC5"/>
    <w:rsid w:val="001B6F63"/>
    <w:rsid w:val="001B7228"/>
    <w:rsid w:val="001B7B15"/>
    <w:rsid w:val="001C279F"/>
    <w:rsid w:val="001C2EAE"/>
    <w:rsid w:val="001C4D88"/>
    <w:rsid w:val="001C5D1D"/>
    <w:rsid w:val="001C6F08"/>
    <w:rsid w:val="001C79C9"/>
    <w:rsid w:val="001D126C"/>
    <w:rsid w:val="001D174A"/>
    <w:rsid w:val="001D2A32"/>
    <w:rsid w:val="001D2A7F"/>
    <w:rsid w:val="001D3276"/>
    <w:rsid w:val="001D3D45"/>
    <w:rsid w:val="001D4575"/>
    <w:rsid w:val="001D6B94"/>
    <w:rsid w:val="001E1FDF"/>
    <w:rsid w:val="001E25CE"/>
    <w:rsid w:val="001E65D2"/>
    <w:rsid w:val="001E7759"/>
    <w:rsid w:val="001F2D63"/>
    <w:rsid w:val="001F59B6"/>
    <w:rsid w:val="001F79F3"/>
    <w:rsid w:val="0020059C"/>
    <w:rsid w:val="00200E94"/>
    <w:rsid w:val="002027FB"/>
    <w:rsid w:val="002044D2"/>
    <w:rsid w:val="00205399"/>
    <w:rsid w:val="00205858"/>
    <w:rsid w:val="00207324"/>
    <w:rsid w:val="00207E4F"/>
    <w:rsid w:val="00210564"/>
    <w:rsid w:val="00211008"/>
    <w:rsid w:val="002122B4"/>
    <w:rsid w:val="0021377A"/>
    <w:rsid w:val="00215285"/>
    <w:rsid w:val="00215DEB"/>
    <w:rsid w:val="00216981"/>
    <w:rsid w:val="002207E2"/>
    <w:rsid w:val="002217E8"/>
    <w:rsid w:val="00222394"/>
    <w:rsid w:val="00223B81"/>
    <w:rsid w:val="00226630"/>
    <w:rsid w:val="00226AFF"/>
    <w:rsid w:val="00227E24"/>
    <w:rsid w:val="002313AB"/>
    <w:rsid w:val="00231EE0"/>
    <w:rsid w:val="0023218F"/>
    <w:rsid w:val="00232C91"/>
    <w:rsid w:val="0023303B"/>
    <w:rsid w:val="00233F68"/>
    <w:rsid w:val="002341AB"/>
    <w:rsid w:val="002376FD"/>
    <w:rsid w:val="00240843"/>
    <w:rsid w:val="00240FB3"/>
    <w:rsid w:val="00242EE9"/>
    <w:rsid w:val="00243C50"/>
    <w:rsid w:val="00243EB2"/>
    <w:rsid w:val="00244A98"/>
    <w:rsid w:val="00247770"/>
    <w:rsid w:val="00250316"/>
    <w:rsid w:val="00253B44"/>
    <w:rsid w:val="002569B8"/>
    <w:rsid w:val="00257461"/>
    <w:rsid w:val="00263FCE"/>
    <w:rsid w:val="002646A0"/>
    <w:rsid w:val="002662C7"/>
    <w:rsid w:val="002666D5"/>
    <w:rsid w:val="00270A97"/>
    <w:rsid w:val="0027107B"/>
    <w:rsid w:val="00271B87"/>
    <w:rsid w:val="00271DE8"/>
    <w:rsid w:val="00272251"/>
    <w:rsid w:val="00272C4E"/>
    <w:rsid w:val="002730CE"/>
    <w:rsid w:val="002746E8"/>
    <w:rsid w:val="00274A07"/>
    <w:rsid w:val="00275E5D"/>
    <w:rsid w:val="002760E1"/>
    <w:rsid w:val="002764CA"/>
    <w:rsid w:val="00277986"/>
    <w:rsid w:val="0028143C"/>
    <w:rsid w:val="00281B58"/>
    <w:rsid w:val="002824C1"/>
    <w:rsid w:val="00282683"/>
    <w:rsid w:val="002853EE"/>
    <w:rsid w:val="00286055"/>
    <w:rsid w:val="00290320"/>
    <w:rsid w:val="00291929"/>
    <w:rsid w:val="00291E07"/>
    <w:rsid w:val="002921AE"/>
    <w:rsid w:val="00295240"/>
    <w:rsid w:val="002961C3"/>
    <w:rsid w:val="00297F86"/>
    <w:rsid w:val="002A0F83"/>
    <w:rsid w:val="002A233A"/>
    <w:rsid w:val="002A2403"/>
    <w:rsid w:val="002A4F11"/>
    <w:rsid w:val="002A5364"/>
    <w:rsid w:val="002A5836"/>
    <w:rsid w:val="002B01C1"/>
    <w:rsid w:val="002B059A"/>
    <w:rsid w:val="002B0D09"/>
    <w:rsid w:val="002B2231"/>
    <w:rsid w:val="002B4778"/>
    <w:rsid w:val="002B4E4F"/>
    <w:rsid w:val="002B5E29"/>
    <w:rsid w:val="002B6987"/>
    <w:rsid w:val="002B7DC6"/>
    <w:rsid w:val="002C0E24"/>
    <w:rsid w:val="002C18B2"/>
    <w:rsid w:val="002C2525"/>
    <w:rsid w:val="002D1F24"/>
    <w:rsid w:val="002D2FD8"/>
    <w:rsid w:val="002D3C45"/>
    <w:rsid w:val="002D61F2"/>
    <w:rsid w:val="002D7E8D"/>
    <w:rsid w:val="002E2A54"/>
    <w:rsid w:val="002E4B54"/>
    <w:rsid w:val="002E5488"/>
    <w:rsid w:val="002E7135"/>
    <w:rsid w:val="002F0CAC"/>
    <w:rsid w:val="002F105C"/>
    <w:rsid w:val="002F1220"/>
    <w:rsid w:val="002F16D2"/>
    <w:rsid w:val="002F1790"/>
    <w:rsid w:val="002F284E"/>
    <w:rsid w:val="002F32DD"/>
    <w:rsid w:val="002F32DE"/>
    <w:rsid w:val="00300368"/>
    <w:rsid w:val="00300B9C"/>
    <w:rsid w:val="00302331"/>
    <w:rsid w:val="00303736"/>
    <w:rsid w:val="00304B02"/>
    <w:rsid w:val="0030561E"/>
    <w:rsid w:val="003078B8"/>
    <w:rsid w:val="003107E9"/>
    <w:rsid w:val="00311590"/>
    <w:rsid w:val="003118F5"/>
    <w:rsid w:val="00314E5E"/>
    <w:rsid w:val="003157BB"/>
    <w:rsid w:val="0031684F"/>
    <w:rsid w:val="0032135F"/>
    <w:rsid w:val="0032286A"/>
    <w:rsid w:val="00325647"/>
    <w:rsid w:val="00325CFE"/>
    <w:rsid w:val="00325DC4"/>
    <w:rsid w:val="003269B4"/>
    <w:rsid w:val="00326C49"/>
    <w:rsid w:val="00340F1E"/>
    <w:rsid w:val="003418A2"/>
    <w:rsid w:val="00341914"/>
    <w:rsid w:val="00342ED9"/>
    <w:rsid w:val="0034357C"/>
    <w:rsid w:val="003446D1"/>
    <w:rsid w:val="00350478"/>
    <w:rsid w:val="00352058"/>
    <w:rsid w:val="00352FB4"/>
    <w:rsid w:val="003556C8"/>
    <w:rsid w:val="0035729A"/>
    <w:rsid w:val="003636AC"/>
    <w:rsid w:val="00365937"/>
    <w:rsid w:val="003661BB"/>
    <w:rsid w:val="003669C3"/>
    <w:rsid w:val="00367E47"/>
    <w:rsid w:val="00370023"/>
    <w:rsid w:val="003708F4"/>
    <w:rsid w:val="00373088"/>
    <w:rsid w:val="0037322B"/>
    <w:rsid w:val="00373C7B"/>
    <w:rsid w:val="0037407D"/>
    <w:rsid w:val="00374AF1"/>
    <w:rsid w:val="00375717"/>
    <w:rsid w:val="00375E24"/>
    <w:rsid w:val="00376DF3"/>
    <w:rsid w:val="003775C7"/>
    <w:rsid w:val="003804A7"/>
    <w:rsid w:val="00381953"/>
    <w:rsid w:val="003829EE"/>
    <w:rsid w:val="00382AD6"/>
    <w:rsid w:val="00382BF8"/>
    <w:rsid w:val="00384E62"/>
    <w:rsid w:val="00390709"/>
    <w:rsid w:val="003913B4"/>
    <w:rsid w:val="00391970"/>
    <w:rsid w:val="00391FC6"/>
    <w:rsid w:val="003924AA"/>
    <w:rsid w:val="00392DC6"/>
    <w:rsid w:val="00394F9F"/>
    <w:rsid w:val="00395BC7"/>
    <w:rsid w:val="00395DE1"/>
    <w:rsid w:val="00396139"/>
    <w:rsid w:val="00397624"/>
    <w:rsid w:val="003A199D"/>
    <w:rsid w:val="003A1FD6"/>
    <w:rsid w:val="003B03ED"/>
    <w:rsid w:val="003B35CC"/>
    <w:rsid w:val="003B3C90"/>
    <w:rsid w:val="003B42EB"/>
    <w:rsid w:val="003B452F"/>
    <w:rsid w:val="003B5830"/>
    <w:rsid w:val="003B5B42"/>
    <w:rsid w:val="003B7CC9"/>
    <w:rsid w:val="003C0F42"/>
    <w:rsid w:val="003C1B04"/>
    <w:rsid w:val="003C1E3D"/>
    <w:rsid w:val="003C3B62"/>
    <w:rsid w:val="003C4C09"/>
    <w:rsid w:val="003C5E28"/>
    <w:rsid w:val="003C6C71"/>
    <w:rsid w:val="003D03BC"/>
    <w:rsid w:val="003D0CA2"/>
    <w:rsid w:val="003D1B98"/>
    <w:rsid w:val="003D1DC8"/>
    <w:rsid w:val="003D4B15"/>
    <w:rsid w:val="003D4CF7"/>
    <w:rsid w:val="003D6CDD"/>
    <w:rsid w:val="003D7212"/>
    <w:rsid w:val="003D7975"/>
    <w:rsid w:val="003E03E7"/>
    <w:rsid w:val="003E049D"/>
    <w:rsid w:val="003E07B8"/>
    <w:rsid w:val="003E21F9"/>
    <w:rsid w:val="003E22EF"/>
    <w:rsid w:val="003E45B5"/>
    <w:rsid w:val="003E47CB"/>
    <w:rsid w:val="003E4887"/>
    <w:rsid w:val="003E4ABF"/>
    <w:rsid w:val="003F07E0"/>
    <w:rsid w:val="003F0F74"/>
    <w:rsid w:val="003F23B2"/>
    <w:rsid w:val="003F3CF4"/>
    <w:rsid w:val="003F63DF"/>
    <w:rsid w:val="003F6C7D"/>
    <w:rsid w:val="003F6D94"/>
    <w:rsid w:val="003F76B0"/>
    <w:rsid w:val="003F7993"/>
    <w:rsid w:val="00402784"/>
    <w:rsid w:val="00403681"/>
    <w:rsid w:val="00411364"/>
    <w:rsid w:val="00415545"/>
    <w:rsid w:val="004157C9"/>
    <w:rsid w:val="0041582D"/>
    <w:rsid w:val="0041617A"/>
    <w:rsid w:val="0041648A"/>
    <w:rsid w:val="00416DC2"/>
    <w:rsid w:val="00417522"/>
    <w:rsid w:val="004201F0"/>
    <w:rsid w:val="004203BA"/>
    <w:rsid w:val="00423186"/>
    <w:rsid w:val="00427988"/>
    <w:rsid w:val="0043346F"/>
    <w:rsid w:val="004334E2"/>
    <w:rsid w:val="00434C0A"/>
    <w:rsid w:val="00434F2C"/>
    <w:rsid w:val="0043608B"/>
    <w:rsid w:val="00436AC7"/>
    <w:rsid w:val="00436FC7"/>
    <w:rsid w:val="004413A4"/>
    <w:rsid w:val="004414F4"/>
    <w:rsid w:val="004423ED"/>
    <w:rsid w:val="004442D3"/>
    <w:rsid w:val="004453BD"/>
    <w:rsid w:val="00454E96"/>
    <w:rsid w:val="00457A7A"/>
    <w:rsid w:val="00457C98"/>
    <w:rsid w:val="00460141"/>
    <w:rsid w:val="00462F83"/>
    <w:rsid w:val="00463817"/>
    <w:rsid w:val="00464423"/>
    <w:rsid w:val="00465CD2"/>
    <w:rsid w:val="00465EE5"/>
    <w:rsid w:val="00470BA9"/>
    <w:rsid w:val="00472357"/>
    <w:rsid w:val="00473B20"/>
    <w:rsid w:val="0047569F"/>
    <w:rsid w:val="00476FBE"/>
    <w:rsid w:val="004774F2"/>
    <w:rsid w:val="00480691"/>
    <w:rsid w:val="004808D4"/>
    <w:rsid w:val="00482E50"/>
    <w:rsid w:val="00483B0A"/>
    <w:rsid w:val="0048403C"/>
    <w:rsid w:val="00484410"/>
    <w:rsid w:val="00485A3F"/>
    <w:rsid w:val="00485AE0"/>
    <w:rsid w:val="00487808"/>
    <w:rsid w:val="00492E9C"/>
    <w:rsid w:val="00494476"/>
    <w:rsid w:val="00494875"/>
    <w:rsid w:val="00495CD5"/>
    <w:rsid w:val="004A1116"/>
    <w:rsid w:val="004A1D1A"/>
    <w:rsid w:val="004A2932"/>
    <w:rsid w:val="004A3A5B"/>
    <w:rsid w:val="004A44C6"/>
    <w:rsid w:val="004A522C"/>
    <w:rsid w:val="004A5F60"/>
    <w:rsid w:val="004A6E9E"/>
    <w:rsid w:val="004B0341"/>
    <w:rsid w:val="004B330B"/>
    <w:rsid w:val="004B3965"/>
    <w:rsid w:val="004B57A1"/>
    <w:rsid w:val="004B7A1C"/>
    <w:rsid w:val="004C1526"/>
    <w:rsid w:val="004C3915"/>
    <w:rsid w:val="004C4C78"/>
    <w:rsid w:val="004C5C8C"/>
    <w:rsid w:val="004C60B0"/>
    <w:rsid w:val="004C60DC"/>
    <w:rsid w:val="004C66F3"/>
    <w:rsid w:val="004C6DDE"/>
    <w:rsid w:val="004C74E8"/>
    <w:rsid w:val="004D3644"/>
    <w:rsid w:val="004D3981"/>
    <w:rsid w:val="004D3CCB"/>
    <w:rsid w:val="004D43C6"/>
    <w:rsid w:val="004D4935"/>
    <w:rsid w:val="004D54C5"/>
    <w:rsid w:val="004D58A1"/>
    <w:rsid w:val="004D6F6E"/>
    <w:rsid w:val="004E3ABF"/>
    <w:rsid w:val="004E561F"/>
    <w:rsid w:val="004E590C"/>
    <w:rsid w:val="004E65B1"/>
    <w:rsid w:val="004F02B4"/>
    <w:rsid w:val="004F05AE"/>
    <w:rsid w:val="004F2248"/>
    <w:rsid w:val="004F2FF6"/>
    <w:rsid w:val="004F4257"/>
    <w:rsid w:val="004F4479"/>
    <w:rsid w:val="004F619C"/>
    <w:rsid w:val="004F74D1"/>
    <w:rsid w:val="00500217"/>
    <w:rsid w:val="00501940"/>
    <w:rsid w:val="005038F0"/>
    <w:rsid w:val="005045A3"/>
    <w:rsid w:val="0050591B"/>
    <w:rsid w:val="005068B2"/>
    <w:rsid w:val="00507655"/>
    <w:rsid w:val="005139A5"/>
    <w:rsid w:val="00513A61"/>
    <w:rsid w:val="00514575"/>
    <w:rsid w:val="005146AB"/>
    <w:rsid w:val="00514D7A"/>
    <w:rsid w:val="00514E50"/>
    <w:rsid w:val="005155D4"/>
    <w:rsid w:val="005170C9"/>
    <w:rsid w:val="0051730B"/>
    <w:rsid w:val="00520378"/>
    <w:rsid w:val="005215D1"/>
    <w:rsid w:val="00524DCD"/>
    <w:rsid w:val="00525D93"/>
    <w:rsid w:val="00526BA6"/>
    <w:rsid w:val="00527241"/>
    <w:rsid w:val="0053052D"/>
    <w:rsid w:val="0053163C"/>
    <w:rsid w:val="00532008"/>
    <w:rsid w:val="00532B22"/>
    <w:rsid w:val="00533687"/>
    <w:rsid w:val="00534914"/>
    <w:rsid w:val="00534B03"/>
    <w:rsid w:val="005364CE"/>
    <w:rsid w:val="00540136"/>
    <w:rsid w:val="005411D8"/>
    <w:rsid w:val="005431F1"/>
    <w:rsid w:val="005432F0"/>
    <w:rsid w:val="00546569"/>
    <w:rsid w:val="00546F18"/>
    <w:rsid w:val="00552D92"/>
    <w:rsid w:val="0055312C"/>
    <w:rsid w:val="005556C8"/>
    <w:rsid w:val="00557143"/>
    <w:rsid w:val="00557314"/>
    <w:rsid w:val="00560BA5"/>
    <w:rsid w:val="00562B0D"/>
    <w:rsid w:val="00565680"/>
    <w:rsid w:val="0056583F"/>
    <w:rsid w:val="005658DD"/>
    <w:rsid w:val="005671CF"/>
    <w:rsid w:val="0057037A"/>
    <w:rsid w:val="0057058D"/>
    <w:rsid w:val="00572334"/>
    <w:rsid w:val="00572606"/>
    <w:rsid w:val="005729DC"/>
    <w:rsid w:val="005733FF"/>
    <w:rsid w:val="00575B91"/>
    <w:rsid w:val="0057781A"/>
    <w:rsid w:val="005824C9"/>
    <w:rsid w:val="005831A6"/>
    <w:rsid w:val="00583410"/>
    <w:rsid w:val="00583A1C"/>
    <w:rsid w:val="00583ECF"/>
    <w:rsid w:val="00586A18"/>
    <w:rsid w:val="00587B2D"/>
    <w:rsid w:val="00587D4F"/>
    <w:rsid w:val="00591A90"/>
    <w:rsid w:val="0059254A"/>
    <w:rsid w:val="005945E5"/>
    <w:rsid w:val="00594E1E"/>
    <w:rsid w:val="00596D66"/>
    <w:rsid w:val="00597CF5"/>
    <w:rsid w:val="005A10F6"/>
    <w:rsid w:val="005A142C"/>
    <w:rsid w:val="005A19FF"/>
    <w:rsid w:val="005A31F0"/>
    <w:rsid w:val="005A448A"/>
    <w:rsid w:val="005A52C0"/>
    <w:rsid w:val="005A78A4"/>
    <w:rsid w:val="005B00C3"/>
    <w:rsid w:val="005B02C0"/>
    <w:rsid w:val="005B038B"/>
    <w:rsid w:val="005B19FA"/>
    <w:rsid w:val="005B4F60"/>
    <w:rsid w:val="005B50B8"/>
    <w:rsid w:val="005C0D27"/>
    <w:rsid w:val="005C2E8B"/>
    <w:rsid w:val="005C3B78"/>
    <w:rsid w:val="005C72B0"/>
    <w:rsid w:val="005C7C51"/>
    <w:rsid w:val="005D06D2"/>
    <w:rsid w:val="005D4DA4"/>
    <w:rsid w:val="005D65AC"/>
    <w:rsid w:val="005D7B3A"/>
    <w:rsid w:val="005E362C"/>
    <w:rsid w:val="005E544C"/>
    <w:rsid w:val="005E69C4"/>
    <w:rsid w:val="005F1434"/>
    <w:rsid w:val="005F4A85"/>
    <w:rsid w:val="005F4DD3"/>
    <w:rsid w:val="005F7758"/>
    <w:rsid w:val="006005BD"/>
    <w:rsid w:val="00600E4C"/>
    <w:rsid w:val="00601A06"/>
    <w:rsid w:val="006028DB"/>
    <w:rsid w:val="006049BB"/>
    <w:rsid w:val="0060782B"/>
    <w:rsid w:val="0061019A"/>
    <w:rsid w:val="00610393"/>
    <w:rsid w:val="0061086D"/>
    <w:rsid w:val="006113FA"/>
    <w:rsid w:val="00612455"/>
    <w:rsid w:val="006134B8"/>
    <w:rsid w:val="0061537A"/>
    <w:rsid w:val="00620AB5"/>
    <w:rsid w:val="00620FA1"/>
    <w:rsid w:val="00622DDF"/>
    <w:rsid w:val="0062588F"/>
    <w:rsid w:val="006266E8"/>
    <w:rsid w:val="00627FE1"/>
    <w:rsid w:val="00630BAA"/>
    <w:rsid w:val="00630DDD"/>
    <w:rsid w:val="00632110"/>
    <w:rsid w:val="006334E0"/>
    <w:rsid w:val="0063479F"/>
    <w:rsid w:val="00635374"/>
    <w:rsid w:val="00635BAC"/>
    <w:rsid w:val="00635F3F"/>
    <w:rsid w:val="00637053"/>
    <w:rsid w:val="00640C24"/>
    <w:rsid w:val="00643536"/>
    <w:rsid w:val="006435DF"/>
    <w:rsid w:val="00643914"/>
    <w:rsid w:val="00643A66"/>
    <w:rsid w:val="00645FD4"/>
    <w:rsid w:val="0064709B"/>
    <w:rsid w:val="00647CFD"/>
    <w:rsid w:val="00652640"/>
    <w:rsid w:val="00652DDD"/>
    <w:rsid w:val="006534EA"/>
    <w:rsid w:val="00656954"/>
    <w:rsid w:val="00660088"/>
    <w:rsid w:val="0066065D"/>
    <w:rsid w:val="006617CF"/>
    <w:rsid w:val="00663155"/>
    <w:rsid w:val="006650FC"/>
    <w:rsid w:val="00665392"/>
    <w:rsid w:val="0066554B"/>
    <w:rsid w:val="00666F28"/>
    <w:rsid w:val="00670996"/>
    <w:rsid w:val="00670E72"/>
    <w:rsid w:val="00672D28"/>
    <w:rsid w:val="006812DB"/>
    <w:rsid w:val="00682B2B"/>
    <w:rsid w:val="00683021"/>
    <w:rsid w:val="00683559"/>
    <w:rsid w:val="00684422"/>
    <w:rsid w:val="00685FF5"/>
    <w:rsid w:val="00687469"/>
    <w:rsid w:val="0068754C"/>
    <w:rsid w:val="00690486"/>
    <w:rsid w:val="00690784"/>
    <w:rsid w:val="006914D4"/>
    <w:rsid w:val="00693950"/>
    <w:rsid w:val="0069415B"/>
    <w:rsid w:val="00695A7E"/>
    <w:rsid w:val="00695F62"/>
    <w:rsid w:val="006979AB"/>
    <w:rsid w:val="006A0B47"/>
    <w:rsid w:val="006A0B84"/>
    <w:rsid w:val="006A13D8"/>
    <w:rsid w:val="006A1A3A"/>
    <w:rsid w:val="006A3C9D"/>
    <w:rsid w:val="006A590C"/>
    <w:rsid w:val="006A5F42"/>
    <w:rsid w:val="006A6B31"/>
    <w:rsid w:val="006A7467"/>
    <w:rsid w:val="006A7AEE"/>
    <w:rsid w:val="006B029A"/>
    <w:rsid w:val="006B3151"/>
    <w:rsid w:val="006B5650"/>
    <w:rsid w:val="006B79B2"/>
    <w:rsid w:val="006C0812"/>
    <w:rsid w:val="006C12E9"/>
    <w:rsid w:val="006C204D"/>
    <w:rsid w:val="006C265C"/>
    <w:rsid w:val="006C4797"/>
    <w:rsid w:val="006C5A3B"/>
    <w:rsid w:val="006C7A93"/>
    <w:rsid w:val="006D3310"/>
    <w:rsid w:val="006D3DA3"/>
    <w:rsid w:val="006D5DDA"/>
    <w:rsid w:val="006D7324"/>
    <w:rsid w:val="006E1277"/>
    <w:rsid w:val="006E17E8"/>
    <w:rsid w:val="006E2AB4"/>
    <w:rsid w:val="006E4A49"/>
    <w:rsid w:val="006E4BCB"/>
    <w:rsid w:val="006E5799"/>
    <w:rsid w:val="006E65E5"/>
    <w:rsid w:val="006E676F"/>
    <w:rsid w:val="006E718B"/>
    <w:rsid w:val="006F072D"/>
    <w:rsid w:val="006F1793"/>
    <w:rsid w:val="006F40C2"/>
    <w:rsid w:val="006F6518"/>
    <w:rsid w:val="00700462"/>
    <w:rsid w:val="007009FD"/>
    <w:rsid w:val="00700B6D"/>
    <w:rsid w:val="00700CD6"/>
    <w:rsid w:val="007029D3"/>
    <w:rsid w:val="007033F7"/>
    <w:rsid w:val="00704BFA"/>
    <w:rsid w:val="00705751"/>
    <w:rsid w:val="0070592D"/>
    <w:rsid w:val="00711655"/>
    <w:rsid w:val="00711BAC"/>
    <w:rsid w:val="00712378"/>
    <w:rsid w:val="00712EF9"/>
    <w:rsid w:val="0071365E"/>
    <w:rsid w:val="00713F3D"/>
    <w:rsid w:val="00714DA1"/>
    <w:rsid w:val="00715E5D"/>
    <w:rsid w:val="00721D82"/>
    <w:rsid w:val="00721F0B"/>
    <w:rsid w:val="00722444"/>
    <w:rsid w:val="00723E11"/>
    <w:rsid w:val="00725106"/>
    <w:rsid w:val="00725BC5"/>
    <w:rsid w:val="00731563"/>
    <w:rsid w:val="007316A5"/>
    <w:rsid w:val="0073387B"/>
    <w:rsid w:val="007358EB"/>
    <w:rsid w:val="00735A8D"/>
    <w:rsid w:val="00736292"/>
    <w:rsid w:val="00741E5F"/>
    <w:rsid w:val="00742C8F"/>
    <w:rsid w:val="00746586"/>
    <w:rsid w:val="00746A6D"/>
    <w:rsid w:val="00750194"/>
    <w:rsid w:val="007501E7"/>
    <w:rsid w:val="00750C88"/>
    <w:rsid w:val="00751E5A"/>
    <w:rsid w:val="00754FF5"/>
    <w:rsid w:val="00755D23"/>
    <w:rsid w:val="007560F9"/>
    <w:rsid w:val="007567AC"/>
    <w:rsid w:val="007569F2"/>
    <w:rsid w:val="00756E3E"/>
    <w:rsid w:val="00757B1F"/>
    <w:rsid w:val="0076041F"/>
    <w:rsid w:val="00761608"/>
    <w:rsid w:val="007626DB"/>
    <w:rsid w:val="0076614E"/>
    <w:rsid w:val="0076748B"/>
    <w:rsid w:val="007678D2"/>
    <w:rsid w:val="00771EBD"/>
    <w:rsid w:val="00774BDC"/>
    <w:rsid w:val="00776BEF"/>
    <w:rsid w:val="0078026C"/>
    <w:rsid w:val="00781373"/>
    <w:rsid w:val="00781A8B"/>
    <w:rsid w:val="00782594"/>
    <w:rsid w:val="0078748F"/>
    <w:rsid w:val="00787FAC"/>
    <w:rsid w:val="007908E0"/>
    <w:rsid w:val="00791139"/>
    <w:rsid w:val="007919F0"/>
    <w:rsid w:val="00792ED6"/>
    <w:rsid w:val="00795867"/>
    <w:rsid w:val="007A1261"/>
    <w:rsid w:val="007A251B"/>
    <w:rsid w:val="007A3085"/>
    <w:rsid w:val="007A3D2F"/>
    <w:rsid w:val="007A40B0"/>
    <w:rsid w:val="007B00FE"/>
    <w:rsid w:val="007B2E6C"/>
    <w:rsid w:val="007B3B6D"/>
    <w:rsid w:val="007B4438"/>
    <w:rsid w:val="007B4B2D"/>
    <w:rsid w:val="007B4EEC"/>
    <w:rsid w:val="007B60CE"/>
    <w:rsid w:val="007B7CE1"/>
    <w:rsid w:val="007C1F20"/>
    <w:rsid w:val="007C2192"/>
    <w:rsid w:val="007C2CF9"/>
    <w:rsid w:val="007C4961"/>
    <w:rsid w:val="007C6C8A"/>
    <w:rsid w:val="007C6EF8"/>
    <w:rsid w:val="007C7AB8"/>
    <w:rsid w:val="007D298D"/>
    <w:rsid w:val="007D2B5A"/>
    <w:rsid w:val="007D3819"/>
    <w:rsid w:val="007D5910"/>
    <w:rsid w:val="007D5EF3"/>
    <w:rsid w:val="007D64EE"/>
    <w:rsid w:val="007E0C85"/>
    <w:rsid w:val="007E3459"/>
    <w:rsid w:val="007E46DD"/>
    <w:rsid w:val="007E5251"/>
    <w:rsid w:val="007E5DD3"/>
    <w:rsid w:val="007E60BD"/>
    <w:rsid w:val="007E7563"/>
    <w:rsid w:val="007F0120"/>
    <w:rsid w:val="007F0A7E"/>
    <w:rsid w:val="007F3533"/>
    <w:rsid w:val="007F59A5"/>
    <w:rsid w:val="007F5AEA"/>
    <w:rsid w:val="007F61C8"/>
    <w:rsid w:val="008010CD"/>
    <w:rsid w:val="00804404"/>
    <w:rsid w:val="00804FE8"/>
    <w:rsid w:val="00806282"/>
    <w:rsid w:val="0080701A"/>
    <w:rsid w:val="008073F7"/>
    <w:rsid w:val="008074B1"/>
    <w:rsid w:val="00810137"/>
    <w:rsid w:val="00814C26"/>
    <w:rsid w:val="00815ADB"/>
    <w:rsid w:val="00816673"/>
    <w:rsid w:val="008209C7"/>
    <w:rsid w:val="00820E4E"/>
    <w:rsid w:val="00821242"/>
    <w:rsid w:val="0082162F"/>
    <w:rsid w:val="008223C0"/>
    <w:rsid w:val="00822E2E"/>
    <w:rsid w:val="00824E3D"/>
    <w:rsid w:val="00825FDF"/>
    <w:rsid w:val="00827862"/>
    <w:rsid w:val="00830E56"/>
    <w:rsid w:val="00833F44"/>
    <w:rsid w:val="008340AB"/>
    <w:rsid w:val="00834AE2"/>
    <w:rsid w:val="00834BCE"/>
    <w:rsid w:val="00835CE3"/>
    <w:rsid w:val="00836C81"/>
    <w:rsid w:val="0084386D"/>
    <w:rsid w:val="00845D46"/>
    <w:rsid w:val="00846B73"/>
    <w:rsid w:val="00847455"/>
    <w:rsid w:val="00850084"/>
    <w:rsid w:val="00851634"/>
    <w:rsid w:val="00852136"/>
    <w:rsid w:val="0085351B"/>
    <w:rsid w:val="00856146"/>
    <w:rsid w:val="00857152"/>
    <w:rsid w:val="008576A3"/>
    <w:rsid w:val="00857EA3"/>
    <w:rsid w:val="008607B6"/>
    <w:rsid w:val="00861C22"/>
    <w:rsid w:val="00861F0E"/>
    <w:rsid w:val="00863559"/>
    <w:rsid w:val="008660CC"/>
    <w:rsid w:val="0086628C"/>
    <w:rsid w:val="00870F03"/>
    <w:rsid w:val="00873575"/>
    <w:rsid w:val="008749C5"/>
    <w:rsid w:val="00875419"/>
    <w:rsid w:val="0087553F"/>
    <w:rsid w:val="0087682A"/>
    <w:rsid w:val="00877F2C"/>
    <w:rsid w:val="00880B81"/>
    <w:rsid w:val="00882064"/>
    <w:rsid w:val="00883D76"/>
    <w:rsid w:val="00885F7C"/>
    <w:rsid w:val="00886B10"/>
    <w:rsid w:val="00891C09"/>
    <w:rsid w:val="00893F65"/>
    <w:rsid w:val="00895A84"/>
    <w:rsid w:val="008966A0"/>
    <w:rsid w:val="00897A06"/>
    <w:rsid w:val="00897D70"/>
    <w:rsid w:val="008A0838"/>
    <w:rsid w:val="008A0AC0"/>
    <w:rsid w:val="008A10EE"/>
    <w:rsid w:val="008A1EBD"/>
    <w:rsid w:val="008A3FCE"/>
    <w:rsid w:val="008A44A9"/>
    <w:rsid w:val="008A5DA7"/>
    <w:rsid w:val="008A6BFD"/>
    <w:rsid w:val="008A6EA1"/>
    <w:rsid w:val="008A7618"/>
    <w:rsid w:val="008A7F1A"/>
    <w:rsid w:val="008B1493"/>
    <w:rsid w:val="008B3146"/>
    <w:rsid w:val="008B33A5"/>
    <w:rsid w:val="008B3A72"/>
    <w:rsid w:val="008B3CE1"/>
    <w:rsid w:val="008B463C"/>
    <w:rsid w:val="008B4691"/>
    <w:rsid w:val="008B4850"/>
    <w:rsid w:val="008B502F"/>
    <w:rsid w:val="008B5528"/>
    <w:rsid w:val="008B75C5"/>
    <w:rsid w:val="008B7F3E"/>
    <w:rsid w:val="008C1C8B"/>
    <w:rsid w:val="008C1D6A"/>
    <w:rsid w:val="008C5C18"/>
    <w:rsid w:val="008C7251"/>
    <w:rsid w:val="008C7AC9"/>
    <w:rsid w:val="008D32B8"/>
    <w:rsid w:val="008D3E9E"/>
    <w:rsid w:val="008D4504"/>
    <w:rsid w:val="008D4D8D"/>
    <w:rsid w:val="008D5C0B"/>
    <w:rsid w:val="008D6397"/>
    <w:rsid w:val="008D6C54"/>
    <w:rsid w:val="008D6F48"/>
    <w:rsid w:val="008D7DF6"/>
    <w:rsid w:val="008E3EF1"/>
    <w:rsid w:val="008E4A5B"/>
    <w:rsid w:val="008F13B4"/>
    <w:rsid w:val="008F3022"/>
    <w:rsid w:val="008F3D63"/>
    <w:rsid w:val="008F4ED8"/>
    <w:rsid w:val="008F6926"/>
    <w:rsid w:val="00902027"/>
    <w:rsid w:val="00904938"/>
    <w:rsid w:val="00905857"/>
    <w:rsid w:val="009079CB"/>
    <w:rsid w:val="0091128C"/>
    <w:rsid w:val="009125BF"/>
    <w:rsid w:val="009134C7"/>
    <w:rsid w:val="00914A72"/>
    <w:rsid w:val="00916928"/>
    <w:rsid w:val="00917828"/>
    <w:rsid w:val="009214B7"/>
    <w:rsid w:val="009243E2"/>
    <w:rsid w:val="00924803"/>
    <w:rsid w:val="00924D77"/>
    <w:rsid w:val="00924F53"/>
    <w:rsid w:val="00930408"/>
    <w:rsid w:val="00930AB7"/>
    <w:rsid w:val="00931E75"/>
    <w:rsid w:val="00932796"/>
    <w:rsid w:val="00934BD1"/>
    <w:rsid w:val="0093653E"/>
    <w:rsid w:val="00936DB1"/>
    <w:rsid w:val="00941710"/>
    <w:rsid w:val="009417BD"/>
    <w:rsid w:val="00941C46"/>
    <w:rsid w:val="009420E3"/>
    <w:rsid w:val="00943A4E"/>
    <w:rsid w:val="0095093D"/>
    <w:rsid w:val="00950B0C"/>
    <w:rsid w:val="009520F3"/>
    <w:rsid w:val="00952E23"/>
    <w:rsid w:val="00954096"/>
    <w:rsid w:val="0095509D"/>
    <w:rsid w:val="00956E7B"/>
    <w:rsid w:val="00961B51"/>
    <w:rsid w:val="0096280C"/>
    <w:rsid w:val="0096310D"/>
    <w:rsid w:val="00967F92"/>
    <w:rsid w:val="0097023E"/>
    <w:rsid w:val="0097239C"/>
    <w:rsid w:val="009727B3"/>
    <w:rsid w:val="00974862"/>
    <w:rsid w:val="00974A06"/>
    <w:rsid w:val="009771CA"/>
    <w:rsid w:val="0097752E"/>
    <w:rsid w:val="009776BC"/>
    <w:rsid w:val="0097790D"/>
    <w:rsid w:val="00977C16"/>
    <w:rsid w:val="009825B2"/>
    <w:rsid w:val="00982D64"/>
    <w:rsid w:val="009835B2"/>
    <w:rsid w:val="0098410C"/>
    <w:rsid w:val="00984998"/>
    <w:rsid w:val="009858D4"/>
    <w:rsid w:val="00985905"/>
    <w:rsid w:val="00985BF3"/>
    <w:rsid w:val="00992C43"/>
    <w:rsid w:val="00992DA2"/>
    <w:rsid w:val="00994029"/>
    <w:rsid w:val="00994615"/>
    <w:rsid w:val="009946F7"/>
    <w:rsid w:val="00994D14"/>
    <w:rsid w:val="00996520"/>
    <w:rsid w:val="009A04F7"/>
    <w:rsid w:val="009A0509"/>
    <w:rsid w:val="009A171A"/>
    <w:rsid w:val="009A3CDD"/>
    <w:rsid w:val="009A5231"/>
    <w:rsid w:val="009A6080"/>
    <w:rsid w:val="009A6315"/>
    <w:rsid w:val="009B0A28"/>
    <w:rsid w:val="009B0D90"/>
    <w:rsid w:val="009B0E95"/>
    <w:rsid w:val="009B3F9B"/>
    <w:rsid w:val="009B41CA"/>
    <w:rsid w:val="009B7F23"/>
    <w:rsid w:val="009C20B6"/>
    <w:rsid w:val="009C22C2"/>
    <w:rsid w:val="009C51C5"/>
    <w:rsid w:val="009C546C"/>
    <w:rsid w:val="009C61AD"/>
    <w:rsid w:val="009D0045"/>
    <w:rsid w:val="009D1B5E"/>
    <w:rsid w:val="009D23D4"/>
    <w:rsid w:val="009D26B6"/>
    <w:rsid w:val="009D60B8"/>
    <w:rsid w:val="009D6815"/>
    <w:rsid w:val="009D6A07"/>
    <w:rsid w:val="009D6A55"/>
    <w:rsid w:val="009D7AEF"/>
    <w:rsid w:val="009E0CA0"/>
    <w:rsid w:val="009E2782"/>
    <w:rsid w:val="009E2FBF"/>
    <w:rsid w:val="009E3957"/>
    <w:rsid w:val="009E4359"/>
    <w:rsid w:val="009F284B"/>
    <w:rsid w:val="009F3DAB"/>
    <w:rsid w:val="009F3DC3"/>
    <w:rsid w:val="009F7D83"/>
    <w:rsid w:val="009F7FEC"/>
    <w:rsid w:val="00A01278"/>
    <w:rsid w:val="00A01949"/>
    <w:rsid w:val="00A02770"/>
    <w:rsid w:val="00A02C78"/>
    <w:rsid w:val="00A02EB4"/>
    <w:rsid w:val="00A04869"/>
    <w:rsid w:val="00A05435"/>
    <w:rsid w:val="00A05CCB"/>
    <w:rsid w:val="00A05F49"/>
    <w:rsid w:val="00A07F3E"/>
    <w:rsid w:val="00A11A8D"/>
    <w:rsid w:val="00A12B89"/>
    <w:rsid w:val="00A14EF3"/>
    <w:rsid w:val="00A155E5"/>
    <w:rsid w:val="00A16166"/>
    <w:rsid w:val="00A165C6"/>
    <w:rsid w:val="00A171D2"/>
    <w:rsid w:val="00A1727B"/>
    <w:rsid w:val="00A204F4"/>
    <w:rsid w:val="00A2112C"/>
    <w:rsid w:val="00A227B5"/>
    <w:rsid w:val="00A2321D"/>
    <w:rsid w:val="00A2414D"/>
    <w:rsid w:val="00A3013D"/>
    <w:rsid w:val="00A31FD4"/>
    <w:rsid w:val="00A33322"/>
    <w:rsid w:val="00A345D7"/>
    <w:rsid w:val="00A3532F"/>
    <w:rsid w:val="00A356BB"/>
    <w:rsid w:val="00A36061"/>
    <w:rsid w:val="00A36821"/>
    <w:rsid w:val="00A411D3"/>
    <w:rsid w:val="00A41774"/>
    <w:rsid w:val="00A423A5"/>
    <w:rsid w:val="00A42510"/>
    <w:rsid w:val="00A448A2"/>
    <w:rsid w:val="00A46A7D"/>
    <w:rsid w:val="00A51BE6"/>
    <w:rsid w:val="00A551AA"/>
    <w:rsid w:val="00A5547E"/>
    <w:rsid w:val="00A5560A"/>
    <w:rsid w:val="00A56DC2"/>
    <w:rsid w:val="00A5747A"/>
    <w:rsid w:val="00A57EE8"/>
    <w:rsid w:val="00A6153E"/>
    <w:rsid w:val="00A61727"/>
    <w:rsid w:val="00A6233C"/>
    <w:rsid w:val="00A627E5"/>
    <w:rsid w:val="00A63D33"/>
    <w:rsid w:val="00A6423B"/>
    <w:rsid w:val="00A64CFE"/>
    <w:rsid w:val="00A650B5"/>
    <w:rsid w:val="00A65EB4"/>
    <w:rsid w:val="00A6615F"/>
    <w:rsid w:val="00A66774"/>
    <w:rsid w:val="00A705AC"/>
    <w:rsid w:val="00A70B87"/>
    <w:rsid w:val="00A71D01"/>
    <w:rsid w:val="00A72B7B"/>
    <w:rsid w:val="00A7326F"/>
    <w:rsid w:val="00A732AD"/>
    <w:rsid w:val="00A74D98"/>
    <w:rsid w:val="00A7671F"/>
    <w:rsid w:val="00A778E4"/>
    <w:rsid w:val="00A81AC1"/>
    <w:rsid w:val="00A8281A"/>
    <w:rsid w:val="00A82FCB"/>
    <w:rsid w:val="00A83C7B"/>
    <w:rsid w:val="00A83CA0"/>
    <w:rsid w:val="00A8493F"/>
    <w:rsid w:val="00A84C92"/>
    <w:rsid w:val="00A85AC5"/>
    <w:rsid w:val="00A86641"/>
    <w:rsid w:val="00A86E6F"/>
    <w:rsid w:val="00A9584B"/>
    <w:rsid w:val="00A95A57"/>
    <w:rsid w:val="00A95D29"/>
    <w:rsid w:val="00A9671E"/>
    <w:rsid w:val="00A9765F"/>
    <w:rsid w:val="00AA1CF9"/>
    <w:rsid w:val="00AA21B4"/>
    <w:rsid w:val="00AA50D7"/>
    <w:rsid w:val="00AA5580"/>
    <w:rsid w:val="00AA6A89"/>
    <w:rsid w:val="00AA7351"/>
    <w:rsid w:val="00AA73B3"/>
    <w:rsid w:val="00AB24B1"/>
    <w:rsid w:val="00AB6974"/>
    <w:rsid w:val="00AC08DD"/>
    <w:rsid w:val="00AC1D25"/>
    <w:rsid w:val="00AC41A0"/>
    <w:rsid w:val="00AC7526"/>
    <w:rsid w:val="00AD1271"/>
    <w:rsid w:val="00AD20C0"/>
    <w:rsid w:val="00AD2C4F"/>
    <w:rsid w:val="00AD31B2"/>
    <w:rsid w:val="00AD385D"/>
    <w:rsid w:val="00AD446E"/>
    <w:rsid w:val="00AD4D83"/>
    <w:rsid w:val="00AD66F1"/>
    <w:rsid w:val="00AE2B72"/>
    <w:rsid w:val="00AE2CCE"/>
    <w:rsid w:val="00AE5238"/>
    <w:rsid w:val="00AE6EA2"/>
    <w:rsid w:val="00AF0BEA"/>
    <w:rsid w:val="00AF4AB0"/>
    <w:rsid w:val="00AF62EA"/>
    <w:rsid w:val="00AF6A8D"/>
    <w:rsid w:val="00AF70E9"/>
    <w:rsid w:val="00AF770C"/>
    <w:rsid w:val="00B00CF1"/>
    <w:rsid w:val="00B01220"/>
    <w:rsid w:val="00B03833"/>
    <w:rsid w:val="00B04E08"/>
    <w:rsid w:val="00B06065"/>
    <w:rsid w:val="00B068E7"/>
    <w:rsid w:val="00B07458"/>
    <w:rsid w:val="00B07C6B"/>
    <w:rsid w:val="00B1153E"/>
    <w:rsid w:val="00B121B8"/>
    <w:rsid w:val="00B12ABA"/>
    <w:rsid w:val="00B1359B"/>
    <w:rsid w:val="00B20BCD"/>
    <w:rsid w:val="00B212CE"/>
    <w:rsid w:val="00B21B96"/>
    <w:rsid w:val="00B21BFB"/>
    <w:rsid w:val="00B21C0E"/>
    <w:rsid w:val="00B22EC1"/>
    <w:rsid w:val="00B23049"/>
    <w:rsid w:val="00B24ABD"/>
    <w:rsid w:val="00B25426"/>
    <w:rsid w:val="00B254B3"/>
    <w:rsid w:val="00B25AD5"/>
    <w:rsid w:val="00B25AE9"/>
    <w:rsid w:val="00B25F0D"/>
    <w:rsid w:val="00B26E6E"/>
    <w:rsid w:val="00B2759F"/>
    <w:rsid w:val="00B27680"/>
    <w:rsid w:val="00B30D00"/>
    <w:rsid w:val="00B31185"/>
    <w:rsid w:val="00B31A9D"/>
    <w:rsid w:val="00B376F5"/>
    <w:rsid w:val="00B40D56"/>
    <w:rsid w:val="00B40DD4"/>
    <w:rsid w:val="00B40E16"/>
    <w:rsid w:val="00B4278C"/>
    <w:rsid w:val="00B4308A"/>
    <w:rsid w:val="00B45201"/>
    <w:rsid w:val="00B47054"/>
    <w:rsid w:val="00B54100"/>
    <w:rsid w:val="00B5519E"/>
    <w:rsid w:val="00B55CA3"/>
    <w:rsid w:val="00B61C57"/>
    <w:rsid w:val="00B61CA8"/>
    <w:rsid w:val="00B6298F"/>
    <w:rsid w:val="00B62A3F"/>
    <w:rsid w:val="00B63DE0"/>
    <w:rsid w:val="00B662BC"/>
    <w:rsid w:val="00B67123"/>
    <w:rsid w:val="00B67AEE"/>
    <w:rsid w:val="00B71A20"/>
    <w:rsid w:val="00B7368B"/>
    <w:rsid w:val="00B73CE1"/>
    <w:rsid w:val="00B748C8"/>
    <w:rsid w:val="00B74F90"/>
    <w:rsid w:val="00B75931"/>
    <w:rsid w:val="00B75BCD"/>
    <w:rsid w:val="00B7783A"/>
    <w:rsid w:val="00B809E5"/>
    <w:rsid w:val="00B839CE"/>
    <w:rsid w:val="00B84C60"/>
    <w:rsid w:val="00B919B5"/>
    <w:rsid w:val="00B92CC1"/>
    <w:rsid w:val="00B94012"/>
    <w:rsid w:val="00B9484E"/>
    <w:rsid w:val="00B964DE"/>
    <w:rsid w:val="00B97E0F"/>
    <w:rsid w:val="00B97F1A"/>
    <w:rsid w:val="00B97F87"/>
    <w:rsid w:val="00BA2C73"/>
    <w:rsid w:val="00BA41BE"/>
    <w:rsid w:val="00BA429B"/>
    <w:rsid w:val="00BA6BAA"/>
    <w:rsid w:val="00BA748D"/>
    <w:rsid w:val="00BA78FA"/>
    <w:rsid w:val="00BB0692"/>
    <w:rsid w:val="00BB208D"/>
    <w:rsid w:val="00BB421C"/>
    <w:rsid w:val="00BB452E"/>
    <w:rsid w:val="00BB46C4"/>
    <w:rsid w:val="00BB4E10"/>
    <w:rsid w:val="00BB510F"/>
    <w:rsid w:val="00BB5418"/>
    <w:rsid w:val="00BB54C3"/>
    <w:rsid w:val="00BB663A"/>
    <w:rsid w:val="00BB6C94"/>
    <w:rsid w:val="00BB7853"/>
    <w:rsid w:val="00BC03ED"/>
    <w:rsid w:val="00BC08E6"/>
    <w:rsid w:val="00BC0FF2"/>
    <w:rsid w:val="00BC15B4"/>
    <w:rsid w:val="00BC3DD2"/>
    <w:rsid w:val="00BC4620"/>
    <w:rsid w:val="00BD1742"/>
    <w:rsid w:val="00BD1A2F"/>
    <w:rsid w:val="00BD3639"/>
    <w:rsid w:val="00BE04EB"/>
    <w:rsid w:val="00BE4E16"/>
    <w:rsid w:val="00BE639D"/>
    <w:rsid w:val="00BE7051"/>
    <w:rsid w:val="00BE7924"/>
    <w:rsid w:val="00BE7DE3"/>
    <w:rsid w:val="00BF1240"/>
    <w:rsid w:val="00BF1F5A"/>
    <w:rsid w:val="00BF6363"/>
    <w:rsid w:val="00C027DC"/>
    <w:rsid w:val="00C032B0"/>
    <w:rsid w:val="00C03989"/>
    <w:rsid w:val="00C03DFC"/>
    <w:rsid w:val="00C04711"/>
    <w:rsid w:val="00C05E4D"/>
    <w:rsid w:val="00C06564"/>
    <w:rsid w:val="00C1159F"/>
    <w:rsid w:val="00C15D02"/>
    <w:rsid w:val="00C17E91"/>
    <w:rsid w:val="00C20CF7"/>
    <w:rsid w:val="00C21644"/>
    <w:rsid w:val="00C21A1F"/>
    <w:rsid w:val="00C24F2F"/>
    <w:rsid w:val="00C25526"/>
    <w:rsid w:val="00C25615"/>
    <w:rsid w:val="00C256D4"/>
    <w:rsid w:val="00C26D66"/>
    <w:rsid w:val="00C274FA"/>
    <w:rsid w:val="00C27C61"/>
    <w:rsid w:val="00C335BF"/>
    <w:rsid w:val="00C33C29"/>
    <w:rsid w:val="00C349FB"/>
    <w:rsid w:val="00C34FC0"/>
    <w:rsid w:val="00C35634"/>
    <w:rsid w:val="00C37531"/>
    <w:rsid w:val="00C4010B"/>
    <w:rsid w:val="00C40A5C"/>
    <w:rsid w:val="00C4175C"/>
    <w:rsid w:val="00C44E30"/>
    <w:rsid w:val="00C44F3F"/>
    <w:rsid w:val="00C45F72"/>
    <w:rsid w:val="00C50844"/>
    <w:rsid w:val="00C50DCB"/>
    <w:rsid w:val="00C50EAF"/>
    <w:rsid w:val="00C5139E"/>
    <w:rsid w:val="00C518F2"/>
    <w:rsid w:val="00C519C4"/>
    <w:rsid w:val="00C520CC"/>
    <w:rsid w:val="00C56C2A"/>
    <w:rsid w:val="00C57046"/>
    <w:rsid w:val="00C57278"/>
    <w:rsid w:val="00C6034D"/>
    <w:rsid w:val="00C645EE"/>
    <w:rsid w:val="00C650AE"/>
    <w:rsid w:val="00C65C01"/>
    <w:rsid w:val="00C65E68"/>
    <w:rsid w:val="00C65F59"/>
    <w:rsid w:val="00C66566"/>
    <w:rsid w:val="00C665AF"/>
    <w:rsid w:val="00C71232"/>
    <w:rsid w:val="00C712A2"/>
    <w:rsid w:val="00C72C2A"/>
    <w:rsid w:val="00C73F89"/>
    <w:rsid w:val="00C73FE4"/>
    <w:rsid w:val="00C7430C"/>
    <w:rsid w:val="00C75F23"/>
    <w:rsid w:val="00C80000"/>
    <w:rsid w:val="00C80D2E"/>
    <w:rsid w:val="00C8235C"/>
    <w:rsid w:val="00C824D0"/>
    <w:rsid w:val="00C82D86"/>
    <w:rsid w:val="00C86394"/>
    <w:rsid w:val="00C869AA"/>
    <w:rsid w:val="00C86C5D"/>
    <w:rsid w:val="00C873C7"/>
    <w:rsid w:val="00C87D16"/>
    <w:rsid w:val="00C87D65"/>
    <w:rsid w:val="00C87F9E"/>
    <w:rsid w:val="00C93BF8"/>
    <w:rsid w:val="00C94094"/>
    <w:rsid w:val="00C9521C"/>
    <w:rsid w:val="00C952E0"/>
    <w:rsid w:val="00C9692A"/>
    <w:rsid w:val="00C97771"/>
    <w:rsid w:val="00CA2918"/>
    <w:rsid w:val="00CA2FB8"/>
    <w:rsid w:val="00CA3015"/>
    <w:rsid w:val="00CA4D5B"/>
    <w:rsid w:val="00CA565C"/>
    <w:rsid w:val="00CA610F"/>
    <w:rsid w:val="00CA7690"/>
    <w:rsid w:val="00CA7C27"/>
    <w:rsid w:val="00CB2E9C"/>
    <w:rsid w:val="00CB31C3"/>
    <w:rsid w:val="00CB3A59"/>
    <w:rsid w:val="00CB450F"/>
    <w:rsid w:val="00CB5AAC"/>
    <w:rsid w:val="00CB741F"/>
    <w:rsid w:val="00CC07E5"/>
    <w:rsid w:val="00CC1489"/>
    <w:rsid w:val="00CC1896"/>
    <w:rsid w:val="00CC343B"/>
    <w:rsid w:val="00CD2A4B"/>
    <w:rsid w:val="00CD3D97"/>
    <w:rsid w:val="00CD3FE0"/>
    <w:rsid w:val="00CD5184"/>
    <w:rsid w:val="00CD61B2"/>
    <w:rsid w:val="00CD6989"/>
    <w:rsid w:val="00CE292B"/>
    <w:rsid w:val="00CE46BC"/>
    <w:rsid w:val="00CF06A6"/>
    <w:rsid w:val="00CF2A43"/>
    <w:rsid w:val="00CF3324"/>
    <w:rsid w:val="00CF4705"/>
    <w:rsid w:val="00CF50B1"/>
    <w:rsid w:val="00CF6C03"/>
    <w:rsid w:val="00D11052"/>
    <w:rsid w:val="00D120FF"/>
    <w:rsid w:val="00D124FA"/>
    <w:rsid w:val="00D12A11"/>
    <w:rsid w:val="00D1390A"/>
    <w:rsid w:val="00D14D47"/>
    <w:rsid w:val="00D17D5C"/>
    <w:rsid w:val="00D2066A"/>
    <w:rsid w:val="00D2126B"/>
    <w:rsid w:val="00D219B3"/>
    <w:rsid w:val="00D222F1"/>
    <w:rsid w:val="00D26AED"/>
    <w:rsid w:val="00D27F6F"/>
    <w:rsid w:val="00D30C2E"/>
    <w:rsid w:val="00D34E71"/>
    <w:rsid w:val="00D361D6"/>
    <w:rsid w:val="00D4145A"/>
    <w:rsid w:val="00D41B50"/>
    <w:rsid w:val="00D429BD"/>
    <w:rsid w:val="00D46030"/>
    <w:rsid w:val="00D472CE"/>
    <w:rsid w:val="00D4763B"/>
    <w:rsid w:val="00D51D6B"/>
    <w:rsid w:val="00D53704"/>
    <w:rsid w:val="00D53DDC"/>
    <w:rsid w:val="00D56575"/>
    <w:rsid w:val="00D569FA"/>
    <w:rsid w:val="00D57622"/>
    <w:rsid w:val="00D5784A"/>
    <w:rsid w:val="00D621E9"/>
    <w:rsid w:val="00D628A7"/>
    <w:rsid w:val="00D630C3"/>
    <w:rsid w:val="00D63283"/>
    <w:rsid w:val="00D6489E"/>
    <w:rsid w:val="00D64D67"/>
    <w:rsid w:val="00D65293"/>
    <w:rsid w:val="00D654DB"/>
    <w:rsid w:val="00D67596"/>
    <w:rsid w:val="00D71164"/>
    <w:rsid w:val="00D71EBF"/>
    <w:rsid w:val="00D7399F"/>
    <w:rsid w:val="00D743CB"/>
    <w:rsid w:val="00D74F26"/>
    <w:rsid w:val="00D7516E"/>
    <w:rsid w:val="00D75A9D"/>
    <w:rsid w:val="00D77321"/>
    <w:rsid w:val="00D80F9B"/>
    <w:rsid w:val="00D82D1A"/>
    <w:rsid w:val="00D8347A"/>
    <w:rsid w:val="00D8454E"/>
    <w:rsid w:val="00D85F09"/>
    <w:rsid w:val="00D861BD"/>
    <w:rsid w:val="00D869C9"/>
    <w:rsid w:val="00D87E03"/>
    <w:rsid w:val="00D90FDF"/>
    <w:rsid w:val="00D912BD"/>
    <w:rsid w:val="00D91352"/>
    <w:rsid w:val="00D91476"/>
    <w:rsid w:val="00D92268"/>
    <w:rsid w:val="00D934C5"/>
    <w:rsid w:val="00D936FE"/>
    <w:rsid w:val="00DA1678"/>
    <w:rsid w:val="00DA2724"/>
    <w:rsid w:val="00DA2CB3"/>
    <w:rsid w:val="00DA43DF"/>
    <w:rsid w:val="00DA4A35"/>
    <w:rsid w:val="00DA5685"/>
    <w:rsid w:val="00DA7B0B"/>
    <w:rsid w:val="00DB1929"/>
    <w:rsid w:val="00DB28FB"/>
    <w:rsid w:val="00DB2B46"/>
    <w:rsid w:val="00DB4609"/>
    <w:rsid w:val="00DB4C36"/>
    <w:rsid w:val="00DB7DAA"/>
    <w:rsid w:val="00DC01FE"/>
    <w:rsid w:val="00DC4924"/>
    <w:rsid w:val="00DC5883"/>
    <w:rsid w:val="00DC65E3"/>
    <w:rsid w:val="00DC77A6"/>
    <w:rsid w:val="00DC7922"/>
    <w:rsid w:val="00DD12DD"/>
    <w:rsid w:val="00DD35E3"/>
    <w:rsid w:val="00DD37C0"/>
    <w:rsid w:val="00DE2539"/>
    <w:rsid w:val="00DE335B"/>
    <w:rsid w:val="00DE4D9C"/>
    <w:rsid w:val="00DE507E"/>
    <w:rsid w:val="00DF00CA"/>
    <w:rsid w:val="00DF0651"/>
    <w:rsid w:val="00DF0681"/>
    <w:rsid w:val="00DF25B7"/>
    <w:rsid w:val="00DF2F3F"/>
    <w:rsid w:val="00DF3B71"/>
    <w:rsid w:val="00DF4882"/>
    <w:rsid w:val="00DF6806"/>
    <w:rsid w:val="00DF699D"/>
    <w:rsid w:val="00E03EE4"/>
    <w:rsid w:val="00E06630"/>
    <w:rsid w:val="00E07EE3"/>
    <w:rsid w:val="00E105B3"/>
    <w:rsid w:val="00E1143A"/>
    <w:rsid w:val="00E11554"/>
    <w:rsid w:val="00E14E28"/>
    <w:rsid w:val="00E15093"/>
    <w:rsid w:val="00E230DA"/>
    <w:rsid w:val="00E236A1"/>
    <w:rsid w:val="00E25671"/>
    <w:rsid w:val="00E25D7C"/>
    <w:rsid w:val="00E2690E"/>
    <w:rsid w:val="00E27EF3"/>
    <w:rsid w:val="00E30B1A"/>
    <w:rsid w:val="00E320B3"/>
    <w:rsid w:val="00E34BC0"/>
    <w:rsid w:val="00E40DAF"/>
    <w:rsid w:val="00E41872"/>
    <w:rsid w:val="00E41F86"/>
    <w:rsid w:val="00E428E0"/>
    <w:rsid w:val="00E42B6F"/>
    <w:rsid w:val="00E442E7"/>
    <w:rsid w:val="00E4579D"/>
    <w:rsid w:val="00E45858"/>
    <w:rsid w:val="00E46198"/>
    <w:rsid w:val="00E46962"/>
    <w:rsid w:val="00E4698B"/>
    <w:rsid w:val="00E47079"/>
    <w:rsid w:val="00E47D4A"/>
    <w:rsid w:val="00E50F45"/>
    <w:rsid w:val="00E513AB"/>
    <w:rsid w:val="00E52B36"/>
    <w:rsid w:val="00E52FEE"/>
    <w:rsid w:val="00E53A01"/>
    <w:rsid w:val="00E53DBE"/>
    <w:rsid w:val="00E53FDA"/>
    <w:rsid w:val="00E54628"/>
    <w:rsid w:val="00E578AF"/>
    <w:rsid w:val="00E57D60"/>
    <w:rsid w:val="00E607AD"/>
    <w:rsid w:val="00E626DC"/>
    <w:rsid w:val="00E62725"/>
    <w:rsid w:val="00E63BDD"/>
    <w:rsid w:val="00E6500E"/>
    <w:rsid w:val="00E669E5"/>
    <w:rsid w:val="00E6722C"/>
    <w:rsid w:val="00E710DD"/>
    <w:rsid w:val="00E71247"/>
    <w:rsid w:val="00E7204B"/>
    <w:rsid w:val="00E723B5"/>
    <w:rsid w:val="00E738DA"/>
    <w:rsid w:val="00E75346"/>
    <w:rsid w:val="00E75CF8"/>
    <w:rsid w:val="00E76557"/>
    <w:rsid w:val="00E80CD5"/>
    <w:rsid w:val="00E8136B"/>
    <w:rsid w:val="00E81E0A"/>
    <w:rsid w:val="00E82AE2"/>
    <w:rsid w:val="00E839C4"/>
    <w:rsid w:val="00E83B2F"/>
    <w:rsid w:val="00E8467D"/>
    <w:rsid w:val="00E84832"/>
    <w:rsid w:val="00E84845"/>
    <w:rsid w:val="00E84F95"/>
    <w:rsid w:val="00E877B9"/>
    <w:rsid w:val="00E91021"/>
    <w:rsid w:val="00E91E3F"/>
    <w:rsid w:val="00E92F84"/>
    <w:rsid w:val="00E9446C"/>
    <w:rsid w:val="00E9784F"/>
    <w:rsid w:val="00E97C6C"/>
    <w:rsid w:val="00EA20F0"/>
    <w:rsid w:val="00EA26D5"/>
    <w:rsid w:val="00EA3E52"/>
    <w:rsid w:val="00EA7F38"/>
    <w:rsid w:val="00EB0F35"/>
    <w:rsid w:val="00EB2E74"/>
    <w:rsid w:val="00EB3385"/>
    <w:rsid w:val="00EB479C"/>
    <w:rsid w:val="00EB672A"/>
    <w:rsid w:val="00EB751E"/>
    <w:rsid w:val="00EB7971"/>
    <w:rsid w:val="00EC1416"/>
    <w:rsid w:val="00EC2509"/>
    <w:rsid w:val="00EC4459"/>
    <w:rsid w:val="00EC4531"/>
    <w:rsid w:val="00EC5692"/>
    <w:rsid w:val="00EC799A"/>
    <w:rsid w:val="00ED03D3"/>
    <w:rsid w:val="00ED166D"/>
    <w:rsid w:val="00ED27D8"/>
    <w:rsid w:val="00ED2DBB"/>
    <w:rsid w:val="00ED3FEC"/>
    <w:rsid w:val="00ED49C4"/>
    <w:rsid w:val="00ED63AF"/>
    <w:rsid w:val="00ED7231"/>
    <w:rsid w:val="00ED7838"/>
    <w:rsid w:val="00EE5413"/>
    <w:rsid w:val="00EE58BB"/>
    <w:rsid w:val="00EE6284"/>
    <w:rsid w:val="00EE67E8"/>
    <w:rsid w:val="00EE75D1"/>
    <w:rsid w:val="00EE775C"/>
    <w:rsid w:val="00EF0A45"/>
    <w:rsid w:val="00EF0C5F"/>
    <w:rsid w:val="00EF35A4"/>
    <w:rsid w:val="00EF3993"/>
    <w:rsid w:val="00F00990"/>
    <w:rsid w:val="00F013F9"/>
    <w:rsid w:val="00F01969"/>
    <w:rsid w:val="00F019F8"/>
    <w:rsid w:val="00F02A2C"/>
    <w:rsid w:val="00F0627D"/>
    <w:rsid w:val="00F07398"/>
    <w:rsid w:val="00F10936"/>
    <w:rsid w:val="00F11A91"/>
    <w:rsid w:val="00F1464E"/>
    <w:rsid w:val="00F14968"/>
    <w:rsid w:val="00F2006B"/>
    <w:rsid w:val="00F21D23"/>
    <w:rsid w:val="00F231CB"/>
    <w:rsid w:val="00F23498"/>
    <w:rsid w:val="00F25FAC"/>
    <w:rsid w:val="00F271ED"/>
    <w:rsid w:val="00F300B8"/>
    <w:rsid w:val="00F31936"/>
    <w:rsid w:val="00F34C05"/>
    <w:rsid w:val="00F34C72"/>
    <w:rsid w:val="00F35AA5"/>
    <w:rsid w:val="00F36CCF"/>
    <w:rsid w:val="00F3758B"/>
    <w:rsid w:val="00F40388"/>
    <w:rsid w:val="00F414E0"/>
    <w:rsid w:val="00F41F85"/>
    <w:rsid w:val="00F43164"/>
    <w:rsid w:val="00F44DDE"/>
    <w:rsid w:val="00F46C78"/>
    <w:rsid w:val="00F46F06"/>
    <w:rsid w:val="00F47791"/>
    <w:rsid w:val="00F478F4"/>
    <w:rsid w:val="00F47916"/>
    <w:rsid w:val="00F51DBA"/>
    <w:rsid w:val="00F54F31"/>
    <w:rsid w:val="00F55CAE"/>
    <w:rsid w:val="00F55CF0"/>
    <w:rsid w:val="00F56D16"/>
    <w:rsid w:val="00F61118"/>
    <w:rsid w:val="00F611A7"/>
    <w:rsid w:val="00F62EF5"/>
    <w:rsid w:val="00F63B34"/>
    <w:rsid w:val="00F64699"/>
    <w:rsid w:val="00F64A7E"/>
    <w:rsid w:val="00F650F0"/>
    <w:rsid w:val="00F6586F"/>
    <w:rsid w:val="00F70308"/>
    <w:rsid w:val="00F70E8D"/>
    <w:rsid w:val="00F71508"/>
    <w:rsid w:val="00F721E2"/>
    <w:rsid w:val="00F74F18"/>
    <w:rsid w:val="00F76714"/>
    <w:rsid w:val="00F76916"/>
    <w:rsid w:val="00F76C0A"/>
    <w:rsid w:val="00F807A0"/>
    <w:rsid w:val="00F80B98"/>
    <w:rsid w:val="00F816F5"/>
    <w:rsid w:val="00F825E7"/>
    <w:rsid w:val="00F8590F"/>
    <w:rsid w:val="00F87123"/>
    <w:rsid w:val="00F87E53"/>
    <w:rsid w:val="00F90510"/>
    <w:rsid w:val="00F91F78"/>
    <w:rsid w:val="00F91F99"/>
    <w:rsid w:val="00F93EEA"/>
    <w:rsid w:val="00F93F48"/>
    <w:rsid w:val="00F94691"/>
    <w:rsid w:val="00F9568B"/>
    <w:rsid w:val="00F96325"/>
    <w:rsid w:val="00FA0F18"/>
    <w:rsid w:val="00FA140E"/>
    <w:rsid w:val="00FA1A8E"/>
    <w:rsid w:val="00FA1D1A"/>
    <w:rsid w:val="00FA3CBF"/>
    <w:rsid w:val="00FA53B3"/>
    <w:rsid w:val="00FA6B04"/>
    <w:rsid w:val="00FA7508"/>
    <w:rsid w:val="00FA7CFC"/>
    <w:rsid w:val="00FA7E7F"/>
    <w:rsid w:val="00FB0B73"/>
    <w:rsid w:val="00FB2191"/>
    <w:rsid w:val="00FB34E8"/>
    <w:rsid w:val="00FB462E"/>
    <w:rsid w:val="00FB5261"/>
    <w:rsid w:val="00FC1774"/>
    <w:rsid w:val="00FC25CD"/>
    <w:rsid w:val="00FC3390"/>
    <w:rsid w:val="00FC35BB"/>
    <w:rsid w:val="00FC4520"/>
    <w:rsid w:val="00FC51E8"/>
    <w:rsid w:val="00FC5BC7"/>
    <w:rsid w:val="00FC676F"/>
    <w:rsid w:val="00FC6AB5"/>
    <w:rsid w:val="00FD4285"/>
    <w:rsid w:val="00FD5427"/>
    <w:rsid w:val="00FD64FF"/>
    <w:rsid w:val="00FE14B1"/>
    <w:rsid w:val="00FE19DF"/>
    <w:rsid w:val="00FE1EBB"/>
    <w:rsid w:val="00FE24FC"/>
    <w:rsid w:val="00FE25CF"/>
    <w:rsid w:val="00FE3757"/>
    <w:rsid w:val="00FE60B8"/>
    <w:rsid w:val="00FE6E2D"/>
    <w:rsid w:val="00FE78B8"/>
    <w:rsid w:val="00FE79BB"/>
    <w:rsid w:val="00FF0085"/>
    <w:rsid w:val="00FF0ABB"/>
    <w:rsid w:val="00FF0D9C"/>
    <w:rsid w:val="00FF0F68"/>
    <w:rsid w:val="00FF19ED"/>
    <w:rsid w:val="00FF3547"/>
    <w:rsid w:val="00FF69E1"/>
    <w:rsid w:val="00FF75F3"/>
    <w:rsid w:val="01394384"/>
    <w:rsid w:val="01755D1C"/>
    <w:rsid w:val="018674FB"/>
    <w:rsid w:val="028C5FD1"/>
    <w:rsid w:val="02EE59E6"/>
    <w:rsid w:val="03151C6C"/>
    <w:rsid w:val="03266A83"/>
    <w:rsid w:val="038920C0"/>
    <w:rsid w:val="040B1EEC"/>
    <w:rsid w:val="04A86E9C"/>
    <w:rsid w:val="050D15FC"/>
    <w:rsid w:val="05F37BA0"/>
    <w:rsid w:val="067D16DB"/>
    <w:rsid w:val="06A921F5"/>
    <w:rsid w:val="07444E8B"/>
    <w:rsid w:val="0773621B"/>
    <w:rsid w:val="07CD0914"/>
    <w:rsid w:val="0883496F"/>
    <w:rsid w:val="0940627C"/>
    <w:rsid w:val="099177A0"/>
    <w:rsid w:val="09944D7E"/>
    <w:rsid w:val="09AC169F"/>
    <w:rsid w:val="09B05D5A"/>
    <w:rsid w:val="09BB7A83"/>
    <w:rsid w:val="09EF17FD"/>
    <w:rsid w:val="0A0C0AC2"/>
    <w:rsid w:val="0A4D76C9"/>
    <w:rsid w:val="0AAB4C95"/>
    <w:rsid w:val="0ABA5D0A"/>
    <w:rsid w:val="0ACA1D4E"/>
    <w:rsid w:val="0B1E11FD"/>
    <w:rsid w:val="0B3F4C17"/>
    <w:rsid w:val="0BF7078A"/>
    <w:rsid w:val="0C006B34"/>
    <w:rsid w:val="0C5A7452"/>
    <w:rsid w:val="0C94799C"/>
    <w:rsid w:val="0CCB6789"/>
    <w:rsid w:val="0D827A70"/>
    <w:rsid w:val="0D9419CA"/>
    <w:rsid w:val="0DAD26CD"/>
    <w:rsid w:val="0DE52D61"/>
    <w:rsid w:val="0EA02226"/>
    <w:rsid w:val="0EA178F7"/>
    <w:rsid w:val="0F673696"/>
    <w:rsid w:val="0FBA2C1F"/>
    <w:rsid w:val="0FF66479"/>
    <w:rsid w:val="101229CC"/>
    <w:rsid w:val="108C6184"/>
    <w:rsid w:val="138A56C5"/>
    <w:rsid w:val="13920429"/>
    <w:rsid w:val="13A06598"/>
    <w:rsid w:val="13C457DA"/>
    <w:rsid w:val="140722FE"/>
    <w:rsid w:val="14F41716"/>
    <w:rsid w:val="150101E2"/>
    <w:rsid w:val="154906FE"/>
    <w:rsid w:val="159F50F9"/>
    <w:rsid w:val="15AE169A"/>
    <w:rsid w:val="15C07C0B"/>
    <w:rsid w:val="162E4C09"/>
    <w:rsid w:val="16524D11"/>
    <w:rsid w:val="16912C05"/>
    <w:rsid w:val="16992D7B"/>
    <w:rsid w:val="16A74CF6"/>
    <w:rsid w:val="16C009F6"/>
    <w:rsid w:val="16D115CB"/>
    <w:rsid w:val="173110D3"/>
    <w:rsid w:val="1833101C"/>
    <w:rsid w:val="183C14A4"/>
    <w:rsid w:val="1892248F"/>
    <w:rsid w:val="19623020"/>
    <w:rsid w:val="19F65BA0"/>
    <w:rsid w:val="19FF7D14"/>
    <w:rsid w:val="1A055CFA"/>
    <w:rsid w:val="1A0B01B8"/>
    <w:rsid w:val="1A6B305F"/>
    <w:rsid w:val="1AB7582C"/>
    <w:rsid w:val="1AEE3431"/>
    <w:rsid w:val="1B3426D8"/>
    <w:rsid w:val="1BE45A00"/>
    <w:rsid w:val="1BF75485"/>
    <w:rsid w:val="1C4D1A29"/>
    <w:rsid w:val="1C660D43"/>
    <w:rsid w:val="1CF65701"/>
    <w:rsid w:val="1D2A61F2"/>
    <w:rsid w:val="1D4C12FC"/>
    <w:rsid w:val="1DED09BE"/>
    <w:rsid w:val="1E420852"/>
    <w:rsid w:val="1E4D568D"/>
    <w:rsid w:val="1E5B5031"/>
    <w:rsid w:val="1EC11344"/>
    <w:rsid w:val="1FB70BA1"/>
    <w:rsid w:val="20542DD9"/>
    <w:rsid w:val="207721EC"/>
    <w:rsid w:val="20B85678"/>
    <w:rsid w:val="21253EDE"/>
    <w:rsid w:val="213F02E5"/>
    <w:rsid w:val="22BE4B14"/>
    <w:rsid w:val="231C180B"/>
    <w:rsid w:val="237B394F"/>
    <w:rsid w:val="23B27F1F"/>
    <w:rsid w:val="24013396"/>
    <w:rsid w:val="24145DC9"/>
    <w:rsid w:val="24352172"/>
    <w:rsid w:val="245446C2"/>
    <w:rsid w:val="24DD664B"/>
    <w:rsid w:val="25C46313"/>
    <w:rsid w:val="260E7DAD"/>
    <w:rsid w:val="263B3A00"/>
    <w:rsid w:val="2696532A"/>
    <w:rsid w:val="26B76B93"/>
    <w:rsid w:val="27486482"/>
    <w:rsid w:val="27663FFA"/>
    <w:rsid w:val="27F41183"/>
    <w:rsid w:val="284B5B9C"/>
    <w:rsid w:val="28862DFE"/>
    <w:rsid w:val="28AF1860"/>
    <w:rsid w:val="28C725E0"/>
    <w:rsid w:val="292562E1"/>
    <w:rsid w:val="296373BD"/>
    <w:rsid w:val="296800E4"/>
    <w:rsid w:val="29E31DB9"/>
    <w:rsid w:val="2A230C0F"/>
    <w:rsid w:val="2A3C521A"/>
    <w:rsid w:val="2A444B66"/>
    <w:rsid w:val="2A5C3D79"/>
    <w:rsid w:val="2ADE7425"/>
    <w:rsid w:val="2B1028A5"/>
    <w:rsid w:val="2B6736B3"/>
    <w:rsid w:val="2BD674F0"/>
    <w:rsid w:val="2C801DEC"/>
    <w:rsid w:val="2DAD1113"/>
    <w:rsid w:val="2EAF7063"/>
    <w:rsid w:val="2EF567B3"/>
    <w:rsid w:val="2F4A3E87"/>
    <w:rsid w:val="2F750169"/>
    <w:rsid w:val="30306BE0"/>
    <w:rsid w:val="30615FCC"/>
    <w:rsid w:val="3061727C"/>
    <w:rsid w:val="309B51CA"/>
    <w:rsid w:val="30FD481D"/>
    <w:rsid w:val="31054D0F"/>
    <w:rsid w:val="3136338E"/>
    <w:rsid w:val="316A539D"/>
    <w:rsid w:val="32674CE9"/>
    <w:rsid w:val="32C043F9"/>
    <w:rsid w:val="336D6C7A"/>
    <w:rsid w:val="33881D35"/>
    <w:rsid w:val="338B53E0"/>
    <w:rsid w:val="3417580E"/>
    <w:rsid w:val="341D7537"/>
    <w:rsid w:val="34687FB9"/>
    <w:rsid w:val="353D58AC"/>
    <w:rsid w:val="35521EA1"/>
    <w:rsid w:val="358936B5"/>
    <w:rsid w:val="35C27D43"/>
    <w:rsid w:val="36706C9E"/>
    <w:rsid w:val="37B57671"/>
    <w:rsid w:val="385A7215"/>
    <w:rsid w:val="386A2FE0"/>
    <w:rsid w:val="387007A8"/>
    <w:rsid w:val="389D6CEE"/>
    <w:rsid w:val="389F1C37"/>
    <w:rsid w:val="392873C1"/>
    <w:rsid w:val="39680C91"/>
    <w:rsid w:val="399023AD"/>
    <w:rsid w:val="3A532D1B"/>
    <w:rsid w:val="3B2E24B9"/>
    <w:rsid w:val="3C550D66"/>
    <w:rsid w:val="3C583114"/>
    <w:rsid w:val="3CC26AD9"/>
    <w:rsid w:val="3CC277AC"/>
    <w:rsid w:val="3CD06101"/>
    <w:rsid w:val="3CFF75B3"/>
    <w:rsid w:val="3D34144B"/>
    <w:rsid w:val="3E793E29"/>
    <w:rsid w:val="3E991A51"/>
    <w:rsid w:val="3ECD0998"/>
    <w:rsid w:val="3EE12CA3"/>
    <w:rsid w:val="3EE502EB"/>
    <w:rsid w:val="3EEB0056"/>
    <w:rsid w:val="3F690816"/>
    <w:rsid w:val="40C06281"/>
    <w:rsid w:val="422E3EAE"/>
    <w:rsid w:val="42415DBE"/>
    <w:rsid w:val="427D6422"/>
    <w:rsid w:val="429B3F4E"/>
    <w:rsid w:val="42AA2714"/>
    <w:rsid w:val="42FC5255"/>
    <w:rsid w:val="439225D9"/>
    <w:rsid w:val="43E125BD"/>
    <w:rsid w:val="43F53C21"/>
    <w:rsid w:val="44043D27"/>
    <w:rsid w:val="44FD6BBE"/>
    <w:rsid w:val="456A5930"/>
    <w:rsid w:val="45EA2B19"/>
    <w:rsid w:val="46552487"/>
    <w:rsid w:val="46BB51D9"/>
    <w:rsid w:val="46BF5A44"/>
    <w:rsid w:val="46D47EBF"/>
    <w:rsid w:val="46FD5285"/>
    <w:rsid w:val="472B3236"/>
    <w:rsid w:val="47326F1F"/>
    <w:rsid w:val="477041E8"/>
    <w:rsid w:val="477A771E"/>
    <w:rsid w:val="47A32688"/>
    <w:rsid w:val="48357685"/>
    <w:rsid w:val="483919CC"/>
    <w:rsid w:val="484B4431"/>
    <w:rsid w:val="49B06998"/>
    <w:rsid w:val="49CE5B85"/>
    <w:rsid w:val="49E4410E"/>
    <w:rsid w:val="49EF3645"/>
    <w:rsid w:val="4A391899"/>
    <w:rsid w:val="4A4C3DC8"/>
    <w:rsid w:val="4A986E6F"/>
    <w:rsid w:val="4ABE0E16"/>
    <w:rsid w:val="4AD22605"/>
    <w:rsid w:val="4ADE7D87"/>
    <w:rsid w:val="4B02188F"/>
    <w:rsid w:val="4B0258BF"/>
    <w:rsid w:val="4BC36EBD"/>
    <w:rsid w:val="4BF84AF3"/>
    <w:rsid w:val="4C3125C2"/>
    <w:rsid w:val="4C7D088A"/>
    <w:rsid w:val="4C8F630A"/>
    <w:rsid w:val="4C985D43"/>
    <w:rsid w:val="4C9A533B"/>
    <w:rsid w:val="4CF30C9C"/>
    <w:rsid w:val="4D221AE1"/>
    <w:rsid w:val="4D2F4E7E"/>
    <w:rsid w:val="4D90177C"/>
    <w:rsid w:val="4DC93B2E"/>
    <w:rsid w:val="4DF261C1"/>
    <w:rsid w:val="4E283419"/>
    <w:rsid w:val="4E9407BC"/>
    <w:rsid w:val="4EA34345"/>
    <w:rsid w:val="4ECE2BF3"/>
    <w:rsid w:val="4EFA3BA1"/>
    <w:rsid w:val="4F4F2E4A"/>
    <w:rsid w:val="4F6C6EE1"/>
    <w:rsid w:val="4F8E2A12"/>
    <w:rsid w:val="4FCB2508"/>
    <w:rsid w:val="50407514"/>
    <w:rsid w:val="506635F4"/>
    <w:rsid w:val="50815314"/>
    <w:rsid w:val="50966E45"/>
    <w:rsid w:val="50BF0F02"/>
    <w:rsid w:val="51253231"/>
    <w:rsid w:val="5128309F"/>
    <w:rsid w:val="519746F2"/>
    <w:rsid w:val="51DB1C36"/>
    <w:rsid w:val="51F03EDC"/>
    <w:rsid w:val="51FA20CD"/>
    <w:rsid w:val="526A5F90"/>
    <w:rsid w:val="53BF3FFF"/>
    <w:rsid w:val="5431078B"/>
    <w:rsid w:val="54D75BC0"/>
    <w:rsid w:val="54EA5039"/>
    <w:rsid w:val="55A26922"/>
    <w:rsid w:val="55A51A49"/>
    <w:rsid w:val="561869C6"/>
    <w:rsid w:val="571266DB"/>
    <w:rsid w:val="576120A5"/>
    <w:rsid w:val="585C547F"/>
    <w:rsid w:val="587B3DC8"/>
    <w:rsid w:val="58AC4AB6"/>
    <w:rsid w:val="58B277B4"/>
    <w:rsid w:val="591B0F27"/>
    <w:rsid w:val="59267C07"/>
    <w:rsid w:val="593820B0"/>
    <w:rsid w:val="594262E2"/>
    <w:rsid w:val="595A5744"/>
    <w:rsid w:val="59600DE5"/>
    <w:rsid w:val="59631889"/>
    <w:rsid w:val="597C0024"/>
    <w:rsid w:val="59CF142D"/>
    <w:rsid w:val="59F12012"/>
    <w:rsid w:val="5A797E6E"/>
    <w:rsid w:val="5AB90244"/>
    <w:rsid w:val="5B4A18C1"/>
    <w:rsid w:val="5B6F1E2E"/>
    <w:rsid w:val="5B9936E0"/>
    <w:rsid w:val="5BC94BC4"/>
    <w:rsid w:val="5C23262D"/>
    <w:rsid w:val="5C2F3374"/>
    <w:rsid w:val="5C7C5AE3"/>
    <w:rsid w:val="5CE62D4B"/>
    <w:rsid w:val="5CEF1CB7"/>
    <w:rsid w:val="5D5C00BA"/>
    <w:rsid w:val="5D6C51EB"/>
    <w:rsid w:val="5DAE1F98"/>
    <w:rsid w:val="5DC05955"/>
    <w:rsid w:val="5DF50713"/>
    <w:rsid w:val="5EC55952"/>
    <w:rsid w:val="5F221AA2"/>
    <w:rsid w:val="5F237BD5"/>
    <w:rsid w:val="5F4245EF"/>
    <w:rsid w:val="5F6C7555"/>
    <w:rsid w:val="5FE07003"/>
    <w:rsid w:val="600F5B3D"/>
    <w:rsid w:val="603D2FEA"/>
    <w:rsid w:val="60C50F78"/>
    <w:rsid w:val="61293EBD"/>
    <w:rsid w:val="61926DDD"/>
    <w:rsid w:val="61976AD8"/>
    <w:rsid w:val="625B7097"/>
    <w:rsid w:val="626132A5"/>
    <w:rsid w:val="6285617C"/>
    <w:rsid w:val="62F61DED"/>
    <w:rsid w:val="62FA2B20"/>
    <w:rsid w:val="637C14D3"/>
    <w:rsid w:val="63AD0817"/>
    <w:rsid w:val="63C916EE"/>
    <w:rsid w:val="63DF2082"/>
    <w:rsid w:val="640E6139"/>
    <w:rsid w:val="65596420"/>
    <w:rsid w:val="65971726"/>
    <w:rsid w:val="659F3438"/>
    <w:rsid w:val="65F411A4"/>
    <w:rsid w:val="65FE4864"/>
    <w:rsid w:val="66111BFA"/>
    <w:rsid w:val="66154489"/>
    <w:rsid w:val="666C29E3"/>
    <w:rsid w:val="6711044C"/>
    <w:rsid w:val="67463125"/>
    <w:rsid w:val="67C87250"/>
    <w:rsid w:val="67E95E73"/>
    <w:rsid w:val="67EC0A2D"/>
    <w:rsid w:val="6876137A"/>
    <w:rsid w:val="68BD044F"/>
    <w:rsid w:val="68CA7FE1"/>
    <w:rsid w:val="68E52741"/>
    <w:rsid w:val="69273DA9"/>
    <w:rsid w:val="69977DE8"/>
    <w:rsid w:val="69AA52EA"/>
    <w:rsid w:val="69B30178"/>
    <w:rsid w:val="69E531FD"/>
    <w:rsid w:val="69FF4C4F"/>
    <w:rsid w:val="6A532744"/>
    <w:rsid w:val="6ADD43E2"/>
    <w:rsid w:val="6B252A70"/>
    <w:rsid w:val="6B4746D9"/>
    <w:rsid w:val="6B6C7605"/>
    <w:rsid w:val="6B8C2844"/>
    <w:rsid w:val="6BDA0978"/>
    <w:rsid w:val="6C627CF4"/>
    <w:rsid w:val="6C7534A2"/>
    <w:rsid w:val="6C7761AC"/>
    <w:rsid w:val="6CDD1929"/>
    <w:rsid w:val="6DB00193"/>
    <w:rsid w:val="6E104321"/>
    <w:rsid w:val="6E155850"/>
    <w:rsid w:val="6EB26729"/>
    <w:rsid w:val="6ED9046A"/>
    <w:rsid w:val="6F0A19B2"/>
    <w:rsid w:val="6F374660"/>
    <w:rsid w:val="6F654ECB"/>
    <w:rsid w:val="705F3A99"/>
    <w:rsid w:val="70A72700"/>
    <w:rsid w:val="71816674"/>
    <w:rsid w:val="71D9298D"/>
    <w:rsid w:val="720A7032"/>
    <w:rsid w:val="72147937"/>
    <w:rsid w:val="72162E3A"/>
    <w:rsid w:val="72852CF3"/>
    <w:rsid w:val="72D95D17"/>
    <w:rsid w:val="72FA0063"/>
    <w:rsid w:val="73280145"/>
    <w:rsid w:val="73285CCC"/>
    <w:rsid w:val="734B14E2"/>
    <w:rsid w:val="73E947AC"/>
    <w:rsid w:val="73EA6A8A"/>
    <w:rsid w:val="73EE5BB2"/>
    <w:rsid w:val="741816CD"/>
    <w:rsid w:val="741C282E"/>
    <w:rsid w:val="74416142"/>
    <w:rsid w:val="744B05C9"/>
    <w:rsid w:val="74755CF5"/>
    <w:rsid w:val="748F5F03"/>
    <w:rsid w:val="753716DB"/>
    <w:rsid w:val="7546753E"/>
    <w:rsid w:val="75A30107"/>
    <w:rsid w:val="75A75295"/>
    <w:rsid w:val="75BC5963"/>
    <w:rsid w:val="75FD7F37"/>
    <w:rsid w:val="763A3D57"/>
    <w:rsid w:val="763B3BFD"/>
    <w:rsid w:val="766278DB"/>
    <w:rsid w:val="76705668"/>
    <w:rsid w:val="76FC0FC2"/>
    <w:rsid w:val="77007082"/>
    <w:rsid w:val="770742C3"/>
    <w:rsid w:val="772C20D0"/>
    <w:rsid w:val="78102D98"/>
    <w:rsid w:val="78193DB2"/>
    <w:rsid w:val="7821553D"/>
    <w:rsid w:val="782C516E"/>
    <w:rsid w:val="78614BC5"/>
    <w:rsid w:val="78AE3C82"/>
    <w:rsid w:val="78BE706D"/>
    <w:rsid w:val="78C21D6A"/>
    <w:rsid w:val="78CF6AE6"/>
    <w:rsid w:val="78E60DAE"/>
    <w:rsid w:val="794A7F16"/>
    <w:rsid w:val="794F228D"/>
    <w:rsid w:val="7A0111D9"/>
    <w:rsid w:val="7A1A4F71"/>
    <w:rsid w:val="7A9F2AC6"/>
    <w:rsid w:val="7B15780F"/>
    <w:rsid w:val="7B8D4006"/>
    <w:rsid w:val="7BE4159D"/>
    <w:rsid w:val="7C944FA0"/>
    <w:rsid w:val="7CD56D84"/>
    <w:rsid w:val="7D19757F"/>
    <w:rsid w:val="7DB25F82"/>
    <w:rsid w:val="7E2C206C"/>
    <w:rsid w:val="7E817A8D"/>
    <w:rsid w:val="7F433F4A"/>
    <w:rsid w:val="7F71154D"/>
    <w:rsid w:val="7F7D05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0"/>
  </w:style>
  <w:style w:type="paragraph" w:styleId="3">
    <w:name w:val="Date"/>
    <w:basedOn w:val="1"/>
    <w:next w:val="1"/>
    <w:link w:val="20"/>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link w:val="16"/>
    <w:unhideWhenUsed/>
    <w:qFormat/>
    <w:uiPriority w:val="99"/>
    <w:pPr>
      <w:tabs>
        <w:tab w:val="center" w:pos="4153"/>
        <w:tab w:val="right" w:pos="8306"/>
      </w:tabs>
      <w:snapToGrid w:val="0"/>
      <w:jc w:val="left"/>
    </w:pPr>
    <w:rPr>
      <w:rFonts w:ascii="Calibri" w:hAnsi="Calibri"/>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Title"/>
    <w:basedOn w:val="1"/>
    <w:link w:val="15"/>
    <w:qFormat/>
    <w:uiPriority w:val="10"/>
    <w:pPr>
      <w:spacing w:before="240" w:after="60"/>
      <w:jc w:val="center"/>
      <w:outlineLvl w:val="0"/>
    </w:pPr>
    <w:rPr>
      <w:rFonts w:ascii="Arial" w:hAnsi="Arial" w:eastAsia="宋体" w:cs="Arial"/>
      <w:b/>
      <w:bCs/>
      <w:sz w:val="32"/>
      <w:szCs w:val="32"/>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页眉 Char"/>
    <w:basedOn w:val="11"/>
    <w:link w:val="6"/>
    <w:qFormat/>
    <w:uiPriority w:val="0"/>
    <w:rPr>
      <w:rFonts w:asciiTheme="minorHAnsi" w:hAnsiTheme="minorHAnsi" w:eastAsiaTheme="minorEastAsia" w:cstheme="minorBidi"/>
      <w:kern w:val="2"/>
      <w:sz w:val="18"/>
      <w:szCs w:val="18"/>
    </w:rPr>
  </w:style>
  <w:style w:type="character" w:customStyle="1" w:styleId="13">
    <w:name w:val="批注框文本 Char"/>
    <w:basedOn w:val="11"/>
    <w:link w:val="4"/>
    <w:qFormat/>
    <w:uiPriority w:val="0"/>
    <w:rPr>
      <w:rFonts w:asciiTheme="minorHAnsi" w:hAnsiTheme="minorHAnsi" w:eastAsiaTheme="minorEastAsia" w:cstheme="minorBidi"/>
      <w:kern w:val="2"/>
      <w:sz w:val="18"/>
      <w:szCs w:val="18"/>
    </w:rPr>
  </w:style>
  <w:style w:type="paragraph" w:styleId="14">
    <w:name w:val="List Paragraph"/>
    <w:basedOn w:val="1"/>
    <w:unhideWhenUsed/>
    <w:qFormat/>
    <w:uiPriority w:val="99"/>
    <w:pPr>
      <w:ind w:firstLine="420" w:firstLineChars="200"/>
    </w:pPr>
  </w:style>
  <w:style w:type="character" w:customStyle="1" w:styleId="15">
    <w:name w:val="标题 Char"/>
    <w:basedOn w:val="11"/>
    <w:link w:val="8"/>
    <w:qFormat/>
    <w:uiPriority w:val="10"/>
    <w:rPr>
      <w:rFonts w:ascii="Arial" w:hAnsi="Arial" w:cs="Arial"/>
      <w:b/>
      <w:bCs/>
      <w:kern w:val="2"/>
      <w:sz w:val="32"/>
      <w:szCs w:val="32"/>
    </w:rPr>
  </w:style>
  <w:style w:type="character" w:customStyle="1" w:styleId="16">
    <w:name w:val="页脚 Char"/>
    <w:basedOn w:val="11"/>
    <w:link w:val="5"/>
    <w:qFormat/>
    <w:uiPriority w:val="99"/>
    <w:rPr>
      <w:rFonts w:ascii="Calibri" w:hAnsi="Calibri" w:eastAsiaTheme="minorEastAsia" w:cstheme="minorBidi"/>
      <w:kern w:val="2"/>
      <w:sz w:val="18"/>
      <w:szCs w:val="18"/>
    </w:rPr>
  </w:style>
  <w:style w:type="character" w:customStyle="1" w:styleId="17">
    <w:name w:val="font11"/>
    <w:basedOn w:val="11"/>
    <w:qFormat/>
    <w:uiPriority w:val="0"/>
    <w:rPr>
      <w:rFonts w:hint="eastAsia" w:ascii="宋体" w:hAnsi="宋体" w:eastAsia="宋体" w:cs="宋体"/>
      <w:color w:val="000000"/>
      <w:sz w:val="20"/>
      <w:szCs w:val="20"/>
      <w:u w:val="none"/>
    </w:rPr>
  </w:style>
  <w:style w:type="character" w:customStyle="1" w:styleId="18">
    <w:name w:val="font31"/>
    <w:basedOn w:val="11"/>
    <w:qFormat/>
    <w:uiPriority w:val="0"/>
    <w:rPr>
      <w:rFonts w:hint="default" w:ascii="Arial" w:hAnsi="Arial" w:cs="Arial"/>
      <w:color w:val="000000"/>
      <w:sz w:val="20"/>
      <w:szCs w:val="20"/>
      <w:u w:val="none"/>
    </w:rPr>
  </w:style>
  <w:style w:type="paragraph" w:customStyle="1" w:styleId="19">
    <w:name w:val="Char Char Char2 Char Char Char Char"/>
    <w:basedOn w:val="1"/>
    <w:qFormat/>
    <w:uiPriority w:val="0"/>
    <w:pPr>
      <w:widowControl/>
      <w:spacing w:after="160" w:line="240" w:lineRule="exact"/>
      <w:jc w:val="left"/>
    </w:pPr>
    <w:rPr>
      <w:rFonts w:ascii="宋体" w:hAnsi="宋体" w:eastAsia="宋体" w:cs="Times New Roman"/>
      <w:kern w:val="0"/>
      <w:sz w:val="24"/>
    </w:rPr>
  </w:style>
  <w:style w:type="character" w:customStyle="1" w:styleId="20">
    <w:name w:val="日期 Char"/>
    <w:basedOn w:val="11"/>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chart" Target="charts/chart11.xml"/><Relationship Id="rId14" Type="http://schemas.openxmlformats.org/officeDocument/2006/relationships/chart" Target="charts/chart10.xml"/><Relationship Id="rId13" Type="http://schemas.openxmlformats.org/officeDocument/2006/relationships/chart" Target="charts/chart9.xml"/><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I:\2024&#24180;&#25191;&#34892;&#20998;&#26512;\2024&#24180;7&#26376;&#20221;\1.&#38142;&#25509;&#3492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I:\2024&#24180;&#25191;&#34892;&#20998;&#26512;\2024&#24180;5&#26376;&#20221;\1.&#38142;&#25509;&#34920;(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I:\2024&#24180;&#25191;&#34892;&#20998;&#26512;\2024&#24180;7&#26376;&#20221;\&#25552;&#20379;&#21508;&#24066;&#25968;&#25454;202407.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2024&#24180;&#25191;&#34892;&#20998;&#26512;\2024&#24180;7&#26376;&#20221;\1.&#38142;&#25509;&#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2024&#24180;&#25191;&#34892;&#20998;&#26512;\2024&#24180;5&#26376;&#20221;\&#31246;&#21153;&#36164;&#26009;\&#36130;&#25919;&#21475;&#2445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2024&#24180;&#25191;&#34892;&#20998;&#26512;\2024&#24180;5&#26376;&#20221;\&#31246;&#21153;&#36164;&#26009;\&#36130;&#25919;&#21475;&#24452;.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I:\2024&#24180;&#25191;&#34892;&#20998;&#26512;\2024&#24180;7&#26376;&#20221;\1.&#38142;&#25509;&#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I:\2024&#24180;&#25191;&#34892;&#20998;&#26512;\2024&#24180;7&#26376;&#20221;\1.&#38142;&#25509;&#349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I:\2024&#24180;6&#26376;&#20221;\1.&#38142;&#25509;&#349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I:\2024&#24180;&#25191;&#34892;&#20998;&#26512;\2024&#24180;7&#26376;&#20221;\1.&#38142;&#25509;&#3492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I:\2024&#24180;&#25191;&#34892;&#20998;&#26512;\2024&#24180;5&#26376;&#20221;\1.&#38142;&#25509;&#349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一般公共!$N$3</c:f>
              <c:strCache>
                <c:ptCount val="1"/>
                <c:pt idx="0">
                  <c:v>本  期</c:v>
                </c:pt>
              </c:strCache>
            </c:strRef>
          </c:tx>
          <c:invertIfNegative val="0"/>
          <c:dLbls>
            <c:delete val="1"/>
          </c:dLbls>
          <c:cat>
            <c:strRef>
              <c:f>一般公共!$M$4:$M$6</c:f>
              <c:strCache>
                <c:ptCount val="3"/>
                <c:pt idx="0">
                  <c:v>一般公共预算收入</c:v>
                </c:pt>
                <c:pt idx="1">
                  <c:v>税收收入</c:v>
                </c:pt>
                <c:pt idx="2">
                  <c:v>非税收入</c:v>
                </c:pt>
              </c:strCache>
            </c:strRef>
          </c:cat>
          <c:val>
            <c:numRef>
              <c:f>一般公共!$N$4:$N$6</c:f>
              <c:numCache>
                <c:formatCode>General</c:formatCode>
                <c:ptCount val="3"/>
                <c:pt idx="0">
                  <c:v>918521</c:v>
                </c:pt>
                <c:pt idx="1">
                  <c:v>642982</c:v>
                </c:pt>
                <c:pt idx="2">
                  <c:v>275539</c:v>
                </c:pt>
              </c:numCache>
            </c:numRef>
          </c:val>
        </c:ser>
        <c:ser>
          <c:idx val="1"/>
          <c:order val="1"/>
          <c:tx>
            <c:strRef>
              <c:f>一般公共!$O$3</c:f>
              <c:strCache>
                <c:ptCount val="1"/>
                <c:pt idx="0">
                  <c:v>同  期</c:v>
                </c:pt>
              </c:strCache>
            </c:strRef>
          </c:tx>
          <c:invertIfNegative val="0"/>
          <c:dLbls>
            <c:delete val="1"/>
          </c:dLbls>
          <c:cat>
            <c:strRef>
              <c:f>一般公共!$M$4:$M$6</c:f>
              <c:strCache>
                <c:ptCount val="3"/>
                <c:pt idx="0">
                  <c:v>一般公共预算收入</c:v>
                </c:pt>
                <c:pt idx="1">
                  <c:v>税收收入</c:v>
                </c:pt>
                <c:pt idx="2">
                  <c:v>非税收入</c:v>
                </c:pt>
              </c:strCache>
            </c:strRef>
          </c:cat>
          <c:val>
            <c:numRef>
              <c:f>一般公共!$O$4:$O$6</c:f>
              <c:numCache>
                <c:formatCode>General</c:formatCode>
                <c:ptCount val="3"/>
                <c:pt idx="0">
                  <c:v>873381</c:v>
                </c:pt>
                <c:pt idx="1">
                  <c:v>665389</c:v>
                </c:pt>
                <c:pt idx="2">
                  <c:v>207992</c:v>
                </c:pt>
              </c:numCache>
            </c:numRef>
          </c:val>
        </c:ser>
        <c:dLbls>
          <c:showLegendKey val="0"/>
          <c:showVal val="0"/>
          <c:showCatName val="0"/>
          <c:showSerName val="0"/>
          <c:showPercent val="0"/>
          <c:showBubbleSize val="0"/>
        </c:dLbls>
        <c:gapWidth val="150"/>
        <c:axId val="87166336"/>
        <c:axId val="51422336"/>
      </c:barChart>
      <c:catAx>
        <c:axId val="8716633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1422336"/>
        <c:crosses val="autoZero"/>
        <c:auto val="1"/>
        <c:lblAlgn val="ctr"/>
        <c:lblOffset val="100"/>
        <c:noMultiLvlLbl val="0"/>
      </c:catAx>
      <c:valAx>
        <c:axId val="51422336"/>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7166336"/>
        <c:crosses val="autoZero"/>
        <c:crossBetween val="between"/>
        <c:majorUnit val="200000"/>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00694444444444447"/>
          <c:y val="0.0578703703703704"/>
          <c:w val="0.977777777777779"/>
          <c:h val="0.930555555555556"/>
        </c:manualLayout>
      </c:layout>
      <c:pie3DChart>
        <c:varyColors val="1"/>
        <c:ser>
          <c:idx val="0"/>
          <c:order val="0"/>
          <c:explosion val="25"/>
          <c:dPt>
            <c:idx val="0"/>
            <c:bubble3D val="0"/>
          </c:dPt>
          <c:dPt>
            <c:idx val="1"/>
            <c:bubble3D val="0"/>
          </c:dPt>
          <c:dPt>
            <c:idx val="2"/>
            <c:bubble3D val="0"/>
          </c:dPt>
          <c:dPt>
            <c:idx val="3"/>
            <c:bubble3D val="0"/>
          </c:dPt>
          <c:dPt>
            <c:idx val="4"/>
            <c:bubble3D val="0"/>
          </c:dPt>
          <c:dPt>
            <c:idx val="5"/>
            <c:bubble3D val="0"/>
          </c:dPt>
          <c:dPt>
            <c:idx val="6"/>
            <c:bubble3D val="0"/>
          </c:dPt>
          <c:dLbls>
            <c:dLbl>
              <c:idx val="0"/>
              <c:layout>
                <c:manualLayout>
                  <c:x val="0.0392350174978131"/>
                  <c:y val="-0.0458876494604841"/>
                </c:manualLayout>
              </c:layout>
              <c:tx>
                <c:rich>
                  <a:bodyPr rot="0" spcFirstLastPara="0" vertOverflow="ellipsis" vert="horz" wrap="square" lIns="38100" tIns="19050" rIns="38100" bIns="19050" anchor="ctr" anchorCtr="1"/>
                  <a:lstStyle/>
                  <a:p>
                    <a:pPr>
                      <a:defRPr lang="zh-CN" sz="900" b="1" i="0" u="none" strike="noStrike" kern="1200" baseline="0">
                        <a:solidFill>
                          <a:schemeClr val="tx1"/>
                        </a:solidFill>
                        <a:latin typeface="+mn-lt"/>
                        <a:ea typeface="+mn-ea"/>
                        <a:cs typeface="+mn-cs"/>
                      </a:defRPr>
                    </a:pPr>
                    <a:r>
                      <a:rPr lang="zh-CN" altLang="en-US" sz="900" b="1"/>
                      <a:t>文旅体传媒  </a:t>
                    </a:r>
                    <a:r>
                      <a:rPr lang="en-US" altLang="zh-CN" sz="900" b="1"/>
                      <a:t>0.04%</a:t>
                    </a:r>
                    <a:endParaRPr lang="en-US" altLang="en-US" sz="900" b="1"/>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32391841644794"/>
                  <c:y val="0.122685185185185"/>
                </c:manualLayout>
              </c:layout>
              <c:tx>
                <c:rich>
                  <a:bodyPr rot="0" spcFirstLastPara="0" vertOverflow="ellipsis" vert="horz" wrap="square" lIns="38100" tIns="19050" rIns="38100" bIns="19050" anchor="ctr" anchorCtr="1"/>
                  <a:lstStyle/>
                  <a:p>
                    <a:pPr>
                      <a:defRPr lang="zh-CN" sz="900" b="1" i="0" u="none" strike="noStrike" kern="1200" baseline="0">
                        <a:solidFill>
                          <a:schemeClr val="tx1"/>
                        </a:solidFill>
                        <a:latin typeface="+mn-lt"/>
                        <a:ea typeface="+mn-ea"/>
                        <a:cs typeface="+mn-cs"/>
                      </a:defRPr>
                    </a:pPr>
                    <a:r>
                      <a:rPr lang="zh-CN" altLang="en-US" sz="900" b="1"/>
                      <a:t>城乡社区 </a:t>
                    </a:r>
                    <a:r>
                      <a:rPr lang="en-US" altLang="zh-CN" sz="900" b="1"/>
                      <a:t>12.2%</a:t>
                    </a:r>
                    <a:endParaRPr lang="en-US" altLang="en-US" sz="900" b="1"/>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a:defRPr lang="zh-CN" sz="900" b="1" i="0" u="none" strike="noStrike" kern="1200" baseline="0">
                        <a:solidFill>
                          <a:schemeClr val="tx1"/>
                        </a:solidFill>
                        <a:latin typeface="+mn-lt"/>
                        <a:ea typeface="+mn-ea"/>
                        <a:cs typeface="+mn-cs"/>
                      </a:defRPr>
                    </a:pPr>
                    <a:r>
                      <a:rPr lang="zh-CN" altLang="en-US" sz="900" b="1"/>
                      <a:t>农林水 </a:t>
                    </a:r>
                    <a:r>
                      <a:rPr lang="en-US" altLang="zh-CN" sz="900" b="1"/>
                      <a:t>0.8%</a:t>
                    </a:r>
                    <a:endParaRPr lang="en-US" altLang="en-US" sz="900" b="1"/>
                  </a:p>
                </c:rich>
              </c:tx>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0.0529189632545935"/>
                  <c:y val="0.07319954797317"/>
                </c:manualLayout>
              </c:layout>
              <c:tx>
                <c:rich>
                  <a:bodyPr rot="0" spcFirstLastPara="0" vertOverflow="ellipsis" vert="horz" wrap="square" lIns="38100" tIns="19050" rIns="38100" bIns="19050" anchor="ctr" anchorCtr="1"/>
                  <a:lstStyle/>
                  <a:p>
                    <a:pPr>
                      <a:defRPr lang="zh-CN" sz="900" b="1" i="0" u="none" strike="noStrike" kern="1200" baseline="0">
                        <a:solidFill>
                          <a:schemeClr val="tx1"/>
                        </a:solidFill>
                        <a:latin typeface="+mn-lt"/>
                        <a:ea typeface="+mn-ea"/>
                        <a:cs typeface="+mn-cs"/>
                      </a:defRPr>
                    </a:pPr>
                    <a:r>
                      <a:rPr lang="zh-CN" altLang="en-US" sz="900" b="1"/>
                      <a:t>交通运输  </a:t>
                    </a:r>
                    <a:r>
                      <a:rPr lang="en-US" altLang="zh-CN" sz="900" b="1"/>
                      <a:t>0.1%</a:t>
                    </a:r>
                    <a:endParaRPr lang="en-US" altLang="en-US" sz="900" b="1"/>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186483705161856"/>
                  <c:y val="-0.270260279965006"/>
                </c:manualLayout>
              </c:layout>
              <c:tx>
                <c:rich>
                  <a:bodyPr rot="0" spcFirstLastPara="0" vertOverflow="ellipsis" vert="horz" wrap="square" lIns="38100" tIns="19050" rIns="38100" bIns="19050" anchor="ctr" anchorCtr="1"/>
                  <a:lstStyle/>
                  <a:p>
                    <a:pPr>
                      <a:defRPr lang="zh-CN" sz="900" b="1" i="0" u="none" strike="noStrike" kern="1200" baseline="0">
                        <a:solidFill>
                          <a:schemeClr val="tx1"/>
                        </a:solidFill>
                        <a:latin typeface="+mn-lt"/>
                        <a:ea typeface="+mn-ea"/>
                        <a:cs typeface="+mn-cs"/>
                      </a:defRPr>
                    </a:pPr>
                    <a:r>
                      <a:rPr lang="zh-CN" altLang="en-US" sz="900" b="1"/>
                      <a:t>其他支出</a:t>
                    </a:r>
                    <a:endParaRPr lang="en-US" altLang="zh-CN" sz="900" b="1"/>
                  </a:p>
                  <a:p>
                    <a:pPr>
                      <a:defRPr lang="zh-CN" sz="900" b="1" i="0" u="none" strike="noStrike" kern="1200" baseline="0">
                        <a:solidFill>
                          <a:schemeClr val="tx1"/>
                        </a:solidFill>
                        <a:latin typeface="+mn-lt"/>
                        <a:ea typeface="+mn-ea"/>
                        <a:cs typeface="+mn-cs"/>
                      </a:defRPr>
                    </a:pPr>
                    <a:r>
                      <a:rPr lang="en-US" altLang="zh-CN" sz="900" b="1"/>
                      <a:t>60.9%</a:t>
                    </a:r>
                    <a:endParaRPr lang="en-US" altLang="en-US" sz="900" b="1"/>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869641294838147"/>
                  <c:y val="0.0748126275882189"/>
                </c:manualLayout>
              </c:layout>
              <c:tx>
                <c:rich>
                  <a:bodyPr rot="0" spcFirstLastPara="0" vertOverflow="ellipsis" vert="horz" wrap="square" lIns="38100" tIns="19050" rIns="38100" bIns="19050" anchor="ctr" anchorCtr="1"/>
                  <a:lstStyle/>
                  <a:p>
                    <a:pPr>
                      <a:defRPr lang="zh-CN" sz="900" b="1" i="0" u="none" strike="noStrike" kern="1200" baseline="0">
                        <a:solidFill>
                          <a:schemeClr val="tx1"/>
                        </a:solidFill>
                        <a:latin typeface="+mn-lt"/>
                        <a:ea typeface="+mn-ea"/>
                        <a:cs typeface="+mn-cs"/>
                      </a:defRPr>
                    </a:pPr>
                    <a:r>
                      <a:rPr lang="zh-CN" altLang="en-US" sz="900" b="1"/>
                      <a:t>债务付息支出</a:t>
                    </a:r>
                    <a:endParaRPr lang="en-US" altLang="zh-CN" sz="900" b="1"/>
                  </a:p>
                  <a:p>
                    <a:pPr>
                      <a:defRPr lang="zh-CN" sz="900" b="1" i="0" u="none" strike="noStrike" kern="1200" baseline="0">
                        <a:solidFill>
                          <a:schemeClr val="tx1"/>
                        </a:solidFill>
                        <a:latin typeface="+mn-lt"/>
                        <a:ea typeface="+mn-ea"/>
                        <a:cs typeface="+mn-cs"/>
                      </a:defRPr>
                    </a:pPr>
                    <a:r>
                      <a:rPr lang="en-US" altLang="zh-CN" sz="900" b="1"/>
                      <a:t>25.8%</a:t>
                    </a:r>
                    <a:endParaRPr lang="en-US" altLang="en-US" sz="900" b="1"/>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198959317585303"/>
                  <c:y val="-0.0273691309419656"/>
                </c:manualLayout>
              </c:layout>
              <c:tx>
                <c:rich>
                  <a:bodyPr rot="0" spcFirstLastPara="0" vertOverflow="ellipsis" vert="horz" wrap="square" lIns="38100" tIns="19050" rIns="38100" bIns="19050" anchor="ctr" anchorCtr="1"/>
                  <a:lstStyle/>
                  <a:p>
                    <a:pPr>
                      <a:defRPr lang="zh-CN" sz="900" b="1" i="0" u="none" strike="noStrike" kern="1200" baseline="0">
                        <a:solidFill>
                          <a:schemeClr val="tx1"/>
                        </a:solidFill>
                        <a:latin typeface="+mn-lt"/>
                        <a:ea typeface="+mn-ea"/>
                        <a:cs typeface="+mn-cs"/>
                      </a:defRPr>
                    </a:pPr>
                    <a:r>
                      <a:rPr lang="zh-CN" altLang="en-US" sz="900" b="1"/>
                      <a:t>债务发行费用 </a:t>
                    </a:r>
                    <a:r>
                      <a:rPr lang="en-US" altLang="zh-CN" sz="900" b="1"/>
                      <a:t>0.005%</a:t>
                    </a:r>
                    <a:endParaRPr lang="en-US" altLang="en-US" sz="900" b="1"/>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基支出!$I$5:$I$11</c:f>
              <c:strCache>
                <c:ptCount val="7"/>
                <c:pt idx="0">
                  <c:v>文化旅游体育与传媒支出</c:v>
                </c:pt>
                <c:pt idx="1">
                  <c:v>城乡社区支出</c:v>
                </c:pt>
                <c:pt idx="2">
                  <c:v>农林水支出</c:v>
                </c:pt>
                <c:pt idx="3">
                  <c:v>交通运输支出</c:v>
                </c:pt>
                <c:pt idx="4">
                  <c:v>其他支出</c:v>
                </c:pt>
                <c:pt idx="5">
                  <c:v>债务付息支出</c:v>
                </c:pt>
                <c:pt idx="6">
                  <c:v>债务发行费用支出</c:v>
                </c:pt>
              </c:strCache>
            </c:strRef>
          </c:cat>
          <c:val>
            <c:numRef>
              <c:f>基支出!$J$5:$J$11</c:f>
              <c:numCache>
                <c:formatCode>General</c:formatCode>
                <c:ptCount val="7"/>
                <c:pt idx="0">
                  <c:v>25</c:v>
                </c:pt>
                <c:pt idx="1">
                  <c:v>15975</c:v>
                </c:pt>
                <c:pt idx="2">
                  <c:v>1312</c:v>
                </c:pt>
                <c:pt idx="3">
                  <c:v>208</c:v>
                </c:pt>
                <c:pt idx="4">
                  <c:v>99944</c:v>
                </c:pt>
                <c:pt idx="5">
                  <c:v>32667</c:v>
                </c:pt>
                <c:pt idx="6">
                  <c:v>8</c:v>
                </c:pt>
              </c:numCache>
            </c:numRef>
          </c:val>
        </c:ser>
        <c:dLbls>
          <c:showLegendKey val="0"/>
          <c:showVal val="1"/>
          <c:showCatName val="0"/>
          <c:showSerName val="0"/>
          <c:showPercent val="0"/>
          <c:showBubbleSize val="0"/>
        </c:dLbls>
      </c:pie3DChart>
    </c:plotArea>
    <c:plotVisOnly val="1"/>
    <c:dispBlanksAs val="zero"/>
    <c:showDLblsOverMax val="0"/>
  </c:chart>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'全省支出 (3)'!$B$5</c:f>
              <c:strCache>
                <c:ptCount val="1"/>
                <c:pt idx="0">
                  <c:v>辽宁省</c:v>
                </c:pt>
              </c:strCache>
            </c:strRef>
          </c:tx>
          <c:invertIfNegative val="0"/>
          <c:dLbls>
            <c:delete val="1"/>
          </c:dLbls>
          <c:cat>
            <c:strRef>
              <c:f>'全省支出 (3)'!$A$6:$A$16</c:f>
              <c:strCache>
                <c:ptCount val="9"/>
                <c:pt idx="0">
                  <c:v>　国防</c:v>
                </c:pt>
                <c:pt idx="1">
                  <c:v>　公共安全</c:v>
                </c:pt>
                <c:pt idx="2">
                  <c:v>  教育</c:v>
                </c:pt>
                <c:pt idx="3">
                  <c:v>  科学技术</c:v>
                </c:pt>
                <c:pt idx="4">
                  <c:v>  社会保障</c:v>
                </c:pt>
                <c:pt idx="5">
                  <c:v>  卫生健康</c:v>
                </c:pt>
                <c:pt idx="6">
                  <c:v>　节能环保</c:v>
                </c:pt>
                <c:pt idx="7">
                  <c:v>  资源勘探</c:v>
                </c:pt>
                <c:pt idx="8">
                  <c:v>  商业服务</c:v>
                </c:pt>
              </c:strCache>
            </c:strRef>
          </c:cat>
          <c:val>
            <c:numRef>
              <c:f>'全省支出 (3)'!$B$6:$B$16</c:f>
              <c:numCache>
                <c:formatCode>0.0</c:formatCode>
                <c:ptCount val="9"/>
                <c:pt idx="0">
                  <c:v>-8.3</c:v>
                </c:pt>
                <c:pt idx="1">
                  <c:v>-1.4</c:v>
                </c:pt>
                <c:pt idx="2">
                  <c:v>-3.2</c:v>
                </c:pt>
                <c:pt idx="3">
                  <c:v>-4.5</c:v>
                </c:pt>
                <c:pt idx="4">
                  <c:v>5.5</c:v>
                </c:pt>
                <c:pt idx="5">
                  <c:v>17</c:v>
                </c:pt>
                <c:pt idx="6">
                  <c:v>33.5</c:v>
                </c:pt>
                <c:pt idx="7">
                  <c:v>11.4</c:v>
                </c:pt>
                <c:pt idx="8">
                  <c:v>-0.6</c:v>
                </c:pt>
              </c:numCache>
            </c:numRef>
          </c:val>
        </c:ser>
        <c:ser>
          <c:idx val="1"/>
          <c:order val="1"/>
          <c:tx>
            <c:strRef>
              <c:f>'全省支出 (3)'!$C$5</c:f>
              <c:strCache>
                <c:ptCount val="1"/>
                <c:pt idx="0">
                  <c:v/>
                </c:pt>
              </c:strCache>
            </c:strRef>
          </c:tx>
          <c:invertIfNegative val="0"/>
          <c:dLbls>
            <c:delete val="1"/>
          </c:dLbls>
          <c:cat>
            <c:strRef>
              <c:f>'全省支出 (3)'!$A$6:$A$16</c:f>
              <c:strCache>
                <c:ptCount val="9"/>
                <c:pt idx="0">
                  <c:v>　国防</c:v>
                </c:pt>
                <c:pt idx="1">
                  <c:v>　公共安全</c:v>
                </c:pt>
                <c:pt idx="2">
                  <c:v>  教育</c:v>
                </c:pt>
                <c:pt idx="3">
                  <c:v>  科学技术</c:v>
                </c:pt>
                <c:pt idx="4">
                  <c:v>  社会保障</c:v>
                </c:pt>
                <c:pt idx="5">
                  <c:v>  卫生健康</c:v>
                </c:pt>
                <c:pt idx="6">
                  <c:v>　节能环保</c:v>
                </c:pt>
                <c:pt idx="7">
                  <c:v>  资源勘探</c:v>
                </c:pt>
                <c:pt idx="8">
                  <c:v>  商业服务</c:v>
                </c:pt>
              </c:strCache>
            </c:strRef>
          </c:cat>
          <c:val>
            <c:numRef>
              <c:f>'全省支出 (3)'!$C$6:$C$16</c:f>
            </c:numRef>
          </c:val>
        </c:ser>
        <c:ser>
          <c:idx val="2"/>
          <c:order val="2"/>
          <c:tx>
            <c:strRef>
              <c:f>'全省支出 (3)'!$D$5</c:f>
              <c:strCache>
                <c:ptCount val="1"/>
                <c:pt idx="0">
                  <c:v>盘锦市</c:v>
                </c:pt>
              </c:strCache>
            </c:strRef>
          </c:tx>
          <c:invertIfNegative val="0"/>
          <c:dLbls>
            <c:delete val="1"/>
          </c:dLbls>
          <c:cat>
            <c:strRef>
              <c:f>'全省支出 (3)'!$A$6:$A$16</c:f>
              <c:strCache>
                <c:ptCount val="9"/>
                <c:pt idx="0">
                  <c:v>　国防</c:v>
                </c:pt>
                <c:pt idx="1">
                  <c:v>　公共安全</c:v>
                </c:pt>
                <c:pt idx="2">
                  <c:v>  教育</c:v>
                </c:pt>
                <c:pt idx="3">
                  <c:v>  科学技术</c:v>
                </c:pt>
                <c:pt idx="4">
                  <c:v>  社会保障</c:v>
                </c:pt>
                <c:pt idx="5">
                  <c:v>  卫生健康</c:v>
                </c:pt>
                <c:pt idx="6">
                  <c:v>　节能环保</c:v>
                </c:pt>
                <c:pt idx="7">
                  <c:v>  资源勘探</c:v>
                </c:pt>
                <c:pt idx="8">
                  <c:v>  商业服务</c:v>
                </c:pt>
              </c:strCache>
            </c:strRef>
          </c:cat>
          <c:val>
            <c:numRef>
              <c:f>'全省支出 (3)'!$D$6:$D$16</c:f>
              <c:numCache>
                <c:formatCode>0.0_ </c:formatCode>
                <c:ptCount val="9"/>
                <c:pt idx="0">
                  <c:v>20.3</c:v>
                </c:pt>
                <c:pt idx="1">
                  <c:v>6.9</c:v>
                </c:pt>
                <c:pt idx="2">
                  <c:v>-2.1</c:v>
                </c:pt>
                <c:pt idx="3">
                  <c:v>87.8</c:v>
                </c:pt>
                <c:pt idx="4">
                  <c:v>14.1</c:v>
                </c:pt>
                <c:pt idx="5">
                  <c:v>17.9</c:v>
                </c:pt>
                <c:pt idx="6">
                  <c:v>67.3</c:v>
                </c:pt>
                <c:pt idx="7">
                  <c:v>80.2</c:v>
                </c:pt>
                <c:pt idx="8">
                  <c:v>18.8</c:v>
                </c:pt>
              </c:numCache>
            </c:numRef>
          </c:val>
        </c:ser>
        <c:dLbls>
          <c:showLegendKey val="0"/>
          <c:showVal val="0"/>
          <c:showCatName val="0"/>
          <c:showSerName val="0"/>
          <c:showPercent val="0"/>
          <c:showBubbleSize val="0"/>
        </c:dLbls>
        <c:gapWidth val="150"/>
        <c:axId val="51971200"/>
        <c:axId val="51972736"/>
      </c:barChart>
      <c:catAx>
        <c:axId val="5197120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1972736"/>
        <c:crosses val="autoZero"/>
        <c:auto val="1"/>
        <c:lblAlgn val="ctr"/>
        <c:lblOffset val="100"/>
        <c:noMultiLvlLbl val="0"/>
      </c:catAx>
      <c:valAx>
        <c:axId val="51972736"/>
        <c:scaling>
          <c:orientation val="minMax"/>
        </c:scaling>
        <c:delete val="0"/>
        <c:axPos val="l"/>
        <c:majorGridlines/>
        <c:numFmt formatCode="0.0"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1971200"/>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649140835484"/>
          <c:y val="0.0741412485764052"/>
          <c:w val="0.839863982208101"/>
          <c:h val="0.490278554259643"/>
        </c:manualLayout>
      </c:layout>
      <c:barChart>
        <c:barDir val="col"/>
        <c:grouping val="clustered"/>
        <c:varyColors val="0"/>
        <c:ser>
          <c:idx val="0"/>
          <c:order val="0"/>
          <c:tx>
            <c:strRef>
              <c:f>表1!$K$4</c:f>
              <c:strCache>
                <c:ptCount val="1"/>
                <c:pt idx="0">
                  <c:v>本  期</c:v>
                </c:pt>
              </c:strCache>
            </c:strRef>
          </c:tx>
          <c:invertIfNegative val="0"/>
          <c:dLbls>
            <c:delete val="1"/>
          </c:dLbls>
          <c:cat>
            <c:strRef>
              <c:f>表1!$J$5:$J$10</c:f>
              <c:strCache>
                <c:ptCount val="6"/>
                <c:pt idx="0">
                  <c:v>  市本级</c:v>
                </c:pt>
                <c:pt idx="1">
                  <c:v>  盘山县</c:v>
                </c:pt>
                <c:pt idx="2">
                  <c:v>  双台子区</c:v>
                </c:pt>
                <c:pt idx="3">
                  <c:v>  兴隆台区</c:v>
                </c:pt>
                <c:pt idx="4">
                  <c:v>  大洼区</c:v>
                </c:pt>
                <c:pt idx="5">
                  <c:v>  辽滨经开区</c:v>
                </c:pt>
              </c:strCache>
            </c:strRef>
          </c:cat>
          <c:val>
            <c:numRef>
              <c:f>表1!$K$5:$K$10</c:f>
              <c:numCache>
                <c:formatCode>General</c:formatCode>
                <c:ptCount val="6"/>
                <c:pt idx="0">
                  <c:v>342156</c:v>
                </c:pt>
                <c:pt idx="1">
                  <c:v>71433</c:v>
                </c:pt>
                <c:pt idx="2">
                  <c:v>33145</c:v>
                </c:pt>
                <c:pt idx="3">
                  <c:v>146024</c:v>
                </c:pt>
                <c:pt idx="4">
                  <c:v>75424</c:v>
                </c:pt>
                <c:pt idx="5">
                  <c:v>250339</c:v>
                </c:pt>
              </c:numCache>
            </c:numRef>
          </c:val>
        </c:ser>
        <c:ser>
          <c:idx val="1"/>
          <c:order val="1"/>
          <c:tx>
            <c:strRef>
              <c:f>表1!$L$4</c:f>
              <c:strCache>
                <c:ptCount val="1"/>
                <c:pt idx="0">
                  <c:v>同  期</c:v>
                </c:pt>
              </c:strCache>
            </c:strRef>
          </c:tx>
          <c:invertIfNegative val="0"/>
          <c:dLbls>
            <c:delete val="1"/>
          </c:dLbls>
          <c:cat>
            <c:strRef>
              <c:f>表1!$J$5:$J$10</c:f>
              <c:strCache>
                <c:ptCount val="6"/>
                <c:pt idx="0">
                  <c:v>  市本级</c:v>
                </c:pt>
                <c:pt idx="1">
                  <c:v>  盘山县</c:v>
                </c:pt>
                <c:pt idx="2">
                  <c:v>  双台子区</c:v>
                </c:pt>
                <c:pt idx="3">
                  <c:v>  兴隆台区</c:v>
                </c:pt>
                <c:pt idx="4">
                  <c:v>  大洼区</c:v>
                </c:pt>
                <c:pt idx="5">
                  <c:v>  辽滨经开区</c:v>
                </c:pt>
              </c:strCache>
            </c:strRef>
          </c:cat>
          <c:val>
            <c:numRef>
              <c:f>表1!$L$5:$L$10</c:f>
              <c:numCache>
                <c:formatCode>General</c:formatCode>
                <c:ptCount val="6"/>
                <c:pt idx="0">
                  <c:v>326063</c:v>
                </c:pt>
                <c:pt idx="1">
                  <c:v>62216</c:v>
                </c:pt>
                <c:pt idx="2">
                  <c:v>32736</c:v>
                </c:pt>
                <c:pt idx="3">
                  <c:v>138435</c:v>
                </c:pt>
                <c:pt idx="4">
                  <c:v>66324</c:v>
                </c:pt>
                <c:pt idx="5">
                  <c:v>247607</c:v>
                </c:pt>
              </c:numCache>
            </c:numRef>
          </c:val>
        </c:ser>
        <c:dLbls>
          <c:showLegendKey val="0"/>
          <c:showVal val="0"/>
          <c:showCatName val="0"/>
          <c:showSerName val="0"/>
          <c:showPercent val="0"/>
          <c:showBubbleSize val="0"/>
        </c:dLbls>
        <c:gapWidth val="150"/>
        <c:axId val="51436544"/>
        <c:axId val="51516160"/>
      </c:barChart>
      <c:catAx>
        <c:axId val="5143654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1516160"/>
        <c:crosses val="autoZero"/>
        <c:auto val="1"/>
        <c:lblAlgn val="ctr"/>
        <c:lblOffset val="100"/>
        <c:noMultiLvlLbl val="0"/>
      </c:catAx>
      <c:valAx>
        <c:axId val="51516160"/>
        <c:scaling>
          <c:orientation val="minMax"/>
          <c:max val="350000"/>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1436544"/>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00972222222222222"/>
          <c:y val="0.0347222222222222"/>
          <c:w val="0.972222222222222"/>
          <c:h val="0.925925925925924"/>
        </c:manualLayout>
      </c:layout>
      <c:pie3DChart>
        <c:varyColors val="1"/>
        <c:ser>
          <c:idx val="0"/>
          <c:order val="0"/>
          <c:explosion val="25"/>
          <c:dPt>
            <c:idx val="0"/>
            <c:bubble3D val="0"/>
          </c:dPt>
          <c:dPt>
            <c:idx val="1"/>
            <c:bubble3D val="0"/>
          </c:dPt>
          <c:dPt>
            <c:idx val="2"/>
            <c:bubble3D val="0"/>
          </c:dPt>
          <c:dLbls>
            <c:dLbl>
              <c:idx val="0"/>
              <c:layout>
                <c:manualLayout>
                  <c:x val="0.102567585301837"/>
                  <c:y val="0.00578703703703704"/>
                </c:manualLayout>
              </c:layout>
              <c:tx>
                <c:rich>
                  <a:bodyPr rot="0" spcFirstLastPara="0" vertOverflow="ellipsis" vert="horz" wrap="square" lIns="38100" tIns="19050" rIns="38100" bIns="19050" anchor="ctr" anchorCtr="1"/>
                  <a:lstStyle/>
                  <a:p>
                    <a:pPr>
                      <a:defRPr lang="zh-CN" sz="1200" b="1" i="0" u="none" strike="noStrike" kern="1200" baseline="0">
                        <a:solidFill>
                          <a:schemeClr val="tx1"/>
                        </a:solidFill>
                        <a:latin typeface="+mn-lt"/>
                        <a:ea typeface="+mn-ea"/>
                        <a:cs typeface="+mn-cs"/>
                      </a:defRPr>
                    </a:pPr>
                    <a:r>
                      <a:rPr lang="zh-CN" altLang="en-US" sz="1200" b="1"/>
                      <a:t>第一产业 </a:t>
                    </a:r>
                    <a:r>
                      <a:rPr lang="en-US" altLang="zh-CN" sz="1200" b="1"/>
                      <a:t>1.5%</a:t>
                    </a:r>
                    <a:endParaRPr lang="en-US" altLang="en-US" sz="1200" b="1"/>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291416666666668"/>
                  <c:y val="-0.182181393992418"/>
                </c:manualLayout>
              </c:layout>
              <c:tx>
                <c:rich>
                  <a:bodyPr rot="0" spcFirstLastPara="0" vertOverflow="ellipsis" vert="horz" wrap="square" lIns="38100" tIns="19050" rIns="38100" bIns="19050" anchor="ctr" anchorCtr="1"/>
                  <a:lstStyle/>
                  <a:p>
                    <a:pPr>
                      <a:defRPr lang="zh-CN" sz="1200" b="1" i="0" u="none" strike="noStrike" kern="1200" baseline="0">
                        <a:solidFill>
                          <a:schemeClr val="tx1"/>
                        </a:solidFill>
                        <a:latin typeface="+mn-lt"/>
                        <a:ea typeface="+mn-ea"/>
                        <a:cs typeface="+mn-cs"/>
                      </a:defRPr>
                    </a:pPr>
                    <a:r>
                      <a:rPr lang="zh-CN" altLang="en-US" sz="1200" b="1"/>
                      <a:t>第二产业</a:t>
                    </a:r>
                    <a:endParaRPr lang="en-US" altLang="zh-CN" sz="1200" b="1"/>
                  </a:p>
                  <a:p>
                    <a:pPr>
                      <a:defRPr lang="zh-CN" sz="1200" b="1" i="0" u="none" strike="noStrike" kern="1200" baseline="0">
                        <a:solidFill>
                          <a:schemeClr val="tx1"/>
                        </a:solidFill>
                        <a:latin typeface="+mn-lt"/>
                        <a:ea typeface="+mn-ea"/>
                        <a:cs typeface="+mn-cs"/>
                      </a:defRPr>
                    </a:pPr>
                    <a:r>
                      <a:rPr lang="en-US" altLang="zh-CN" sz="1200" b="1"/>
                      <a:t>65.5%</a:t>
                    </a:r>
                    <a:endParaRPr lang="en-US" altLang="en-US" sz="1200" b="1"/>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a:defRPr lang="zh-CN" sz="1200" b="1" i="0" u="none" strike="noStrike" kern="1200" baseline="0">
                        <a:solidFill>
                          <a:schemeClr val="tx1"/>
                        </a:solidFill>
                        <a:latin typeface="+mn-lt"/>
                        <a:ea typeface="+mn-ea"/>
                        <a:cs typeface="+mn-cs"/>
                      </a:defRPr>
                    </a:pPr>
                    <a:r>
                      <a:rPr lang="zh-CN" altLang="en-US" sz="1200" b="1"/>
                      <a:t>第三产业</a:t>
                    </a:r>
                    <a:endParaRPr lang="en-US" altLang="zh-CN" sz="1200" b="1"/>
                  </a:p>
                  <a:p>
                    <a:pPr>
                      <a:defRPr lang="zh-CN" sz="1200" b="1" i="0" u="none" strike="noStrike" kern="1200" baseline="0">
                        <a:solidFill>
                          <a:schemeClr val="tx1"/>
                        </a:solidFill>
                        <a:latin typeface="+mn-lt"/>
                        <a:ea typeface="+mn-ea"/>
                        <a:cs typeface="+mn-cs"/>
                      </a:defRPr>
                    </a:pPr>
                    <a:r>
                      <a:rPr lang="en-US" altLang="zh-CN" sz="1200" b="1"/>
                      <a:t>33.0%</a:t>
                    </a:r>
                    <a:endParaRPr lang="en-US" altLang="en-US" sz="1200" b="1"/>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'2 (2)'!$I$10:$I$12</c:f>
              <c:strCache>
                <c:ptCount val="3"/>
                <c:pt idx="0">
                  <c:v>第一产业</c:v>
                </c:pt>
                <c:pt idx="1">
                  <c:v>第二产业</c:v>
                </c:pt>
                <c:pt idx="2">
                  <c:v>第三产业</c:v>
                </c:pt>
              </c:strCache>
            </c:strRef>
          </c:cat>
          <c:val>
            <c:numRef>
              <c:f>'2 (2)'!$J$10:$J$12</c:f>
              <c:numCache>
                <c:formatCode>0_ </c:formatCode>
                <c:ptCount val="3"/>
                <c:pt idx="0">
                  <c:v>9568.58283894107</c:v>
                </c:pt>
                <c:pt idx="1">
                  <c:v>297126.250189962</c:v>
                </c:pt>
                <c:pt idx="2">
                  <c:v>158293.166971097</c:v>
                </c:pt>
              </c:numCache>
            </c:numRef>
          </c:val>
        </c:ser>
        <c:dLbls>
          <c:showLegendKey val="0"/>
          <c:showVal val="1"/>
          <c:showCatName val="0"/>
          <c:showSerName val="0"/>
          <c:showPercent val="0"/>
          <c:showBubbleSize val="0"/>
        </c:dLbls>
      </c:pie3DChart>
    </c:plotArea>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00833333333333335"/>
          <c:y val="0.0509259259259259"/>
          <c:w val="0.991666666666667"/>
          <c:h val="0.949074074074078"/>
        </c:manualLayout>
      </c:layout>
      <c:pie3DChart>
        <c:varyColors val="1"/>
        <c:ser>
          <c:idx val="0"/>
          <c:order val="0"/>
          <c:explosion val="25"/>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Lbls>
            <c:dLbl>
              <c:idx val="0"/>
              <c:layout/>
              <c:tx>
                <c:rich>
                  <a:bodyPr rot="0" spcFirstLastPara="0" vertOverflow="ellipsis" vert="horz" wrap="square" lIns="38100" tIns="19050" rIns="38100" bIns="19050" anchor="ctr" anchorCtr="1"/>
                  <a:lstStyle/>
                  <a:p>
                    <a:pPr>
                      <a:defRPr lang="zh-CN" sz="1000" b="1" i="0" u="none" strike="noStrike" kern="1200" baseline="0">
                        <a:solidFill>
                          <a:schemeClr val="tx1"/>
                        </a:solidFill>
                        <a:latin typeface="+mn-lt"/>
                        <a:ea typeface="+mn-ea"/>
                        <a:cs typeface="+mn-cs"/>
                      </a:defRPr>
                    </a:pPr>
                    <a:r>
                      <a:rPr lang="zh-CN" altLang="en-US" b="1"/>
                      <a:t>石油和天然气开采业</a:t>
                    </a:r>
                    <a:endParaRPr lang="en-US" altLang="zh-CN" b="1"/>
                  </a:p>
                  <a:p>
                    <a:pPr>
                      <a:defRPr lang="zh-CN" sz="1000" b="1" i="0" u="none" strike="noStrike" kern="1200" baseline="0">
                        <a:solidFill>
                          <a:schemeClr val="tx1"/>
                        </a:solidFill>
                        <a:latin typeface="+mn-lt"/>
                        <a:ea typeface="+mn-ea"/>
                        <a:cs typeface="+mn-cs"/>
                      </a:defRPr>
                    </a:pPr>
                    <a:r>
                      <a:rPr lang="en-US" altLang="en-US" b="1"/>
                      <a:t>2</a:t>
                    </a:r>
                    <a:r>
                      <a:rPr lang="en-US" altLang="zh-CN" b="1"/>
                      <a:t>4.2%</a:t>
                    </a:r>
                    <a:endParaRPr lang="en-US" altLang="en-US" b="1"/>
                  </a:p>
                </c:rich>
              </c:tx>
              <c:dLblPos val="bestFit"/>
              <c:showLegendKey val="0"/>
              <c:showVal val="1"/>
              <c:showCatName val="0"/>
              <c:showSerName val="0"/>
              <c:showPercent val="0"/>
              <c:showBubbleSize val="0"/>
              <c:extLst>
                <c:ext xmlns:c15="http://schemas.microsoft.com/office/drawing/2012/chart" uri="{CE6537A1-D6FC-4f65-9D91-7224C49458BB}">
                  <c15:layout>
                    <c:manualLayout>
                      <c:w val="0.278055022392834"/>
                      <c:h val="0.171617161716172"/>
                    </c:manualLayout>
                  </c15:layout>
                </c:ext>
              </c:extLst>
            </c:dLbl>
            <c:dLbl>
              <c:idx val="1"/>
              <c:layout>
                <c:manualLayout>
                  <c:x val="0"/>
                  <c:y val="-0.119567671126831"/>
                </c:manualLayout>
              </c:layout>
              <c:tx>
                <c:rich>
                  <a:bodyPr rot="0" spcFirstLastPara="0" vertOverflow="ellipsis" vert="horz" wrap="square" lIns="38100" tIns="19050" rIns="38100" bIns="19050" anchor="ctr" anchorCtr="1"/>
                  <a:lstStyle/>
                  <a:p>
                    <a:pPr>
                      <a:defRPr lang="zh-CN" sz="1000" b="1" i="0" u="none" strike="noStrike" kern="1200" baseline="0">
                        <a:solidFill>
                          <a:schemeClr val="tx1"/>
                        </a:solidFill>
                        <a:latin typeface="+mn-lt"/>
                        <a:ea typeface="+mn-ea"/>
                        <a:cs typeface="+mn-cs"/>
                      </a:defRPr>
                    </a:pPr>
                    <a:r>
                      <a:rPr lang="zh-CN" altLang="en-US"/>
                      <a:t>开采专业及辅助性活动</a:t>
                    </a:r>
                    <a:endParaRPr lang="en-US" altLang="zh-CN"/>
                  </a:p>
                  <a:p>
                    <a:pPr>
                      <a:defRPr lang="zh-CN" sz="1000" b="1" i="0" u="none" strike="noStrike" kern="1200" baseline="0">
                        <a:solidFill>
                          <a:schemeClr val="tx1"/>
                        </a:solidFill>
                        <a:latin typeface="+mn-lt"/>
                        <a:ea typeface="+mn-ea"/>
                        <a:cs typeface="+mn-cs"/>
                      </a:defRPr>
                    </a:pPr>
                    <a:r>
                      <a:rPr lang="en-US" altLang="zh-CN"/>
                      <a:t>4.4%</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15:layout>
                    <c:manualLayout>
                      <c:w val="0.28253358925144"/>
                      <c:h val="0.171617161716172"/>
                    </c:manualLayout>
                  </c15:layout>
                </c:ext>
              </c:extLst>
            </c:dLbl>
            <c:dLbl>
              <c:idx val="2"/>
              <c:layout/>
              <c:tx>
                <c:rich>
                  <a:bodyPr rot="0" spcFirstLastPara="0" vertOverflow="ellipsis" vert="horz" wrap="square" lIns="38100" tIns="19050" rIns="38100" bIns="19050" anchor="ctr" anchorCtr="1"/>
                  <a:lstStyle/>
                  <a:p>
                    <a:pPr>
                      <a:defRPr lang="zh-CN" sz="1000" b="1" i="0" u="none" strike="noStrike" kern="1200" baseline="0">
                        <a:solidFill>
                          <a:schemeClr val="tx1"/>
                        </a:solidFill>
                        <a:latin typeface="+mn-lt"/>
                        <a:ea typeface="+mn-ea"/>
                        <a:cs typeface="+mn-cs"/>
                      </a:defRPr>
                    </a:pPr>
                    <a:r>
                      <a:rPr lang="zh-CN" altLang="en-US"/>
                      <a:t>石油、煤炭及其他燃料加工业</a:t>
                    </a:r>
                    <a:endParaRPr lang="en-US" altLang="zh-CN"/>
                  </a:p>
                  <a:p>
                    <a:pPr>
                      <a:defRPr lang="zh-CN" sz="1000" b="1" i="0" u="none" strike="noStrike" kern="1200" baseline="0">
                        <a:solidFill>
                          <a:schemeClr val="tx1"/>
                        </a:solidFill>
                        <a:latin typeface="+mn-lt"/>
                        <a:ea typeface="+mn-ea"/>
                        <a:cs typeface="+mn-cs"/>
                      </a:defRPr>
                    </a:pPr>
                    <a:r>
                      <a:rPr lang="en-US" altLang="zh-CN"/>
                      <a:t>16.3%</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0.135330502113339"/>
                  <c:y val="-0.196017428514505"/>
                </c:manualLayout>
              </c:layout>
              <c:tx>
                <c:rich>
                  <a:bodyPr rot="0" spcFirstLastPara="0" vertOverflow="ellipsis" vert="horz" wrap="square" lIns="38100" tIns="19050" rIns="38100" bIns="19050" anchor="ctr" anchorCtr="1"/>
                  <a:lstStyle/>
                  <a:p>
                    <a:pPr>
                      <a:defRPr lang="zh-CN" sz="1000" b="1" i="0" u="none" strike="noStrike" kern="1200" baseline="0">
                        <a:solidFill>
                          <a:schemeClr val="tx1"/>
                        </a:solidFill>
                        <a:latin typeface="+mn-lt"/>
                        <a:ea typeface="+mn-ea"/>
                        <a:cs typeface="+mn-cs"/>
                      </a:defRPr>
                    </a:pPr>
                    <a:r>
                      <a:rPr lang="zh-CN" altLang="en-US"/>
                      <a:t>化学原料和化学制品制造业</a:t>
                    </a:r>
                    <a:endParaRPr lang="en-US" altLang="zh-CN"/>
                  </a:p>
                  <a:p>
                    <a:pPr>
                      <a:defRPr lang="zh-CN" sz="1000" b="1" i="0" u="none" strike="noStrike" kern="1200" baseline="0">
                        <a:solidFill>
                          <a:schemeClr val="tx1"/>
                        </a:solidFill>
                        <a:latin typeface="+mn-lt"/>
                        <a:ea typeface="+mn-ea"/>
                        <a:cs typeface="+mn-cs"/>
                      </a:defRPr>
                    </a:pPr>
                    <a:r>
                      <a:rPr lang="en-US" altLang="zh-CN"/>
                      <a:t>5.8%</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tx>
                <c:rich>
                  <a:bodyPr rot="0" spcFirstLastPara="0" vertOverflow="ellipsis" vert="horz" wrap="square" lIns="38100" tIns="19050" rIns="38100" bIns="19050" anchor="ctr" anchorCtr="1"/>
                  <a:lstStyle/>
                  <a:p>
                    <a:pPr>
                      <a:defRPr lang="zh-CN" sz="1000" b="1" i="0" u="none" strike="noStrike" kern="1200" baseline="0">
                        <a:solidFill>
                          <a:schemeClr val="tx1"/>
                        </a:solidFill>
                        <a:latin typeface="+mn-lt"/>
                        <a:ea typeface="+mn-ea"/>
                        <a:cs typeface="+mn-cs"/>
                      </a:defRPr>
                    </a:pPr>
                    <a:r>
                      <a:rPr lang="zh-CN" altLang="en-US"/>
                      <a:t>建筑业</a:t>
                    </a:r>
                    <a:endParaRPr lang="en-US" altLang="zh-CN"/>
                  </a:p>
                  <a:p>
                    <a:pPr>
                      <a:defRPr lang="zh-CN" sz="1000" b="1" i="0" u="none" strike="noStrike" kern="1200" baseline="0">
                        <a:solidFill>
                          <a:schemeClr val="tx1"/>
                        </a:solidFill>
                        <a:latin typeface="+mn-lt"/>
                        <a:ea typeface="+mn-ea"/>
                        <a:cs typeface="+mn-cs"/>
                      </a:defRPr>
                    </a:pPr>
                    <a:r>
                      <a:rPr lang="en-US" altLang="zh-CN"/>
                      <a:t>6.5%</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5"/>
              <c:layout/>
              <c:tx>
                <c:rich>
                  <a:bodyPr rot="0" spcFirstLastPara="0" vertOverflow="ellipsis" vert="horz" wrap="square" lIns="38100" tIns="19050" rIns="38100" bIns="19050" anchor="ctr" anchorCtr="1"/>
                  <a:lstStyle/>
                  <a:p>
                    <a:pPr>
                      <a:defRPr lang="zh-CN" sz="1000" b="1" i="0" u="none" strike="noStrike" kern="1200" baseline="0">
                        <a:solidFill>
                          <a:schemeClr val="tx1"/>
                        </a:solidFill>
                        <a:latin typeface="+mn-lt"/>
                        <a:ea typeface="+mn-ea"/>
                        <a:cs typeface="+mn-cs"/>
                      </a:defRPr>
                    </a:pPr>
                    <a:r>
                      <a:rPr lang="zh-CN" altLang="en-US"/>
                      <a:t>批发和零售业</a:t>
                    </a:r>
                    <a:endParaRPr lang="en-US" altLang="zh-CN"/>
                  </a:p>
                  <a:p>
                    <a:pPr>
                      <a:defRPr lang="zh-CN" sz="1000" b="1" i="0" u="none" strike="noStrike" kern="1200" baseline="0">
                        <a:solidFill>
                          <a:schemeClr val="tx1"/>
                        </a:solidFill>
                        <a:latin typeface="+mn-lt"/>
                        <a:ea typeface="+mn-ea"/>
                        <a:cs typeface="+mn-cs"/>
                      </a:defRPr>
                    </a:pPr>
                    <a:r>
                      <a:rPr lang="en-US" altLang="en-US"/>
                      <a:t>8.5</a:t>
                    </a:r>
                    <a:r>
                      <a:rPr lang="en-US" altLang="zh-CN"/>
                      <a:t>%</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6"/>
              <c:layout>
                <c:manualLayout>
                  <c:x val="0.0715035188739603"/>
                  <c:y val="-0.163358194087126"/>
                </c:manualLayout>
              </c:layout>
              <c:tx>
                <c:rich>
                  <a:bodyPr rot="0" spcFirstLastPara="0" vertOverflow="ellipsis" vert="horz" wrap="square" lIns="38100" tIns="19050" rIns="38100" bIns="19050" anchor="ctr" anchorCtr="1"/>
                  <a:lstStyle/>
                  <a:p>
                    <a:pPr>
                      <a:defRPr lang="zh-CN" sz="1000" b="1" i="0" u="none" strike="noStrike" kern="1200" baseline="0">
                        <a:solidFill>
                          <a:schemeClr val="tx1"/>
                        </a:solidFill>
                        <a:latin typeface="+mn-lt"/>
                        <a:ea typeface="+mn-ea"/>
                        <a:cs typeface="+mn-cs"/>
                      </a:defRPr>
                    </a:pPr>
                    <a:r>
                      <a:rPr lang="zh-CN" altLang="en-US"/>
                      <a:t>金融业</a:t>
                    </a:r>
                    <a:endParaRPr lang="en-US" altLang="zh-CN"/>
                  </a:p>
                  <a:p>
                    <a:pPr>
                      <a:defRPr lang="zh-CN" sz="1000" b="1" i="0" u="none" strike="noStrike" kern="1200" baseline="0">
                        <a:solidFill>
                          <a:schemeClr val="tx1"/>
                        </a:solidFill>
                        <a:latin typeface="+mn-lt"/>
                        <a:ea typeface="+mn-ea"/>
                        <a:cs typeface="+mn-cs"/>
                      </a:defRPr>
                    </a:pPr>
                    <a:r>
                      <a:rPr lang="en-US" altLang="en-US"/>
                      <a:t>5.3</a:t>
                    </a:r>
                    <a:r>
                      <a:rPr lang="en-US" altLang="zh-CN"/>
                      <a:t>%</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395393474088296"/>
                  <c:y val="-0.151377909444488"/>
                </c:manualLayout>
              </c:layout>
              <c:tx>
                <c:rich>
                  <a:bodyPr rot="0" spcFirstLastPara="0" vertOverflow="ellipsis" vert="horz" wrap="square" lIns="38100" tIns="19050" rIns="38100" bIns="19050" anchor="ctr" anchorCtr="1"/>
                  <a:lstStyle/>
                  <a:p>
                    <a:pPr>
                      <a:defRPr lang="zh-CN" sz="1000" b="1" i="0" u="none" strike="noStrike" kern="1200" baseline="0">
                        <a:solidFill>
                          <a:schemeClr val="tx1"/>
                        </a:solidFill>
                        <a:latin typeface="+mn-lt"/>
                        <a:ea typeface="+mn-ea"/>
                        <a:cs typeface="+mn-cs"/>
                      </a:defRPr>
                    </a:pPr>
                    <a:r>
                      <a:rPr lang="zh-CN" altLang="en-US"/>
                      <a:t>房地产业</a:t>
                    </a:r>
                    <a:endParaRPr lang="en-US" altLang="zh-CN"/>
                  </a:p>
                  <a:p>
                    <a:pPr>
                      <a:defRPr lang="zh-CN" sz="1000" b="1" i="0" u="none" strike="noStrike" kern="1200" baseline="0">
                        <a:solidFill>
                          <a:schemeClr val="tx1"/>
                        </a:solidFill>
                        <a:latin typeface="+mn-lt"/>
                        <a:ea typeface="+mn-ea"/>
                        <a:cs typeface="+mn-cs"/>
                      </a:defRPr>
                    </a:pPr>
                    <a:r>
                      <a:rPr lang="en-US" altLang="en-US"/>
                      <a:t>7</a:t>
                    </a:r>
                    <a:r>
                      <a:rPr lang="en-US" altLang="zh-CN"/>
                      <a:t>.3%</a:t>
                    </a:r>
                    <a:r>
                      <a:rPr lang="en-US" altLang="en-US"/>
                      <a:t> </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824646727220522"/>
                  <c:y val="0.0649404468005856"/>
                </c:manualLayout>
              </c:layout>
              <c:tx>
                <c:rich>
                  <a:bodyPr rot="0" spcFirstLastPara="0" vertOverflow="ellipsis" vert="horz" wrap="square" lIns="38100" tIns="19050" rIns="38100" bIns="19050" anchor="ctr" anchorCtr="1"/>
                  <a:lstStyle/>
                  <a:p>
                    <a:pPr>
                      <a:defRPr lang="zh-CN" sz="1000" b="1" i="0" u="none" strike="noStrike" kern="1200" baseline="0">
                        <a:solidFill>
                          <a:schemeClr val="tx1"/>
                        </a:solidFill>
                        <a:latin typeface="+mn-lt"/>
                        <a:ea typeface="+mn-ea"/>
                        <a:cs typeface="+mn-cs"/>
                      </a:defRPr>
                    </a:pPr>
                    <a:r>
                      <a:rPr lang="zh-CN" altLang="en-US"/>
                      <a:t>其他产业行业</a:t>
                    </a:r>
                    <a:endParaRPr lang="en-US" altLang="zh-CN"/>
                  </a:p>
                  <a:p>
                    <a:pPr>
                      <a:defRPr lang="zh-CN" sz="1000" b="1" i="0" u="none" strike="noStrike" kern="1200" baseline="0">
                        <a:solidFill>
                          <a:schemeClr val="tx1"/>
                        </a:solidFill>
                        <a:latin typeface="+mn-lt"/>
                        <a:ea typeface="+mn-ea"/>
                        <a:cs typeface="+mn-cs"/>
                      </a:defRPr>
                    </a:pPr>
                    <a:r>
                      <a:rPr lang="en-US" altLang="zh-CN"/>
                      <a:t>21.7%</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'2 (2)'!$B$46:$B$54</c:f>
              <c:strCache>
                <c:ptCount val="9"/>
                <c:pt idx="0">
                  <c:v>石油和天然气开采业  </c:v>
                </c:pt>
                <c:pt idx="1">
                  <c:v>开采专业及辅助性活动</c:v>
                </c:pt>
                <c:pt idx="2">
                  <c:v>    13.石油、煤炭及其他燃料加工业</c:v>
                </c:pt>
                <c:pt idx="3">
                  <c:v>    14.化学原料和化学制品制造业</c:v>
                </c:pt>
                <c:pt idx="4">
                  <c:v>五、建筑业</c:v>
                </c:pt>
                <c:pt idx="5">
                  <c:v>六、批发和零售业</c:v>
                </c:pt>
                <c:pt idx="6">
                  <c:v>十、金融业</c:v>
                </c:pt>
                <c:pt idx="7">
                  <c:v>十一、房地产业</c:v>
                </c:pt>
                <c:pt idx="8">
                  <c:v>其他产业行业</c:v>
                </c:pt>
              </c:strCache>
            </c:strRef>
          </c:cat>
          <c:val>
            <c:numRef>
              <c:f>'2 (2)'!$C$46:$C$54</c:f>
              <c:numCache>
                <c:formatCode>#,##0_ </c:formatCode>
                <c:ptCount val="9"/>
                <c:pt idx="0">
                  <c:v>106951.575698591</c:v>
                </c:pt>
                <c:pt idx="1">
                  <c:v>21069.2349645086</c:v>
                </c:pt>
                <c:pt idx="2">
                  <c:v>64801.0160526911</c:v>
                </c:pt>
                <c:pt idx="3">
                  <c:v>30035.7349302744</c:v>
                </c:pt>
                <c:pt idx="4">
                  <c:v>33553.2582196386</c:v>
                </c:pt>
                <c:pt idx="5">
                  <c:v>39675.3068786148</c:v>
                </c:pt>
                <c:pt idx="6">
                  <c:v>24862.2290866226</c:v>
                </c:pt>
                <c:pt idx="7">
                  <c:v>35065.234900386</c:v>
                </c:pt>
                <c:pt idx="8">
                  <c:v>108974.409268673</c:v>
                </c:pt>
              </c:numCache>
            </c:numRef>
          </c:val>
        </c:ser>
        <c:dLbls>
          <c:showLegendKey val="0"/>
          <c:showVal val="1"/>
          <c:showCatName val="0"/>
          <c:showSerName val="0"/>
          <c:showPercent val="0"/>
          <c:showBubbleSize val="0"/>
        </c:dLbls>
      </c:pie3DChart>
    </c:plotArea>
    <c:plotVisOnly val="1"/>
    <c:dispBlanksAs val="zero"/>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00972222222222222"/>
          <c:y val="0.0566448801742918"/>
          <c:w val="0.988888888888889"/>
          <c:h val="0.939814814814816"/>
        </c:manualLayout>
      </c:layout>
      <c:pie3DChart>
        <c:varyColors val="1"/>
        <c:ser>
          <c:idx val="0"/>
          <c:order val="0"/>
          <c:explosion val="27"/>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Lbls>
            <c:dLbl>
              <c:idx val="0"/>
              <c:layout/>
              <c:tx>
                <c:rich>
                  <a:bodyPr rot="0" spcFirstLastPara="0" vertOverflow="ellipsis" vert="horz" wrap="square" lIns="38100" tIns="19050" rIns="38100" bIns="19050" anchor="ctr" anchorCtr="1"/>
                  <a:lstStyle/>
                  <a:p>
                    <a:pPr>
                      <a:defRPr lang="zh-CN" sz="1000" b="1" i="0" u="none" strike="noStrike" kern="1200" baseline="0">
                        <a:solidFill>
                          <a:schemeClr val="tx1"/>
                        </a:solidFill>
                        <a:latin typeface="+mn-lt"/>
                        <a:ea typeface="+mn-ea"/>
                        <a:cs typeface="+mn-cs"/>
                      </a:defRPr>
                    </a:pPr>
                    <a:r>
                      <a:rPr lang="zh-CN" altLang="en-US" sz="1000" b="1"/>
                      <a:t>增值税</a:t>
                    </a:r>
                    <a:endParaRPr lang="en-US" altLang="zh-CN" sz="1000" b="1"/>
                  </a:p>
                  <a:p>
                    <a:pPr>
                      <a:defRPr lang="zh-CN" sz="1000" b="1" i="0" u="none" strike="noStrike" kern="1200" baseline="0">
                        <a:solidFill>
                          <a:schemeClr val="tx1"/>
                        </a:solidFill>
                        <a:latin typeface="+mn-lt"/>
                        <a:ea typeface="+mn-ea"/>
                        <a:cs typeface="+mn-cs"/>
                      </a:defRPr>
                    </a:pPr>
                    <a:r>
                      <a:rPr lang="en-US" altLang="en-US" sz="1000" b="1"/>
                      <a:t>41.6</a:t>
                    </a:r>
                    <a:r>
                      <a:rPr lang="en-US" altLang="zh-CN" sz="1000" b="1"/>
                      <a:t>%</a:t>
                    </a:r>
                    <a:endParaRPr lang="en-US" altLang="en-US" sz="1000" b="1"/>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0.0725459317585304"/>
                  <c:y val="-0.196206405571853"/>
                </c:manualLayout>
              </c:layout>
              <c:tx>
                <c:rich>
                  <a:bodyPr rot="0" spcFirstLastPara="0" vertOverflow="ellipsis" vert="horz" wrap="square" lIns="38100" tIns="19050" rIns="38100" bIns="19050" anchor="ctr" anchorCtr="1"/>
                  <a:lstStyle/>
                  <a:p>
                    <a:pPr>
                      <a:defRPr lang="zh-CN" sz="1000" b="1" i="0" u="none" strike="noStrike" kern="1200" baseline="0">
                        <a:solidFill>
                          <a:schemeClr val="tx1"/>
                        </a:solidFill>
                        <a:latin typeface="+mn-lt"/>
                        <a:ea typeface="+mn-ea"/>
                        <a:cs typeface="+mn-cs"/>
                      </a:defRPr>
                    </a:pPr>
                    <a:r>
                      <a:rPr lang="zh-CN" altLang="en-US" sz="1000" b="1"/>
                      <a:t>企业所得税</a:t>
                    </a:r>
                    <a:endParaRPr lang="en-US" altLang="zh-CN" sz="1000" b="1"/>
                  </a:p>
                  <a:p>
                    <a:pPr>
                      <a:defRPr lang="zh-CN" sz="1000" b="1" i="0" u="none" strike="noStrike" kern="1200" baseline="0">
                        <a:solidFill>
                          <a:schemeClr val="tx1"/>
                        </a:solidFill>
                        <a:latin typeface="+mn-lt"/>
                        <a:ea typeface="+mn-ea"/>
                        <a:cs typeface="+mn-cs"/>
                      </a:defRPr>
                    </a:pPr>
                    <a:r>
                      <a:rPr lang="en-US" altLang="en-US" sz="1000" b="1"/>
                      <a:t>7.2</a:t>
                    </a:r>
                    <a:r>
                      <a:rPr lang="en-US" altLang="zh-CN" sz="1000" b="1"/>
                      <a:t>%</a:t>
                    </a:r>
                    <a:endParaRPr lang="en-US" altLang="en-US" sz="1000" b="1"/>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659623797025378"/>
                  <c:y val="-0.343549654332424"/>
                </c:manualLayout>
              </c:layout>
              <c:tx>
                <c:rich>
                  <a:bodyPr rot="0" spcFirstLastPara="0" vertOverflow="ellipsis" vert="horz" wrap="square" lIns="38100" tIns="19050" rIns="38100" bIns="19050" anchor="ctr" anchorCtr="1"/>
                  <a:lstStyle/>
                  <a:p>
                    <a:pPr>
                      <a:defRPr lang="zh-CN" sz="1000" b="1" i="0" u="none" strike="noStrike" kern="1200" baseline="0">
                        <a:solidFill>
                          <a:schemeClr val="tx1"/>
                        </a:solidFill>
                        <a:latin typeface="+mn-lt"/>
                        <a:ea typeface="+mn-ea"/>
                        <a:cs typeface="+mn-cs"/>
                      </a:defRPr>
                    </a:pPr>
                    <a:r>
                      <a:rPr lang="zh-CN" altLang="en-US" sz="1000" b="1"/>
                      <a:t>个人所得税</a:t>
                    </a:r>
                    <a:endParaRPr lang="en-US" altLang="zh-CN" sz="1000" b="1"/>
                  </a:p>
                  <a:p>
                    <a:pPr>
                      <a:defRPr lang="zh-CN" sz="1000" b="1" i="0" u="none" strike="noStrike" kern="1200" baseline="0">
                        <a:solidFill>
                          <a:schemeClr val="tx1"/>
                        </a:solidFill>
                        <a:latin typeface="+mn-lt"/>
                        <a:ea typeface="+mn-ea"/>
                        <a:cs typeface="+mn-cs"/>
                      </a:defRPr>
                    </a:pPr>
                    <a:r>
                      <a:rPr lang="en-US" altLang="en-US" sz="1000" b="1"/>
                      <a:t>2.2</a:t>
                    </a:r>
                    <a:r>
                      <a:rPr lang="en-US" altLang="zh-CN" sz="1000" b="1"/>
                      <a:t>%</a:t>
                    </a:r>
                    <a:endParaRPr lang="en-US" altLang="en-US" sz="1000" b="1"/>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tx>
                <c:rich>
                  <a:bodyPr rot="0" spcFirstLastPara="0" vertOverflow="ellipsis" vert="horz" wrap="square" lIns="38100" tIns="19050" rIns="38100" bIns="19050" anchor="ctr" anchorCtr="1"/>
                  <a:lstStyle/>
                  <a:p>
                    <a:pPr>
                      <a:defRPr lang="zh-CN" sz="1000" b="1" i="0" u="none" strike="noStrike" kern="1200" baseline="0">
                        <a:solidFill>
                          <a:schemeClr val="tx1"/>
                        </a:solidFill>
                        <a:latin typeface="+mn-lt"/>
                        <a:ea typeface="+mn-ea"/>
                        <a:cs typeface="+mn-cs"/>
                      </a:defRPr>
                    </a:pPr>
                    <a:r>
                      <a:rPr lang="zh-CN" altLang="en-US" sz="1000" b="1"/>
                      <a:t>资源税</a:t>
                    </a:r>
                    <a:endParaRPr lang="en-US" altLang="zh-CN" sz="1000" b="1"/>
                  </a:p>
                  <a:p>
                    <a:pPr>
                      <a:defRPr lang="zh-CN" sz="1000" b="1" i="0" u="none" strike="noStrike" kern="1200" baseline="0">
                        <a:solidFill>
                          <a:schemeClr val="tx1"/>
                        </a:solidFill>
                        <a:latin typeface="+mn-lt"/>
                        <a:ea typeface="+mn-ea"/>
                        <a:cs typeface="+mn-cs"/>
                      </a:defRPr>
                    </a:pPr>
                    <a:r>
                      <a:rPr lang="en-US" altLang="en-US" sz="1000" b="1"/>
                      <a:t>7.6</a:t>
                    </a:r>
                    <a:r>
                      <a:rPr lang="en-US" altLang="zh-CN" sz="1000" b="1"/>
                      <a:t>%</a:t>
                    </a:r>
                    <a:endParaRPr lang="en-US" altLang="en-US" sz="1000" b="1"/>
                  </a:p>
                </c:rich>
              </c:tx>
              <c:dLblPos val="bestFit"/>
              <c:showLegendKey val="0"/>
              <c:showVal val="1"/>
              <c:showCatName val="0"/>
              <c:showSerName val="0"/>
              <c:showPercent val="0"/>
              <c:showBubbleSize val="0"/>
              <c:extLst>
                <c:ext xmlns:c15="http://schemas.microsoft.com/office/drawing/2012/chart" uri="{CE6537A1-D6FC-4f65-9D91-7224C49458BB}"/>
              </c:extLst>
            </c:dLbl>
            <c:dLbl>
              <c:idx val="4"/>
              <c:layout>
                <c:manualLayout>
                  <c:x val="0.10957906824147"/>
                  <c:y val="-0.161451224846894"/>
                </c:manualLayout>
              </c:layout>
              <c:tx>
                <c:rich>
                  <a:bodyPr rot="0" spcFirstLastPara="0" vertOverflow="ellipsis" vert="horz" wrap="square" lIns="38100" tIns="19050" rIns="38100" bIns="19050" anchor="ctr" anchorCtr="1"/>
                  <a:lstStyle/>
                  <a:p>
                    <a:pPr>
                      <a:defRPr lang="zh-CN" sz="1000" b="1" i="0" u="none" strike="noStrike" kern="1200" baseline="0">
                        <a:solidFill>
                          <a:schemeClr val="tx1"/>
                        </a:solidFill>
                        <a:latin typeface="+mn-lt"/>
                        <a:ea typeface="+mn-ea"/>
                        <a:cs typeface="+mn-cs"/>
                      </a:defRPr>
                    </a:pPr>
                    <a:r>
                      <a:rPr lang="zh-CN" altLang="en-US" sz="1000" b="1"/>
                      <a:t>城市维护</a:t>
                    </a:r>
                    <a:endParaRPr lang="en-US" altLang="zh-CN" sz="1000" b="1"/>
                  </a:p>
                  <a:p>
                    <a:pPr>
                      <a:defRPr lang="zh-CN" sz="1000" b="1" i="0" u="none" strike="noStrike" kern="1200" baseline="0">
                        <a:solidFill>
                          <a:schemeClr val="tx1"/>
                        </a:solidFill>
                        <a:latin typeface="+mn-lt"/>
                        <a:ea typeface="+mn-ea"/>
                        <a:cs typeface="+mn-cs"/>
                      </a:defRPr>
                    </a:pPr>
                    <a:r>
                      <a:rPr lang="zh-CN" altLang="en-US" sz="1000" b="1"/>
                      <a:t>建设税</a:t>
                    </a:r>
                    <a:endParaRPr lang="en-US" altLang="zh-CN" sz="1000" b="1"/>
                  </a:p>
                  <a:p>
                    <a:pPr>
                      <a:defRPr lang="zh-CN" sz="1000" b="1" i="0" u="none" strike="noStrike" kern="1200" baseline="0">
                        <a:solidFill>
                          <a:schemeClr val="tx1"/>
                        </a:solidFill>
                        <a:latin typeface="+mn-lt"/>
                        <a:ea typeface="+mn-ea"/>
                        <a:cs typeface="+mn-cs"/>
                      </a:defRPr>
                    </a:pPr>
                    <a:r>
                      <a:rPr lang="en-US" altLang="en-US" sz="1000" b="1"/>
                      <a:t>7.9</a:t>
                    </a:r>
                    <a:r>
                      <a:rPr lang="en-US" altLang="zh-CN" sz="1000" b="1"/>
                      <a:t>%</a:t>
                    </a:r>
                    <a:endParaRPr lang="en-US" altLang="en-US" sz="1000" b="1"/>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182987751531059"/>
                  <c:y val="-0.155949084795774"/>
                </c:manualLayout>
              </c:layout>
              <c:tx>
                <c:rich>
                  <a:bodyPr rot="0" spcFirstLastPara="0" vertOverflow="ellipsis" vert="horz" wrap="square" lIns="38100" tIns="19050" rIns="38100" bIns="19050" anchor="ctr" anchorCtr="1"/>
                  <a:lstStyle/>
                  <a:p>
                    <a:pPr>
                      <a:defRPr lang="zh-CN" sz="1000" b="1" i="0" u="none" strike="noStrike" kern="1200" baseline="0">
                        <a:solidFill>
                          <a:schemeClr val="tx1"/>
                        </a:solidFill>
                        <a:latin typeface="+mn-lt"/>
                        <a:ea typeface="+mn-ea"/>
                        <a:cs typeface="+mn-cs"/>
                      </a:defRPr>
                    </a:pPr>
                    <a:r>
                      <a:rPr lang="zh-CN" altLang="en-US" b="1"/>
                      <a:t>印花税 </a:t>
                    </a:r>
                    <a:r>
                      <a:rPr lang="en-US" altLang="zh-CN" b="1"/>
                      <a:t>4.9%</a:t>
                    </a:r>
                    <a:endParaRPr lang="en-US" altLang="en-US" b="1"/>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597222222222224"/>
                  <c:y val="0.11152797076836"/>
                </c:manualLayout>
              </c:layout>
              <c:tx>
                <c:rich>
                  <a:bodyPr rot="0" spcFirstLastPara="0" vertOverflow="ellipsis" vert="horz" wrap="square" lIns="38100" tIns="19050" rIns="38100" bIns="19050" anchor="ctr" anchorCtr="1"/>
                  <a:lstStyle/>
                  <a:p>
                    <a:pPr>
                      <a:defRPr lang="zh-CN" sz="1000" b="1" i="0" u="none" strike="noStrike" kern="1200" baseline="0">
                        <a:solidFill>
                          <a:schemeClr val="tx1"/>
                        </a:solidFill>
                        <a:latin typeface="+mn-lt"/>
                        <a:ea typeface="+mn-ea"/>
                        <a:cs typeface="+mn-cs"/>
                      </a:defRPr>
                    </a:pPr>
                    <a:r>
                      <a:rPr lang="zh-CN" sz="1000" b="1" i="0" baseline="0"/>
                      <a:t>土地和房地产相关税收</a:t>
                    </a:r>
                    <a:endParaRPr lang="en-US" sz="1000" b="1" i="0" baseline="0"/>
                  </a:p>
                  <a:p>
                    <a:pPr>
                      <a:defRPr lang="zh-CN" sz="1000" b="1" i="0" u="none" strike="noStrike" kern="1200" baseline="0">
                        <a:solidFill>
                          <a:schemeClr val="tx1"/>
                        </a:solidFill>
                        <a:latin typeface="+mn-lt"/>
                        <a:ea typeface="+mn-ea"/>
                        <a:cs typeface="+mn-cs"/>
                      </a:defRPr>
                    </a:pPr>
                    <a:r>
                      <a:rPr lang="en-US" sz="1000" b="1" i="0" baseline="0"/>
                      <a:t>27.2%</a:t>
                    </a:r>
                    <a:endParaRPr lang="en-US" sz="1000" b="1" i="0" baseline="0"/>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831692913385827"/>
                  <c:y val="0.00667387164839689"/>
                </c:manualLayout>
              </c:layout>
              <c:tx>
                <c:rich>
                  <a:bodyPr rot="0" spcFirstLastPara="0" vertOverflow="ellipsis" vert="horz" wrap="square" lIns="38100" tIns="19050" rIns="38100" bIns="19050" anchor="ctr" anchorCtr="1"/>
                  <a:lstStyle/>
                  <a:p>
                    <a:pPr>
                      <a:defRPr lang="zh-CN" sz="1000" b="1" i="0" u="none" strike="noStrike" kern="1200" baseline="0">
                        <a:solidFill>
                          <a:schemeClr val="tx1"/>
                        </a:solidFill>
                        <a:latin typeface="+mn-lt"/>
                        <a:ea typeface="+mn-ea"/>
                        <a:cs typeface="+mn-cs"/>
                      </a:defRPr>
                    </a:pPr>
                    <a:r>
                      <a:rPr lang="zh-CN" altLang="en-US" b="1"/>
                      <a:t>车船税 </a:t>
                    </a:r>
                    <a:r>
                      <a:rPr lang="en-US" altLang="zh-CN" b="1"/>
                      <a:t>0.9%</a:t>
                    </a:r>
                    <a:endParaRPr lang="en-US" altLang="en-US" b="1"/>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98911854768154"/>
                  <c:y val="0.0228758169934642"/>
                </c:manualLayout>
              </c:layout>
              <c:tx>
                <c:rich>
                  <a:bodyPr rot="0" spcFirstLastPara="0" vertOverflow="ellipsis" vert="horz" wrap="square" lIns="38100" tIns="19050" rIns="38100" bIns="19050" anchor="ctr" anchorCtr="1"/>
                  <a:lstStyle/>
                  <a:p>
                    <a:pPr>
                      <a:defRPr lang="zh-CN" sz="1000" b="1" i="0" u="none" strike="noStrike" kern="1200" baseline="0">
                        <a:solidFill>
                          <a:schemeClr val="tx1"/>
                        </a:solidFill>
                        <a:latin typeface="+mn-lt"/>
                        <a:ea typeface="+mn-ea"/>
                        <a:cs typeface="+mn-cs"/>
                      </a:defRPr>
                    </a:pPr>
                    <a:r>
                      <a:rPr lang="zh-CN" altLang="en-US" sz="1000" b="1"/>
                      <a:t>环保和</a:t>
                    </a:r>
                    <a:endParaRPr lang="en-US" altLang="zh-CN" sz="1000" b="1"/>
                  </a:p>
                  <a:p>
                    <a:pPr>
                      <a:defRPr lang="zh-CN" sz="1000" b="1" i="0" u="none" strike="noStrike" kern="1200" baseline="0">
                        <a:solidFill>
                          <a:schemeClr val="tx1"/>
                        </a:solidFill>
                        <a:latin typeface="+mn-lt"/>
                        <a:ea typeface="+mn-ea"/>
                        <a:cs typeface="+mn-cs"/>
                      </a:defRPr>
                    </a:pPr>
                    <a:r>
                      <a:rPr lang="zh-CN" altLang="en-US" sz="1000" b="1"/>
                      <a:t>其他税收</a:t>
                    </a:r>
                    <a:endParaRPr lang="en-US" altLang="zh-CN" sz="1000" b="1"/>
                  </a:p>
                  <a:p>
                    <a:pPr>
                      <a:defRPr lang="zh-CN" sz="1000" b="1" i="0" u="none" strike="noStrike" kern="1200" baseline="0">
                        <a:solidFill>
                          <a:schemeClr val="tx1"/>
                        </a:solidFill>
                        <a:latin typeface="+mn-lt"/>
                        <a:ea typeface="+mn-ea"/>
                        <a:cs typeface="+mn-cs"/>
                      </a:defRPr>
                    </a:pPr>
                    <a:r>
                      <a:rPr lang="en-US" altLang="en-US" sz="1000" b="1"/>
                      <a:t>0.4</a:t>
                    </a:r>
                    <a:r>
                      <a:rPr lang="en-US" altLang="zh-CN" sz="1000" b="1"/>
                      <a:t>%</a:t>
                    </a:r>
                    <a:endParaRPr lang="en-US" altLang="en-US" sz="1000" b="1"/>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一般公共!$A$36:$A$44</c:f>
              <c:strCache>
                <c:ptCount val="9"/>
                <c:pt idx="0">
                  <c:v>1.增值税</c:v>
                </c:pt>
                <c:pt idx="1">
                  <c:v>2.企业所得税</c:v>
                </c:pt>
                <c:pt idx="2">
                  <c:v>3.个人所得税</c:v>
                </c:pt>
                <c:pt idx="3">
                  <c:v>4.资源税</c:v>
                </c:pt>
                <c:pt idx="4">
                  <c:v>5.城市维护建设税</c:v>
                </c:pt>
                <c:pt idx="5">
                  <c:v>7.印花税</c:v>
                </c:pt>
                <c:pt idx="6">
                  <c:v>土地和房地产相关税收</c:v>
                </c:pt>
                <c:pt idx="7">
                  <c:v>10.车船税</c:v>
                </c:pt>
                <c:pt idx="8">
                  <c:v>环保和其他税收</c:v>
                </c:pt>
              </c:strCache>
            </c:strRef>
          </c:cat>
          <c:val>
            <c:numRef>
              <c:f>一般公共!$B$36:$B$44</c:f>
              <c:numCache>
                <c:formatCode>General</c:formatCode>
                <c:ptCount val="9"/>
                <c:pt idx="0">
                  <c:v>267396</c:v>
                </c:pt>
                <c:pt idx="1">
                  <c:v>46470</c:v>
                </c:pt>
                <c:pt idx="2">
                  <c:v>14254</c:v>
                </c:pt>
                <c:pt idx="3">
                  <c:v>48986</c:v>
                </c:pt>
                <c:pt idx="4">
                  <c:v>50862</c:v>
                </c:pt>
                <c:pt idx="5">
                  <c:v>31603</c:v>
                </c:pt>
                <c:pt idx="6">
                  <c:v>175161</c:v>
                </c:pt>
                <c:pt idx="7">
                  <c:v>5902</c:v>
                </c:pt>
                <c:pt idx="8">
                  <c:v>2348</c:v>
                </c:pt>
              </c:numCache>
            </c:numRef>
          </c:val>
        </c:ser>
        <c:dLbls>
          <c:showLegendKey val="0"/>
          <c:showVal val="1"/>
          <c:showCatName val="0"/>
          <c:showSerName val="0"/>
          <c:showPercent val="0"/>
          <c:showBubbleSize val="0"/>
        </c:dLbls>
      </c:pie3DChart>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0347222222222222"/>
          <c:y val="0.113425925925926"/>
          <c:w val="0.936111111111111"/>
          <c:h val="0.886574074074075"/>
        </c:manualLayout>
      </c:layout>
      <c:pie3DChart>
        <c:varyColors val="1"/>
        <c:ser>
          <c:idx val="0"/>
          <c:order val="0"/>
          <c:explosion val="18"/>
          <c:dPt>
            <c:idx val="0"/>
            <c:bubble3D val="0"/>
          </c:dPt>
          <c:dPt>
            <c:idx val="1"/>
            <c:bubble3D val="0"/>
          </c:dPt>
          <c:dPt>
            <c:idx val="2"/>
            <c:bubble3D val="0"/>
          </c:dPt>
          <c:dPt>
            <c:idx val="3"/>
            <c:bubble3D val="0"/>
          </c:dPt>
          <c:dPt>
            <c:idx val="4"/>
            <c:bubble3D val="0"/>
          </c:dPt>
          <c:dPt>
            <c:idx val="5"/>
            <c:bubble3D val="0"/>
          </c:dPt>
          <c:dLbls>
            <c:dLbl>
              <c:idx val="0"/>
              <c:layout/>
              <c:tx>
                <c:rich>
                  <a:bodyPr rot="0" spcFirstLastPara="0" vertOverflow="ellipsis" vert="horz" wrap="square" lIns="38100" tIns="19050" rIns="38100" bIns="19050" anchor="ctr" anchorCtr="1"/>
                  <a:lstStyle/>
                  <a:p>
                    <a:pPr>
                      <a:defRPr lang="zh-CN" sz="1000" b="1" i="0" u="none" strike="noStrike" kern="1200" baseline="0">
                        <a:solidFill>
                          <a:schemeClr val="tx1"/>
                        </a:solidFill>
                        <a:latin typeface="+mn-lt"/>
                        <a:ea typeface="+mn-ea"/>
                        <a:cs typeface="+mn-cs"/>
                      </a:defRPr>
                    </a:pPr>
                    <a:r>
                      <a:rPr lang="zh-CN" altLang="en-US" sz="1000" b="1"/>
                      <a:t>专项收入</a:t>
                    </a:r>
                    <a:endParaRPr lang="en-US" altLang="zh-CN" sz="1000" b="1"/>
                  </a:p>
                  <a:p>
                    <a:pPr>
                      <a:defRPr lang="zh-CN" sz="1000" b="1" i="0" u="none" strike="noStrike" kern="1200" baseline="0">
                        <a:solidFill>
                          <a:schemeClr val="tx1"/>
                        </a:solidFill>
                        <a:latin typeface="+mn-lt"/>
                        <a:ea typeface="+mn-ea"/>
                        <a:cs typeface="+mn-cs"/>
                      </a:defRPr>
                    </a:pPr>
                    <a:r>
                      <a:rPr lang="en-US" altLang="en-US" sz="1000" b="1"/>
                      <a:t>17.0</a:t>
                    </a:r>
                    <a:r>
                      <a:rPr lang="en-US" altLang="zh-CN" sz="1000" b="1"/>
                      <a:t>%</a:t>
                    </a:r>
                    <a:endParaRPr lang="en-US" altLang="en-US" sz="1000" b="1"/>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1" i="0" u="none" strike="noStrike" kern="1200" baseline="0">
                        <a:solidFill>
                          <a:schemeClr val="tx1"/>
                        </a:solidFill>
                        <a:latin typeface="+mn-lt"/>
                        <a:ea typeface="+mn-ea"/>
                        <a:cs typeface="+mn-cs"/>
                      </a:defRPr>
                    </a:pPr>
                    <a:r>
                      <a:rPr lang="zh-CN" altLang="en-US" sz="1000" b="1"/>
                      <a:t>行政事业性收费收入</a:t>
                    </a:r>
                    <a:endParaRPr lang="en-US" altLang="zh-CN" sz="1000" b="1"/>
                  </a:p>
                  <a:p>
                    <a:pPr>
                      <a:defRPr lang="zh-CN" sz="1000" b="1" i="0" u="none" strike="noStrike" kern="1200" baseline="0">
                        <a:solidFill>
                          <a:schemeClr val="tx1"/>
                        </a:solidFill>
                        <a:latin typeface="+mn-lt"/>
                        <a:ea typeface="+mn-ea"/>
                        <a:cs typeface="+mn-cs"/>
                      </a:defRPr>
                    </a:pPr>
                    <a:r>
                      <a:rPr lang="en-US" altLang="en-US" sz="1000" b="1"/>
                      <a:t>4.0</a:t>
                    </a:r>
                    <a:r>
                      <a:rPr lang="en-US" altLang="zh-CN" sz="1000" b="1"/>
                      <a:t>%</a:t>
                    </a:r>
                    <a:endParaRPr lang="en-US" altLang="en-US" sz="1000" b="1"/>
                  </a:p>
                </c:rich>
              </c:tx>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0.104221347331584"/>
                  <c:y val="-0.30840587634879"/>
                </c:manualLayout>
              </c:layout>
              <c:tx>
                <c:rich>
                  <a:bodyPr rot="0" spcFirstLastPara="0" vertOverflow="ellipsis" vert="horz" wrap="square" lIns="38100" tIns="19050" rIns="38100" bIns="19050" anchor="ctr" anchorCtr="1"/>
                  <a:lstStyle/>
                  <a:p>
                    <a:pPr>
                      <a:defRPr lang="zh-CN" sz="1000" b="1" i="0" u="none" strike="noStrike" kern="1200" baseline="0">
                        <a:solidFill>
                          <a:schemeClr val="tx1"/>
                        </a:solidFill>
                        <a:latin typeface="+mn-lt"/>
                        <a:ea typeface="+mn-ea"/>
                        <a:cs typeface="+mn-cs"/>
                      </a:defRPr>
                    </a:pPr>
                    <a:r>
                      <a:rPr lang="zh-CN" altLang="en-US" sz="1000" b="1"/>
                      <a:t>罚没收入</a:t>
                    </a:r>
                    <a:endParaRPr lang="en-US" altLang="zh-CN" sz="1000" b="1"/>
                  </a:p>
                  <a:p>
                    <a:pPr>
                      <a:defRPr lang="zh-CN" sz="1000" b="1" i="0" u="none" strike="noStrike" kern="1200" baseline="0">
                        <a:solidFill>
                          <a:schemeClr val="tx1"/>
                        </a:solidFill>
                        <a:latin typeface="+mn-lt"/>
                        <a:ea typeface="+mn-ea"/>
                        <a:cs typeface="+mn-cs"/>
                      </a:defRPr>
                    </a:pPr>
                    <a:r>
                      <a:rPr lang="en-US" altLang="en-US" sz="1000" b="1"/>
                      <a:t>53.9</a:t>
                    </a:r>
                    <a:r>
                      <a:rPr lang="en-US" altLang="zh-CN" sz="1000" b="1"/>
                      <a:t>%</a:t>
                    </a:r>
                    <a:endParaRPr lang="en-US" altLang="en-US" sz="1000" b="1"/>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67490157480315"/>
                  <c:y val="0.00566309419655876"/>
                </c:manualLayout>
              </c:layout>
              <c:tx>
                <c:rich>
                  <a:bodyPr rot="0" spcFirstLastPara="0" vertOverflow="ellipsis" vert="horz" wrap="square" lIns="38100" tIns="19050" rIns="38100" bIns="19050" anchor="ctr" anchorCtr="1"/>
                  <a:lstStyle/>
                  <a:p>
                    <a:pPr>
                      <a:defRPr lang="zh-CN" sz="1000" b="1" i="0" u="none" strike="noStrike" kern="1200" baseline="0">
                        <a:solidFill>
                          <a:schemeClr val="tx1"/>
                        </a:solidFill>
                        <a:latin typeface="+mn-lt"/>
                        <a:ea typeface="+mn-ea"/>
                        <a:cs typeface="+mn-cs"/>
                      </a:defRPr>
                    </a:pPr>
                    <a:r>
                      <a:rPr lang="zh-CN" altLang="en-US" sz="1000" b="1"/>
                      <a:t>国有资源</a:t>
                    </a:r>
                    <a:endParaRPr lang="en-US" altLang="zh-CN" sz="1000" b="1"/>
                  </a:p>
                  <a:p>
                    <a:pPr>
                      <a:defRPr lang="zh-CN" sz="1000" b="1" i="0" u="none" strike="noStrike" kern="1200" baseline="0">
                        <a:solidFill>
                          <a:schemeClr val="tx1"/>
                        </a:solidFill>
                        <a:latin typeface="+mn-lt"/>
                        <a:ea typeface="+mn-ea"/>
                        <a:cs typeface="+mn-cs"/>
                      </a:defRPr>
                    </a:pPr>
                    <a:r>
                      <a:rPr lang="zh-CN" altLang="en-US" sz="1000" b="1"/>
                      <a:t>有偿使用</a:t>
                    </a:r>
                    <a:endParaRPr lang="en-US" altLang="zh-CN" sz="1000" b="1"/>
                  </a:p>
                  <a:p>
                    <a:pPr>
                      <a:defRPr lang="zh-CN" sz="1000" b="1" i="0" u="none" strike="noStrike" kern="1200" baseline="0">
                        <a:solidFill>
                          <a:schemeClr val="tx1"/>
                        </a:solidFill>
                        <a:latin typeface="+mn-lt"/>
                        <a:ea typeface="+mn-ea"/>
                        <a:cs typeface="+mn-cs"/>
                      </a:defRPr>
                    </a:pPr>
                    <a:r>
                      <a:rPr lang="en-US" altLang="en-US" sz="1000" b="1"/>
                      <a:t>9.8</a:t>
                    </a:r>
                    <a:r>
                      <a:rPr lang="en-US" altLang="zh-CN" sz="1000" b="1"/>
                      <a:t>%</a:t>
                    </a:r>
                    <a:endParaRPr lang="en-US" altLang="en-US" sz="1000" b="1"/>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748055555555556"/>
                  <c:y val="0.0744849081364829"/>
                </c:manualLayout>
              </c:layout>
              <c:tx>
                <c:rich>
                  <a:bodyPr rot="0" spcFirstLastPara="0" vertOverflow="ellipsis" vert="horz" wrap="square" lIns="38100" tIns="19050" rIns="38100" bIns="19050" anchor="ctr" anchorCtr="1"/>
                  <a:lstStyle/>
                  <a:p>
                    <a:pPr>
                      <a:defRPr lang="zh-CN" sz="1000" b="1" i="0" u="none" strike="noStrike" kern="1200" baseline="0">
                        <a:solidFill>
                          <a:schemeClr val="tx1"/>
                        </a:solidFill>
                        <a:latin typeface="+mn-lt"/>
                        <a:ea typeface="+mn-ea"/>
                        <a:cs typeface="+mn-cs"/>
                      </a:defRPr>
                    </a:pPr>
                    <a:r>
                      <a:rPr lang="zh-CN" altLang="en-US" sz="1000" b="1"/>
                      <a:t>政府住房</a:t>
                    </a:r>
                    <a:endParaRPr lang="en-US" altLang="zh-CN" sz="1000" b="1"/>
                  </a:p>
                  <a:p>
                    <a:pPr>
                      <a:defRPr lang="zh-CN" sz="1000" b="1" i="0" u="none" strike="noStrike" kern="1200" baseline="0">
                        <a:solidFill>
                          <a:schemeClr val="tx1"/>
                        </a:solidFill>
                        <a:latin typeface="+mn-lt"/>
                        <a:ea typeface="+mn-ea"/>
                        <a:cs typeface="+mn-cs"/>
                      </a:defRPr>
                    </a:pPr>
                    <a:r>
                      <a:rPr lang="zh-CN" altLang="en-US" sz="1000" b="1"/>
                      <a:t>基金收入</a:t>
                    </a:r>
                    <a:endParaRPr lang="en-US" altLang="zh-CN" sz="1000" b="1"/>
                  </a:p>
                  <a:p>
                    <a:pPr>
                      <a:defRPr lang="zh-CN" sz="1000" b="1" i="0" u="none" strike="noStrike" kern="1200" baseline="0">
                        <a:solidFill>
                          <a:schemeClr val="tx1"/>
                        </a:solidFill>
                        <a:latin typeface="+mn-lt"/>
                        <a:ea typeface="+mn-ea"/>
                        <a:cs typeface="+mn-cs"/>
                      </a:defRPr>
                    </a:pPr>
                    <a:r>
                      <a:rPr lang="en-US" altLang="en-US" sz="1000" b="1"/>
                      <a:t>14.5%</a:t>
                    </a:r>
                    <a:endParaRPr lang="en-US" altLang="en-US" sz="1000" b="1"/>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tx>
                <c:rich>
                  <a:bodyPr rot="0" spcFirstLastPara="0" vertOverflow="ellipsis" vert="horz" wrap="square" lIns="38100" tIns="19050" rIns="38100" bIns="19050" anchor="ctr" anchorCtr="1"/>
                  <a:lstStyle/>
                  <a:p>
                    <a:pPr>
                      <a:defRPr lang="zh-CN" sz="1000" b="1" i="0" u="none" strike="noStrike" kern="1200" baseline="0">
                        <a:solidFill>
                          <a:schemeClr val="tx1"/>
                        </a:solidFill>
                        <a:latin typeface="+mn-lt"/>
                        <a:ea typeface="+mn-ea"/>
                        <a:cs typeface="+mn-cs"/>
                      </a:defRPr>
                    </a:pPr>
                    <a:r>
                      <a:rPr lang="zh-CN" altLang="en-US" sz="1000" b="1"/>
                      <a:t>其他收入</a:t>
                    </a:r>
                    <a:r>
                      <a:rPr lang="zh-CN" altLang="en-US" sz="1000" b="1" baseline="0"/>
                      <a:t> </a:t>
                    </a:r>
                    <a:r>
                      <a:rPr lang="en-US" altLang="zh-CN" sz="1000" b="1" baseline="0"/>
                      <a:t>0.8%</a:t>
                    </a:r>
                    <a:endParaRPr lang="en-US" altLang="en-US" sz="1000" b="1"/>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一般公共!$A$56:$A$61</c:f>
              <c:strCache>
                <c:ptCount val="6"/>
                <c:pt idx="0">
                  <c:v>1.专项收入</c:v>
                </c:pt>
                <c:pt idx="1">
                  <c:v>2.行政事业性收费收入</c:v>
                </c:pt>
                <c:pt idx="2">
                  <c:v>3.罚没收入</c:v>
                </c:pt>
                <c:pt idx="3">
                  <c:v>5.国有资源有偿使用</c:v>
                </c:pt>
                <c:pt idx="4">
                  <c:v>7.政府住房基金收入</c:v>
                </c:pt>
                <c:pt idx="5">
                  <c:v>8.其他收入</c:v>
                </c:pt>
              </c:strCache>
            </c:strRef>
          </c:cat>
          <c:val>
            <c:numRef>
              <c:f>一般公共!$B$56:$B$61</c:f>
              <c:numCache>
                <c:formatCode>General</c:formatCode>
                <c:ptCount val="6"/>
                <c:pt idx="0">
                  <c:v>46800</c:v>
                </c:pt>
                <c:pt idx="1">
                  <c:v>10981</c:v>
                </c:pt>
                <c:pt idx="2">
                  <c:v>148529</c:v>
                </c:pt>
                <c:pt idx="3">
                  <c:v>27063</c:v>
                </c:pt>
                <c:pt idx="4">
                  <c:v>40086</c:v>
                </c:pt>
                <c:pt idx="5">
                  <c:v>2080</c:v>
                </c:pt>
              </c:numCache>
            </c:numRef>
          </c:val>
        </c:ser>
        <c:dLbls>
          <c:showLegendKey val="0"/>
          <c:showVal val="1"/>
          <c:showCatName val="0"/>
          <c:showSerName val="0"/>
          <c:showPercent val="0"/>
          <c:showBubbleSize val="0"/>
        </c:dLbls>
      </c:pie3DChart>
    </c:plotArea>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0236111111111112"/>
          <c:y val="0.0810185185185185"/>
          <c:w val="0.975000000000001"/>
          <c:h val="0.914351851851852"/>
        </c:manualLayout>
      </c:layout>
      <c:pie3DChart>
        <c:varyColors val="1"/>
        <c:ser>
          <c:idx val="0"/>
          <c:order val="0"/>
          <c:explosion val="25"/>
          <c:dPt>
            <c:idx val="0"/>
            <c:bubble3D val="0"/>
          </c:dPt>
          <c:dPt>
            <c:idx val="1"/>
            <c:bubble3D val="0"/>
          </c:dPt>
          <c:dPt>
            <c:idx val="2"/>
            <c:bubble3D val="0"/>
          </c:dPt>
          <c:dPt>
            <c:idx val="3"/>
            <c:bubble3D val="0"/>
          </c:dPt>
          <c:dPt>
            <c:idx val="4"/>
            <c:bubble3D val="0"/>
          </c:dPt>
          <c:dLbls>
            <c:dLbl>
              <c:idx val="0"/>
              <c:layout>
                <c:manualLayout>
                  <c:x val="-0.298082458442695"/>
                  <c:y val="-0.248418270632839"/>
                </c:manualLayout>
              </c:layout>
              <c:tx>
                <c:rich>
                  <a:bodyPr rot="0" spcFirstLastPara="0" vertOverflow="ellipsis" vert="horz" wrap="square" lIns="38100" tIns="19050" rIns="38100" bIns="19050" anchor="ctr" anchorCtr="1"/>
                  <a:lstStyle/>
                  <a:p>
                    <a:pPr>
                      <a:defRPr lang="zh-CN" sz="1000" b="1" i="0" u="none" strike="noStrike" kern="1200" baseline="0">
                        <a:solidFill>
                          <a:schemeClr val="tx1"/>
                        </a:solidFill>
                        <a:latin typeface="+mn-lt"/>
                        <a:ea typeface="+mn-ea"/>
                        <a:cs typeface="+mn-cs"/>
                      </a:defRPr>
                    </a:pPr>
                    <a:r>
                      <a:rPr lang="zh-CN" altLang="en-US" b="1"/>
                      <a:t>国有土地使用权出让收入</a:t>
                    </a:r>
                    <a:endParaRPr lang="en-US" altLang="zh-CN" b="1"/>
                  </a:p>
                  <a:p>
                    <a:pPr>
                      <a:defRPr lang="zh-CN" sz="1000" b="1" i="0" u="none" strike="noStrike" kern="1200" baseline="0">
                        <a:solidFill>
                          <a:schemeClr val="tx1"/>
                        </a:solidFill>
                        <a:latin typeface="+mn-lt"/>
                        <a:ea typeface="+mn-ea"/>
                        <a:cs typeface="+mn-cs"/>
                      </a:defRPr>
                    </a:pPr>
                    <a:r>
                      <a:rPr lang="en-US" altLang="en-US" b="1"/>
                      <a:t>74.6</a:t>
                    </a:r>
                    <a:r>
                      <a:rPr lang="en-US" altLang="zh-CN" b="1"/>
                      <a:t>%</a:t>
                    </a:r>
                    <a:endParaRPr lang="en-US" altLang="en-US" b="1"/>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59722222222222"/>
                  <c:y val="-0.00720727617381166"/>
                </c:manualLayout>
              </c:layout>
              <c:tx>
                <c:rich>
                  <a:bodyPr rot="0" spcFirstLastPara="0" vertOverflow="ellipsis" vert="horz" wrap="square" lIns="38100" tIns="19050" rIns="38100" bIns="19050" anchor="ctr" anchorCtr="1"/>
                  <a:lstStyle/>
                  <a:p>
                    <a:pPr>
                      <a:defRPr lang="zh-CN" sz="1000" b="1" i="0" u="none" strike="noStrike" kern="1200" baseline="0">
                        <a:solidFill>
                          <a:schemeClr val="tx1"/>
                        </a:solidFill>
                        <a:latin typeface="+mn-lt"/>
                        <a:ea typeface="+mn-ea"/>
                        <a:cs typeface="+mn-cs"/>
                      </a:defRPr>
                    </a:pPr>
                    <a:r>
                      <a:rPr lang="zh-CN" altLang="en-US" b="1"/>
                      <a:t>彩票</a:t>
                    </a:r>
                    <a:endParaRPr lang="en-US" altLang="zh-CN" b="1"/>
                  </a:p>
                  <a:p>
                    <a:pPr>
                      <a:defRPr lang="zh-CN" sz="1000" b="1" i="0" u="none" strike="noStrike" kern="1200" baseline="0">
                        <a:solidFill>
                          <a:schemeClr val="tx1"/>
                        </a:solidFill>
                        <a:latin typeface="+mn-lt"/>
                        <a:ea typeface="+mn-ea"/>
                        <a:cs typeface="+mn-cs"/>
                      </a:defRPr>
                    </a:pPr>
                    <a:r>
                      <a:rPr lang="zh-CN" altLang="en-US" b="1"/>
                      <a:t>公益金</a:t>
                    </a:r>
                    <a:endParaRPr lang="en-US" altLang="zh-CN" b="1"/>
                  </a:p>
                  <a:p>
                    <a:pPr>
                      <a:defRPr lang="zh-CN" sz="1000" b="1" i="0" u="none" strike="noStrike" kern="1200" baseline="0">
                        <a:solidFill>
                          <a:schemeClr val="tx1"/>
                        </a:solidFill>
                        <a:latin typeface="+mn-lt"/>
                        <a:ea typeface="+mn-ea"/>
                        <a:cs typeface="+mn-cs"/>
                      </a:defRPr>
                    </a:pPr>
                    <a:r>
                      <a:rPr lang="en-US" altLang="en-US" b="1"/>
                      <a:t>9.0</a:t>
                    </a:r>
                    <a:r>
                      <a:rPr lang="en-US" altLang="zh-CN" b="1"/>
                      <a:t>%</a:t>
                    </a:r>
                    <a:endParaRPr lang="en-US" altLang="en-US" b="1"/>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600833333333335"/>
                  <c:y val="-0.0928331875182268"/>
                </c:manualLayout>
              </c:layout>
              <c:tx>
                <c:rich>
                  <a:bodyPr rot="0" spcFirstLastPara="0" vertOverflow="ellipsis" vert="horz" wrap="square" lIns="38100" tIns="19050" rIns="38100" bIns="19050" anchor="ctr" anchorCtr="1"/>
                  <a:lstStyle/>
                  <a:p>
                    <a:pPr>
                      <a:defRPr lang="zh-CN" sz="1000" b="1" i="0" u="none" strike="noStrike" kern="1200" baseline="0">
                        <a:solidFill>
                          <a:schemeClr val="tx1"/>
                        </a:solidFill>
                        <a:latin typeface="+mn-lt"/>
                        <a:ea typeface="+mn-ea"/>
                        <a:cs typeface="+mn-cs"/>
                      </a:defRPr>
                    </a:pPr>
                    <a:r>
                      <a:rPr lang="zh-CN" altLang="en-US" b="1"/>
                      <a:t>城市基础设施配套费</a:t>
                    </a:r>
                    <a:endParaRPr lang="en-US" altLang="zh-CN" b="1"/>
                  </a:p>
                  <a:p>
                    <a:pPr>
                      <a:defRPr lang="zh-CN" sz="1000" b="1" i="0" u="none" strike="noStrike" kern="1200" baseline="0">
                        <a:solidFill>
                          <a:schemeClr val="tx1"/>
                        </a:solidFill>
                        <a:latin typeface="+mn-lt"/>
                        <a:ea typeface="+mn-ea"/>
                        <a:cs typeface="+mn-cs"/>
                      </a:defRPr>
                    </a:pPr>
                    <a:r>
                      <a:rPr lang="en-US" altLang="en-US" b="1"/>
                      <a:t>0.5</a:t>
                    </a:r>
                    <a:r>
                      <a:rPr lang="en-US" altLang="zh-CN" b="1"/>
                      <a:t>%</a:t>
                    </a:r>
                    <a:endParaRPr lang="en-US" altLang="en-US" b="1"/>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tx>
                <c:rich>
                  <a:bodyPr rot="0" spcFirstLastPara="0" vertOverflow="ellipsis" vert="horz" wrap="square" lIns="38100" tIns="19050" rIns="38100" bIns="19050" anchor="ctr" anchorCtr="1"/>
                  <a:lstStyle/>
                  <a:p>
                    <a:pPr>
                      <a:defRPr lang="zh-CN" sz="1000" b="1" i="0" u="none" strike="noStrike" kern="1200" baseline="0">
                        <a:solidFill>
                          <a:schemeClr val="tx1"/>
                        </a:solidFill>
                        <a:latin typeface="+mn-lt"/>
                        <a:ea typeface="+mn-ea"/>
                        <a:cs typeface="+mn-cs"/>
                      </a:defRPr>
                    </a:pPr>
                    <a:r>
                      <a:rPr lang="zh-CN" altLang="en-US" b="1"/>
                      <a:t>污水处理费</a:t>
                    </a:r>
                    <a:endParaRPr lang="en-US" altLang="zh-CN" b="1"/>
                  </a:p>
                  <a:p>
                    <a:pPr>
                      <a:defRPr lang="zh-CN" sz="1000" b="1" i="0" u="none" strike="noStrike" kern="1200" baseline="0">
                        <a:solidFill>
                          <a:schemeClr val="tx1"/>
                        </a:solidFill>
                        <a:latin typeface="+mn-lt"/>
                        <a:ea typeface="+mn-ea"/>
                        <a:cs typeface="+mn-cs"/>
                      </a:defRPr>
                    </a:pPr>
                    <a:r>
                      <a:rPr lang="en-US" altLang="en-US" b="1"/>
                      <a:t>14.2</a:t>
                    </a:r>
                    <a:r>
                      <a:rPr lang="en-US" altLang="zh-CN" b="1"/>
                      <a:t>%</a:t>
                    </a:r>
                    <a:endParaRPr lang="en-US" altLang="en-US" b="1"/>
                  </a:p>
                </c:rich>
              </c:tx>
              <c:dLblPos val="bestFit"/>
              <c:showLegendKey val="0"/>
              <c:showVal val="1"/>
              <c:showCatName val="0"/>
              <c:showSerName val="0"/>
              <c:showPercent val="0"/>
              <c:showBubbleSize val="0"/>
              <c:extLst>
                <c:ext xmlns:c15="http://schemas.microsoft.com/office/drawing/2012/chart" uri="{CE6537A1-D6FC-4f65-9D91-7224C49458BB}"/>
              </c:extLst>
            </c:dLbl>
            <c:dLbl>
              <c:idx val="4"/>
              <c:layout>
                <c:manualLayout>
                  <c:x val="0.103852580927384"/>
                  <c:y val="0.00262467191601051"/>
                </c:manualLayout>
              </c:layout>
              <c:tx>
                <c:rich>
                  <a:bodyPr rot="0" spcFirstLastPara="0" vertOverflow="ellipsis" vert="horz" wrap="square" lIns="38100" tIns="19050" rIns="38100" bIns="19050" anchor="ctr" anchorCtr="1"/>
                  <a:lstStyle/>
                  <a:p>
                    <a:pPr>
                      <a:defRPr lang="zh-CN" sz="1000" b="1" i="0" u="none" strike="noStrike" kern="1200" baseline="0">
                        <a:solidFill>
                          <a:schemeClr val="tx1"/>
                        </a:solidFill>
                        <a:latin typeface="+mn-lt"/>
                        <a:ea typeface="+mn-ea"/>
                        <a:cs typeface="+mn-cs"/>
                      </a:defRPr>
                    </a:pPr>
                    <a:r>
                      <a:rPr lang="zh-CN" altLang="en-US" b="1"/>
                      <a:t>彩票发行机构销售机构的业务费用</a:t>
                    </a:r>
                    <a:endParaRPr lang="en-US" altLang="zh-CN" b="1"/>
                  </a:p>
                  <a:p>
                    <a:pPr>
                      <a:defRPr lang="zh-CN" sz="1000" b="1" i="0" u="none" strike="noStrike" kern="1200" baseline="0">
                        <a:solidFill>
                          <a:schemeClr val="tx1"/>
                        </a:solidFill>
                        <a:latin typeface="+mn-lt"/>
                        <a:ea typeface="+mn-ea"/>
                        <a:cs typeface="+mn-cs"/>
                      </a:defRPr>
                    </a:pPr>
                    <a:r>
                      <a:rPr lang="en-US" altLang="en-US" b="1"/>
                      <a:t>1.6</a:t>
                    </a:r>
                    <a:r>
                      <a:rPr lang="en-US" altLang="zh-CN" b="1"/>
                      <a:t>%</a:t>
                    </a:r>
                    <a:endParaRPr lang="en-US" altLang="en-US" b="1"/>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基金收入!$A$45:$A$49</c:f>
              <c:strCache>
                <c:ptCount val="5"/>
                <c:pt idx="0">
                  <c:v>3.国有土地使用权出让收入</c:v>
                </c:pt>
                <c:pt idx="1">
                  <c:v>5.彩票公益金收入</c:v>
                </c:pt>
                <c:pt idx="2">
                  <c:v>6.城市基础设施配套费收入</c:v>
                </c:pt>
                <c:pt idx="3">
                  <c:v>7.污水处理费收入</c:v>
                </c:pt>
                <c:pt idx="4">
                  <c:v>8.彩票发行机构销售机构的业务费用</c:v>
                </c:pt>
              </c:strCache>
            </c:strRef>
          </c:cat>
          <c:val>
            <c:numRef>
              <c:f>基金收入!$B$45:$B$49</c:f>
              <c:numCache>
                <c:formatCode>General</c:formatCode>
                <c:ptCount val="5"/>
                <c:pt idx="0">
                  <c:v>29160</c:v>
                </c:pt>
                <c:pt idx="1">
                  <c:v>3327</c:v>
                </c:pt>
                <c:pt idx="2">
                  <c:v>202</c:v>
                </c:pt>
                <c:pt idx="3">
                  <c:v>5611</c:v>
                </c:pt>
                <c:pt idx="4">
                  <c:v>610</c:v>
                </c:pt>
              </c:numCache>
            </c:numRef>
          </c:val>
        </c:ser>
        <c:dLbls>
          <c:showLegendKey val="0"/>
          <c:showVal val="1"/>
          <c:showCatName val="0"/>
          <c:showSerName val="0"/>
          <c:showPercent val="0"/>
          <c:showBubbleSize val="0"/>
        </c:dLbls>
      </c:pie3DChart>
    </c:plotArea>
    <c:plotVisOnly val="1"/>
    <c:dispBlanksAs val="zero"/>
    <c:showDLblsOverMax val="0"/>
  </c:chart>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表10!$L$4</c:f>
              <c:strCache>
                <c:ptCount val="1"/>
                <c:pt idx="0">
                  <c:v>本  期</c:v>
                </c:pt>
              </c:strCache>
            </c:strRef>
          </c:tx>
          <c:invertIfNegative val="0"/>
          <c:dLbls>
            <c:delete val="1"/>
          </c:dLbls>
          <c:cat>
            <c:strRef>
              <c:f>表10!$K$5:$K$10</c:f>
              <c:strCache>
                <c:ptCount val="6"/>
                <c:pt idx="0">
                  <c:v>  市本级</c:v>
                </c:pt>
                <c:pt idx="1">
                  <c:v>  盘山县</c:v>
                </c:pt>
                <c:pt idx="2">
                  <c:v>  双台子区</c:v>
                </c:pt>
                <c:pt idx="3">
                  <c:v>  兴隆台区</c:v>
                </c:pt>
                <c:pt idx="4">
                  <c:v>  大洼区</c:v>
                </c:pt>
                <c:pt idx="5">
                  <c:v>  辽滨经开区</c:v>
                </c:pt>
              </c:strCache>
            </c:strRef>
          </c:cat>
          <c:val>
            <c:numRef>
              <c:f>表10!$L$5:$L$10</c:f>
              <c:numCache>
                <c:formatCode>General</c:formatCode>
                <c:ptCount val="6"/>
                <c:pt idx="0">
                  <c:v>291507</c:v>
                </c:pt>
                <c:pt idx="1">
                  <c:v>226880</c:v>
                </c:pt>
                <c:pt idx="2">
                  <c:v>88658</c:v>
                </c:pt>
                <c:pt idx="3">
                  <c:v>143599</c:v>
                </c:pt>
                <c:pt idx="4">
                  <c:v>221143</c:v>
                </c:pt>
                <c:pt idx="5">
                  <c:v>190191</c:v>
                </c:pt>
              </c:numCache>
            </c:numRef>
          </c:val>
        </c:ser>
        <c:ser>
          <c:idx val="1"/>
          <c:order val="1"/>
          <c:tx>
            <c:strRef>
              <c:f>表10!$M$4</c:f>
              <c:strCache>
                <c:ptCount val="1"/>
                <c:pt idx="0">
                  <c:v>同  期</c:v>
                </c:pt>
              </c:strCache>
            </c:strRef>
          </c:tx>
          <c:invertIfNegative val="0"/>
          <c:dLbls>
            <c:delete val="1"/>
          </c:dLbls>
          <c:cat>
            <c:strRef>
              <c:f>表10!$K$5:$K$10</c:f>
              <c:strCache>
                <c:ptCount val="6"/>
                <c:pt idx="0">
                  <c:v>  市本级</c:v>
                </c:pt>
                <c:pt idx="1">
                  <c:v>  盘山县</c:v>
                </c:pt>
                <c:pt idx="2">
                  <c:v>  双台子区</c:v>
                </c:pt>
                <c:pt idx="3">
                  <c:v>  兴隆台区</c:v>
                </c:pt>
                <c:pt idx="4">
                  <c:v>  大洼区</c:v>
                </c:pt>
                <c:pt idx="5">
                  <c:v>  辽滨经开区</c:v>
                </c:pt>
              </c:strCache>
            </c:strRef>
          </c:cat>
          <c:val>
            <c:numRef>
              <c:f>表10!$M$5:$M$10</c:f>
              <c:numCache>
                <c:formatCode>General</c:formatCode>
                <c:ptCount val="6"/>
                <c:pt idx="0">
                  <c:v>297753</c:v>
                </c:pt>
                <c:pt idx="1">
                  <c:v>200289</c:v>
                </c:pt>
                <c:pt idx="2">
                  <c:v>98343</c:v>
                </c:pt>
                <c:pt idx="3">
                  <c:v>113498</c:v>
                </c:pt>
                <c:pt idx="4">
                  <c:v>198906</c:v>
                </c:pt>
                <c:pt idx="5">
                  <c:v>220968</c:v>
                </c:pt>
              </c:numCache>
            </c:numRef>
          </c:val>
        </c:ser>
        <c:dLbls>
          <c:showLegendKey val="0"/>
          <c:showVal val="0"/>
          <c:showCatName val="0"/>
          <c:showSerName val="0"/>
          <c:showPercent val="0"/>
          <c:showBubbleSize val="0"/>
        </c:dLbls>
        <c:gapWidth val="150"/>
        <c:axId val="51795840"/>
        <c:axId val="51797376"/>
      </c:barChart>
      <c:catAx>
        <c:axId val="51795840"/>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1797376"/>
        <c:crosses val="autoZero"/>
        <c:auto val="1"/>
        <c:lblAlgn val="ctr"/>
        <c:lblOffset val="100"/>
        <c:noMultiLvlLbl val="0"/>
      </c:catAx>
      <c:valAx>
        <c:axId val="51797376"/>
        <c:scaling>
          <c:orientation val="minMax"/>
          <c:max val="300000"/>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1795840"/>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83439403388751"/>
          <c:y val="0"/>
          <c:w val="0.795431459675427"/>
          <c:h val="0.986661666578717"/>
        </c:manualLayout>
      </c:layout>
      <c:doughnutChart>
        <c:varyColors val="1"/>
        <c:ser>
          <c:idx val="0"/>
          <c:order val="0"/>
          <c:explosion val="25"/>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Pt>
            <c:idx val="12"/>
            <c:bubble3D val="0"/>
          </c:dPt>
          <c:dPt>
            <c:idx val="13"/>
            <c:bubble3D val="0"/>
          </c:dPt>
          <c:dPt>
            <c:idx val="14"/>
            <c:bubble3D val="0"/>
          </c:dPt>
          <c:dPt>
            <c:idx val="15"/>
            <c:bubble3D val="0"/>
          </c:dPt>
          <c:dPt>
            <c:idx val="16"/>
            <c:bubble3D val="0"/>
          </c:dPt>
          <c:dPt>
            <c:idx val="17"/>
            <c:bubble3D val="0"/>
          </c:dPt>
          <c:dPt>
            <c:idx val="18"/>
            <c:bubble3D val="0"/>
          </c:dPt>
          <c:dPt>
            <c:idx val="19"/>
            <c:bubble3D val="0"/>
          </c:dPt>
          <c:dPt>
            <c:idx val="20"/>
            <c:bubble3D val="0"/>
          </c:dPt>
          <c:dLbls>
            <c:dLbl>
              <c:idx val="0"/>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zh-CN" altLang="en-US" sz="900"/>
                      <a:t>一般公共服务</a:t>
                    </a:r>
                    <a:endParaRPr lang="en-US" altLang="zh-CN" sz="900"/>
                  </a:p>
                  <a:p>
                    <a:pPr>
                      <a:defRPr lang="zh-CN" sz="900" b="0" i="0" u="none" strike="noStrike" kern="1200" baseline="0">
                        <a:solidFill>
                          <a:schemeClr val="tx1"/>
                        </a:solidFill>
                        <a:latin typeface="+mn-lt"/>
                        <a:ea typeface="+mn-ea"/>
                        <a:cs typeface="+mn-cs"/>
                      </a:defRPr>
                    </a:pPr>
                    <a:r>
                      <a:rPr lang="en-US" altLang="en-US" sz="900"/>
                      <a:t>9.1%</a:t>
                    </a:r>
                    <a:endParaRPr lang="en-US" altLang="en-US" sz="900"/>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0.043010752688172"/>
                  <c:y val="-0.108181203515889"/>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zh-CN" altLang="en-US" sz="900"/>
                      <a:t>国防</a:t>
                    </a:r>
                    <a:r>
                      <a:rPr lang="zh-CN" altLang="en-US" sz="900" baseline="0"/>
                      <a:t> </a:t>
                    </a:r>
                    <a:r>
                      <a:rPr lang="en-US" altLang="zh-CN" sz="900" baseline="0"/>
                      <a:t>0.06%</a:t>
                    </a:r>
                    <a:endParaRPr lang="en-US" altLang="en-US" sz="900"/>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zh-CN" altLang="en-US" sz="900"/>
                      <a:t>公共安全</a:t>
                    </a:r>
                    <a:endParaRPr lang="en-US" altLang="zh-CN" sz="900"/>
                  </a:p>
                  <a:p>
                    <a:pPr>
                      <a:defRPr lang="zh-CN" sz="900" b="0" i="0" u="none" strike="noStrike" kern="1200" baseline="0">
                        <a:solidFill>
                          <a:schemeClr val="tx1"/>
                        </a:solidFill>
                        <a:latin typeface="+mn-lt"/>
                        <a:ea typeface="+mn-ea"/>
                        <a:cs typeface="+mn-cs"/>
                      </a:defRPr>
                    </a:pPr>
                    <a:r>
                      <a:rPr lang="en-US" altLang="en-US" sz="900"/>
                      <a:t>3.9</a:t>
                    </a:r>
                    <a:r>
                      <a:rPr lang="en-US" altLang="zh-CN" sz="900"/>
                      <a:t>%</a:t>
                    </a:r>
                    <a:endParaRPr lang="en-US" altLang="en-US" sz="900"/>
                  </a:p>
                </c:rich>
              </c:tx>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zh-CN" altLang="en-US" sz="900"/>
                      <a:t>教育</a:t>
                    </a:r>
                    <a:endParaRPr lang="en-US" altLang="zh-CN" sz="900"/>
                  </a:p>
                  <a:p>
                    <a:pPr>
                      <a:defRPr lang="zh-CN" sz="900" b="0" i="0" u="none" strike="noStrike" kern="1200" baseline="0">
                        <a:solidFill>
                          <a:schemeClr val="tx1"/>
                        </a:solidFill>
                        <a:latin typeface="+mn-lt"/>
                        <a:ea typeface="+mn-ea"/>
                        <a:cs typeface="+mn-cs"/>
                      </a:defRPr>
                    </a:pPr>
                    <a:r>
                      <a:rPr lang="en-US" altLang="en-US" sz="900"/>
                      <a:t>8.7</a:t>
                    </a:r>
                    <a:r>
                      <a:rPr lang="en-US" altLang="zh-CN" sz="900"/>
                      <a:t>%</a:t>
                    </a:r>
                    <a:endParaRPr lang="en-US" altLang="en-US" sz="900"/>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0.108550947260625"/>
                  <c:y val="-0.0297498309668697"/>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zh-CN" altLang="en-US" sz="900"/>
                      <a:t>科技 </a:t>
                    </a:r>
                    <a:r>
                      <a:rPr lang="en-US" altLang="zh-CN" sz="900"/>
                      <a:t>1.0%</a:t>
                    </a:r>
                    <a:endParaRPr lang="en-US" altLang="en-US" sz="900"/>
                  </a:p>
                </c:rich>
              </c:tx>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867256525025232"/>
                  <c:y val="0.0321596063865188"/>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zh-CN" altLang="en-US" sz="900"/>
                      <a:t>文化旅游体育传媒</a:t>
                    </a:r>
                    <a:r>
                      <a:rPr lang="zh-CN" altLang="en-US" sz="900" baseline="0"/>
                      <a:t> </a:t>
                    </a:r>
                    <a:r>
                      <a:rPr lang="en-US" altLang="zh-CN" sz="900" baseline="0"/>
                      <a:t>0.8%</a:t>
                    </a:r>
                    <a:endParaRPr lang="en-US" altLang="en-US" sz="900"/>
                  </a:p>
                </c:rich>
              </c:tx>
              <c:showLegendKey val="0"/>
              <c:showVal val="1"/>
              <c:showCatName val="0"/>
              <c:showSerName val="0"/>
              <c:showPercent val="0"/>
              <c:showBubbleSize val="0"/>
              <c:extLst>
                <c:ext xmlns:c15="http://schemas.microsoft.com/office/drawing/2012/chart" uri="{CE6537A1-D6FC-4f65-9D91-7224C49458BB}">
                  <c15:layout/>
                </c:ext>
              </c:extLst>
            </c:dLbl>
            <c:dLbl>
              <c:idx val="6"/>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zh-CN" altLang="en-US" sz="900"/>
                      <a:t>社会保障和就业</a:t>
                    </a:r>
                    <a:endParaRPr lang="en-US" altLang="zh-CN" sz="900"/>
                  </a:p>
                  <a:p>
                    <a:pPr>
                      <a:defRPr lang="zh-CN" sz="900" b="0" i="0" u="none" strike="noStrike" kern="1200" baseline="0">
                        <a:solidFill>
                          <a:schemeClr val="tx1"/>
                        </a:solidFill>
                        <a:latin typeface="+mn-lt"/>
                        <a:ea typeface="+mn-ea"/>
                        <a:cs typeface="+mn-cs"/>
                      </a:defRPr>
                    </a:pPr>
                    <a:r>
                      <a:rPr lang="en-US" altLang="en-US" sz="900"/>
                      <a:t>15.7</a:t>
                    </a:r>
                    <a:r>
                      <a:rPr lang="en-US" altLang="zh-CN" sz="900"/>
                      <a:t>%</a:t>
                    </a:r>
                    <a:endParaRPr lang="en-US" altLang="en-US" sz="900"/>
                  </a:p>
                </c:rich>
              </c:tx>
              <c:showLegendKey val="0"/>
              <c:showVal val="1"/>
              <c:showCatName val="0"/>
              <c:showSerName val="0"/>
              <c:showPercent val="0"/>
              <c:showBubbleSize val="0"/>
              <c:extLst>
                <c:ext xmlns:c15="http://schemas.microsoft.com/office/drawing/2012/chart" uri="{CE6537A1-D6FC-4f65-9D91-7224C49458BB}"/>
              </c:extLst>
            </c:dLbl>
            <c:dLbl>
              <c:idx val="7"/>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zh-CN" altLang="en-US" sz="900"/>
                      <a:t>卫生健康</a:t>
                    </a:r>
                    <a:endParaRPr lang="en-US" altLang="zh-CN" sz="900"/>
                  </a:p>
                  <a:p>
                    <a:pPr>
                      <a:defRPr lang="zh-CN" sz="900" b="0" i="0" u="none" strike="noStrike" kern="1200" baseline="0">
                        <a:solidFill>
                          <a:schemeClr val="tx1"/>
                        </a:solidFill>
                        <a:latin typeface="+mn-lt"/>
                        <a:ea typeface="+mn-ea"/>
                        <a:cs typeface="+mn-cs"/>
                      </a:defRPr>
                    </a:pPr>
                    <a:r>
                      <a:rPr lang="en-US" altLang="en-US" sz="900"/>
                      <a:t>5.6</a:t>
                    </a:r>
                    <a:r>
                      <a:rPr lang="en-US" altLang="zh-CN" sz="900"/>
                      <a:t>%</a:t>
                    </a:r>
                    <a:endParaRPr lang="en-US" altLang="en-US" sz="900"/>
                  </a:p>
                </c:rich>
              </c:tx>
              <c:showLegendKey val="0"/>
              <c:showVal val="1"/>
              <c:showCatName val="0"/>
              <c:showSerName val="0"/>
              <c:showPercent val="0"/>
              <c:showBubbleSize val="0"/>
              <c:extLst>
                <c:ext xmlns:c15="http://schemas.microsoft.com/office/drawing/2012/chart" uri="{CE6537A1-D6FC-4f65-9D91-7224C49458BB}"/>
              </c:extLst>
            </c:dLbl>
            <c:dLbl>
              <c:idx val="8"/>
              <c:layout>
                <c:manualLayout>
                  <c:x val="-0.0252902632486493"/>
                  <c:y val="-0.017111079423927"/>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zh-CN" altLang="en-US" sz="900"/>
                      <a:t>节能环保</a:t>
                    </a:r>
                    <a:endParaRPr lang="en-US" altLang="zh-CN" sz="900"/>
                  </a:p>
                  <a:p>
                    <a:pPr>
                      <a:defRPr lang="zh-CN" sz="900" b="0" i="0" u="none" strike="noStrike" kern="1200" baseline="0">
                        <a:solidFill>
                          <a:schemeClr val="tx1"/>
                        </a:solidFill>
                        <a:latin typeface="+mn-lt"/>
                        <a:ea typeface="+mn-ea"/>
                        <a:cs typeface="+mn-cs"/>
                      </a:defRPr>
                    </a:pPr>
                    <a:r>
                      <a:rPr lang="en-US" altLang="en-US" sz="900"/>
                      <a:t>3.0</a:t>
                    </a:r>
                    <a:r>
                      <a:rPr lang="en-US" altLang="zh-CN" sz="900"/>
                      <a:t>%</a:t>
                    </a:r>
                    <a:endParaRPr lang="en-US" altLang="en-US" sz="900"/>
                  </a:p>
                </c:rich>
              </c:tx>
              <c:showLegendKey val="0"/>
              <c:showVal val="1"/>
              <c:showCatName val="0"/>
              <c:showSerName val="0"/>
              <c:showPercent val="0"/>
              <c:showBubbleSize val="0"/>
              <c:extLst>
                <c:ext xmlns:c15="http://schemas.microsoft.com/office/drawing/2012/chart" uri="{CE6537A1-D6FC-4f65-9D91-7224C49458BB}">
                  <c15:layout/>
                </c:ext>
              </c:extLst>
            </c:dLbl>
            <c:dLbl>
              <c:idx val="9"/>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zh-CN" altLang="en-US" sz="900"/>
                      <a:t>城乡社区</a:t>
                    </a:r>
                    <a:endParaRPr lang="en-US" altLang="zh-CN" sz="900"/>
                  </a:p>
                  <a:p>
                    <a:pPr>
                      <a:defRPr lang="zh-CN" sz="900" b="0" i="0" u="none" strike="noStrike" kern="1200" baseline="0">
                        <a:solidFill>
                          <a:schemeClr val="tx1"/>
                        </a:solidFill>
                        <a:latin typeface="+mn-lt"/>
                        <a:ea typeface="+mn-ea"/>
                        <a:cs typeface="+mn-cs"/>
                      </a:defRPr>
                    </a:pPr>
                    <a:r>
                      <a:rPr lang="en-US" altLang="en-US" sz="900"/>
                      <a:t>15.2</a:t>
                    </a:r>
                    <a:r>
                      <a:rPr lang="en-US" altLang="zh-CN" sz="900"/>
                      <a:t>%</a:t>
                    </a:r>
                    <a:endParaRPr lang="en-US" altLang="en-US" sz="900"/>
                  </a:p>
                </c:rich>
              </c:tx>
              <c:showLegendKey val="0"/>
              <c:showVal val="1"/>
              <c:showCatName val="0"/>
              <c:showSerName val="0"/>
              <c:showPercent val="0"/>
              <c:showBubbleSize val="0"/>
              <c:extLst>
                <c:ext xmlns:c15="http://schemas.microsoft.com/office/drawing/2012/chart" uri="{CE6537A1-D6FC-4f65-9D91-7224C49458BB}"/>
              </c:extLst>
            </c:dLbl>
            <c:dLbl>
              <c:idx val="10"/>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zh-CN" altLang="en-US" sz="900"/>
                      <a:t>农林水</a:t>
                    </a:r>
                    <a:r>
                      <a:rPr lang="zh-CN" altLang="en-US" sz="900" baseline="0"/>
                      <a:t>  </a:t>
                    </a:r>
                    <a:r>
                      <a:rPr lang="en-US" altLang="zh-CN" sz="900" baseline="0"/>
                      <a:t>7.7%</a:t>
                    </a:r>
                    <a:endParaRPr lang="en-US" altLang="en-US" sz="900"/>
                  </a:p>
                </c:rich>
              </c:tx>
              <c:showLegendKey val="0"/>
              <c:showVal val="1"/>
              <c:showCatName val="0"/>
              <c:showSerName val="0"/>
              <c:showPercent val="0"/>
              <c:showBubbleSize val="0"/>
              <c:extLst>
                <c:ext xmlns:c15="http://schemas.microsoft.com/office/drawing/2012/chart" uri="{CE6537A1-D6FC-4f65-9D91-7224C49458BB}"/>
              </c:extLst>
            </c:dLbl>
            <c:dLbl>
              <c:idx val="11"/>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zh-CN" altLang="en-US" sz="900"/>
                      <a:t>交通运输 </a:t>
                    </a:r>
                    <a:r>
                      <a:rPr lang="en-US" altLang="zh-CN" sz="900"/>
                      <a:t>2.1%</a:t>
                    </a:r>
                    <a:endParaRPr lang="en-US" altLang="en-US" sz="900"/>
                  </a:p>
                </c:rich>
              </c:tx>
              <c:showLegendKey val="0"/>
              <c:showVal val="1"/>
              <c:showCatName val="0"/>
              <c:showSerName val="0"/>
              <c:showPercent val="0"/>
              <c:showBubbleSize val="0"/>
              <c:extLst>
                <c:ext xmlns:c15="http://schemas.microsoft.com/office/drawing/2012/chart" uri="{CE6537A1-D6FC-4f65-9D91-7224C49458BB}"/>
              </c:extLst>
            </c:dLbl>
            <c:dLbl>
              <c:idx val="12"/>
              <c:layout>
                <c:manualLayout>
                  <c:x val="-0.102406554019457"/>
                  <c:y val="0"/>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zh-CN" altLang="en-US" sz="900"/>
                      <a:t>资源勘探工业信息 </a:t>
                    </a:r>
                    <a:r>
                      <a:rPr lang="en-US" altLang="zh-CN" sz="900"/>
                      <a:t>3.3%</a:t>
                    </a:r>
                    <a:endParaRPr lang="en-US" altLang="en-US" sz="900"/>
                  </a:p>
                </c:rich>
              </c:tx>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0.0901177675371224"/>
                  <c:y val="0.0081135902636917"/>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zh-CN" altLang="en-US" sz="900"/>
                      <a:t>商业服务业</a:t>
                    </a:r>
                    <a:r>
                      <a:rPr lang="en-US" altLang="zh-CN" sz="900"/>
                      <a:t>0.3%</a:t>
                    </a:r>
                    <a:endParaRPr lang="en-US" altLang="en-US" sz="900"/>
                  </a:p>
                </c:rich>
              </c:tx>
              <c:showLegendKey val="0"/>
              <c:showVal val="1"/>
              <c:showCatName val="0"/>
              <c:showSerName val="0"/>
              <c:showPercent val="0"/>
              <c:showBubbleSize val="0"/>
              <c:extLst>
                <c:ext xmlns:c15="http://schemas.microsoft.com/office/drawing/2012/chart" uri="{CE6537A1-D6FC-4f65-9D91-7224C49458BB}">
                  <c15:layout/>
                </c:ext>
              </c:extLst>
            </c:dLbl>
            <c:dLbl>
              <c:idx val="14"/>
              <c:layout>
                <c:manualLayout>
                  <c:x val="-0.110599078341014"/>
                  <c:y val="-0.021636240703178"/>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zh-CN" altLang="en-US" sz="900"/>
                      <a:t>自然资源海洋气象</a:t>
                    </a:r>
                    <a:r>
                      <a:rPr lang="en-US" altLang="zh-CN" sz="900"/>
                      <a:t>2.0%</a:t>
                    </a:r>
                    <a:endParaRPr lang="en-US" altLang="en-US" sz="900"/>
                  </a:p>
                </c:rich>
              </c:tx>
              <c:showLegendKey val="0"/>
              <c:showVal val="1"/>
              <c:showCatName val="0"/>
              <c:showSerName val="0"/>
              <c:showPercent val="0"/>
              <c:showBubbleSize val="0"/>
              <c:extLst>
                <c:ext xmlns:c15="http://schemas.microsoft.com/office/drawing/2012/chart" uri="{CE6537A1-D6FC-4f65-9D91-7224C49458BB}">
                  <c15:layout/>
                </c:ext>
              </c:extLst>
            </c:dLbl>
            <c:dLbl>
              <c:idx val="15"/>
              <c:layout>
                <c:manualLayout>
                  <c:x val="-0.0921658986175115"/>
                  <c:y val="-0.0135226504394863"/>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zh-CN" altLang="en-US" sz="900"/>
                      <a:t>住房保障 </a:t>
                    </a:r>
                    <a:r>
                      <a:rPr lang="en-US" altLang="zh-CN" sz="900"/>
                      <a:t>3.0%</a:t>
                    </a:r>
                    <a:endParaRPr lang="en-US" altLang="en-US" sz="900"/>
                  </a:p>
                </c:rich>
              </c:tx>
              <c:showLegendKey val="0"/>
              <c:showVal val="1"/>
              <c:showCatName val="0"/>
              <c:showSerName val="0"/>
              <c:showPercent val="0"/>
              <c:showBubbleSize val="0"/>
              <c:extLst>
                <c:ext xmlns:c15="http://schemas.microsoft.com/office/drawing/2012/chart" uri="{CE6537A1-D6FC-4f65-9D91-7224C49458BB}">
                  <c15:layout/>
                </c:ext>
              </c:extLst>
            </c:dLbl>
            <c:dLbl>
              <c:idx val="16"/>
              <c:layout>
                <c:manualLayout>
                  <c:x val="0.104454685099846"/>
                  <c:y val="0.0189317106152807"/>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zh-CN" altLang="en-US" sz="900"/>
                      <a:t>粮油物资储备</a:t>
                    </a:r>
                    <a:r>
                      <a:rPr lang="en-US" altLang="zh-CN" sz="900" baseline="0"/>
                      <a:t> 0.1%</a:t>
                    </a:r>
                    <a:endParaRPr lang="en-US" altLang="en-US" sz="900"/>
                  </a:p>
                </c:rich>
              </c:tx>
              <c:showLegendKey val="0"/>
              <c:showVal val="1"/>
              <c:showCatName val="0"/>
              <c:showSerName val="0"/>
              <c:showPercent val="0"/>
              <c:showBubbleSize val="0"/>
              <c:extLst>
                <c:ext xmlns:c15="http://schemas.microsoft.com/office/drawing/2012/chart" uri="{CE6537A1-D6FC-4f65-9D91-7224C49458BB}">
                  <c15:layout/>
                </c:ext>
              </c:extLst>
            </c:dLbl>
            <c:dLbl>
              <c:idx val="17"/>
              <c:layout>
                <c:manualLayout>
                  <c:x val="-0.12083973374296"/>
                  <c:y val="-0.0540906017579451"/>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zh-CN" altLang="en-US" sz="900"/>
                      <a:t>灾害防治应急管理</a:t>
                    </a:r>
                    <a:endParaRPr lang="en-US" altLang="zh-CN" sz="900"/>
                  </a:p>
                  <a:p>
                    <a:pPr>
                      <a:defRPr lang="zh-CN" sz="900" b="0" i="0" u="none" strike="noStrike" kern="1200" baseline="0">
                        <a:solidFill>
                          <a:schemeClr val="tx1"/>
                        </a:solidFill>
                        <a:latin typeface="+mn-lt"/>
                        <a:ea typeface="+mn-ea"/>
                        <a:cs typeface="+mn-cs"/>
                      </a:defRPr>
                    </a:pPr>
                    <a:r>
                      <a:rPr lang="en-US" altLang="en-US" sz="900"/>
                      <a:t>0.6</a:t>
                    </a:r>
                    <a:r>
                      <a:rPr lang="en-US" altLang="zh-CN" sz="900"/>
                      <a:t>%</a:t>
                    </a:r>
                    <a:endParaRPr lang="en-US" altLang="en-US" sz="900"/>
                  </a:p>
                </c:rich>
              </c:tx>
              <c:showLegendKey val="0"/>
              <c:showVal val="1"/>
              <c:showCatName val="0"/>
              <c:showSerName val="0"/>
              <c:showPercent val="0"/>
              <c:showBubbleSize val="0"/>
              <c:extLst>
                <c:ext xmlns:c15="http://schemas.microsoft.com/office/drawing/2012/chart" uri="{CE6537A1-D6FC-4f65-9D91-7224C49458BB}">
                  <c15:layout/>
                </c:ext>
              </c:extLst>
            </c:dLbl>
            <c:dLbl>
              <c:idx val="18"/>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zh-CN" altLang="en-US" sz="900"/>
                      <a:t>其他</a:t>
                    </a:r>
                    <a:endParaRPr lang="en-US" altLang="zh-CN" sz="900"/>
                  </a:p>
                  <a:p>
                    <a:pPr>
                      <a:defRPr lang="zh-CN" sz="900" b="0" i="0" u="none" strike="noStrike" kern="1200" baseline="0">
                        <a:solidFill>
                          <a:schemeClr val="tx1"/>
                        </a:solidFill>
                        <a:latin typeface="+mn-lt"/>
                        <a:ea typeface="+mn-ea"/>
                        <a:cs typeface="+mn-cs"/>
                      </a:defRPr>
                    </a:pPr>
                    <a:r>
                      <a:rPr lang="en-US" altLang="en-US" sz="900"/>
                      <a:t>5.2</a:t>
                    </a:r>
                    <a:r>
                      <a:rPr lang="en-US" altLang="zh-CN" sz="900"/>
                      <a:t>%</a:t>
                    </a:r>
                    <a:endParaRPr lang="en-US" altLang="en-US" sz="900"/>
                  </a:p>
                </c:rich>
              </c:tx>
              <c:showLegendKey val="0"/>
              <c:showVal val="1"/>
              <c:showCatName val="0"/>
              <c:showSerName val="0"/>
              <c:showPercent val="0"/>
              <c:showBubbleSize val="0"/>
              <c:extLst>
                <c:ext xmlns:c15="http://schemas.microsoft.com/office/drawing/2012/chart" uri="{CE6537A1-D6FC-4f65-9D91-7224C49458BB}"/>
              </c:extLst>
            </c:dLbl>
            <c:dLbl>
              <c:idx val="19"/>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zh-CN" altLang="en-US" sz="900"/>
                      <a:t>债务付息</a:t>
                    </a:r>
                    <a:endParaRPr lang="en-US" altLang="zh-CN" sz="900"/>
                  </a:p>
                  <a:p>
                    <a:pPr>
                      <a:defRPr lang="zh-CN" sz="900" b="0" i="0" u="none" strike="noStrike" kern="1200" baseline="0">
                        <a:solidFill>
                          <a:schemeClr val="tx1"/>
                        </a:solidFill>
                        <a:latin typeface="+mn-lt"/>
                        <a:ea typeface="+mn-ea"/>
                        <a:cs typeface="+mn-cs"/>
                      </a:defRPr>
                    </a:pPr>
                    <a:r>
                      <a:rPr lang="en-US" altLang="zh-CN" sz="900"/>
                      <a:t>12.6%</a:t>
                    </a:r>
                    <a:endParaRPr lang="en-US" altLang="zh-CN" sz="900"/>
                  </a:p>
                </c:rich>
              </c:tx>
              <c:showLegendKey val="0"/>
              <c:showVal val="1"/>
              <c:showCatName val="0"/>
              <c:showSerName val="0"/>
              <c:showPercent val="0"/>
              <c:showBubbleSize val="0"/>
              <c:extLst>
                <c:ext xmlns:c15="http://schemas.microsoft.com/office/drawing/2012/chart" uri="{CE6537A1-D6FC-4f65-9D91-7224C49458BB}"/>
              </c:extLst>
            </c:dLbl>
            <c:dLbl>
              <c:idx val="20"/>
              <c:layout>
                <c:manualLayout>
                  <c:x val="0.00614439324116744"/>
                  <c:y val="0.135226504394861"/>
                </c:manualLayout>
              </c:layout>
              <c:tx>
                <c:rich>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r>
                      <a:rPr lang="zh-CN" altLang="en-US" sz="900"/>
                      <a:t>债务发行费</a:t>
                    </a:r>
                    <a:endParaRPr lang="en-US" altLang="zh-CN" sz="900"/>
                  </a:p>
                  <a:p>
                    <a:pPr>
                      <a:defRPr lang="zh-CN" sz="900" b="0" i="0" u="none" strike="noStrike" kern="1200" baseline="0">
                        <a:solidFill>
                          <a:schemeClr val="tx1"/>
                        </a:solidFill>
                        <a:latin typeface="+mn-lt"/>
                        <a:ea typeface="+mn-ea"/>
                        <a:cs typeface="+mn-cs"/>
                      </a:defRPr>
                    </a:pPr>
                    <a:r>
                      <a:rPr lang="en-US" altLang="en-US" sz="900"/>
                      <a:t>0.02</a:t>
                    </a:r>
                    <a:r>
                      <a:rPr lang="en-US" altLang="zh-CN" sz="900"/>
                      <a:t>%</a:t>
                    </a:r>
                    <a:endParaRPr lang="en-US" altLang="en-US" sz="900"/>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支出!$A$36:$A$56</c:f>
              <c:strCache>
                <c:ptCount val="21"/>
                <c:pt idx="0">
                  <c:v>　一般公共服务支出</c:v>
                </c:pt>
                <c:pt idx="1">
                  <c:v>　国防支出</c:v>
                </c:pt>
                <c:pt idx="2">
                  <c:v>　公共安全支出</c:v>
                </c:pt>
                <c:pt idx="3">
                  <c:v>　教育支出</c:v>
                </c:pt>
                <c:pt idx="4">
                  <c:v>　科学技术支出</c:v>
                </c:pt>
                <c:pt idx="5">
                  <c:v>　文化旅游体育与传媒支出</c:v>
                </c:pt>
                <c:pt idx="6">
                  <c:v>　社会保障和就业支出</c:v>
                </c:pt>
                <c:pt idx="7">
                  <c:v>  卫生健康支出</c:v>
                </c:pt>
                <c:pt idx="8">
                  <c:v>　节能环保支出</c:v>
                </c:pt>
                <c:pt idx="9">
                  <c:v>　城乡社区支出</c:v>
                </c:pt>
                <c:pt idx="10">
                  <c:v>　农林水支出</c:v>
                </c:pt>
                <c:pt idx="11">
                  <c:v>　交通运输支出</c:v>
                </c:pt>
                <c:pt idx="12">
                  <c:v>  资源勘探工业信息等支出</c:v>
                </c:pt>
                <c:pt idx="13">
                  <c:v>  商业服务业等支出</c:v>
                </c:pt>
                <c:pt idx="14">
                  <c:v>  自然资源海洋气象等支出</c:v>
                </c:pt>
                <c:pt idx="15">
                  <c:v>  住房保障支出</c:v>
                </c:pt>
                <c:pt idx="16">
                  <c:v>　粮油物资储备支出</c:v>
                </c:pt>
                <c:pt idx="17">
                  <c:v>  灾害防治及应急管理支出</c:v>
                </c:pt>
                <c:pt idx="18">
                  <c:v>  其他支出</c:v>
                </c:pt>
                <c:pt idx="19">
                  <c:v>  债务付息支出</c:v>
                </c:pt>
                <c:pt idx="20">
                  <c:v>  债务发行费用支出</c:v>
                </c:pt>
              </c:strCache>
            </c:strRef>
          </c:cat>
          <c:val>
            <c:numRef>
              <c:f>支出!$B$36:$B$56</c:f>
              <c:numCache>
                <c:formatCode>General</c:formatCode>
                <c:ptCount val="21"/>
                <c:pt idx="0">
                  <c:v>77165</c:v>
                </c:pt>
                <c:pt idx="1">
                  <c:v>260</c:v>
                </c:pt>
                <c:pt idx="2">
                  <c:v>32160</c:v>
                </c:pt>
                <c:pt idx="3">
                  <c:v>72337</c:v>
                </c:pt>
                <c:pt idx="4">
                  <c:v>7720</c:v>
                </c:pt>
                <c:pt idx="5">
                  <c:v>6914</c:v>
                </c:pt>
                <c:pt idx="6">
                  <c:v>124922</c:v>
                </c:pt>
                <c:pt idx="7">
                  <c:v>50334</c:v>
                </c:pt>
                <c:pt idx="8">
                  <c:v>26092</c:v>
                </c:pt>
                <c:pt idx="9">
                  <c:v>166095</c:v>
                </c:pt>
                <c:pt idx="10">
                  <c:v>50570</c:v>
                </c:pt>
                <c:pt idx="11">
                  <c:v>20857</c:v>
                </c:pt>
                <c:pt idx="12">
                  <c:v>27681</c:v>
                </c:pt>
                <c:pt idx="13">
                  <c:v>3070</c:v>
                </c:pt>
                <c:pt idx="14">
                  <c:v>16961</c:v>
                </c:pt>
                <c:pt idx="15">
                  <c:v>24978</c:v>
                </c:pt>
                <c:pt idx="16">
                  <c:v>1228</c:v>
                </c:pt>
                <c:pt idx="17">
                  <c:v>5020</c:v>
                </c:pt>
                <c:pt idx="18">
                  <c:v>54355</c:v>
                </c:pt>
                <c:pt idx="19">
                  <c:v>107949</c:v>
                </c:pt>
                <c:pt idx="20">
                  <c:v>223</c:v>
                </c:pt>
              </c:numCache>
            </c:numRef>
          </c:val>
        </c:ser>
        <c:dLbls>
          <c:showLegendKey val="0"/>
          <c:showVal val="1"/>
          <c:showCatName val="0"/>
          <c:showSerName val="0"/>
          <c:showPercent val="0"/>
          <c:showBubbleSize val="0"/>
          <c:showLeaderLines val="1"/>
        </c:dLbls>
        <c:firstSliceAng val="0"/>
        <c:holeSize val="50"/>
      </c:doughnutChart>
    </c:plotArea>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D2C47-F6FD-4745-801C-4AEA8E8F193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8050</Words>
  <Characters>4898</Characters>
  <Lines>40</Lines>
  <Paragraphs>25</Paragraphs>
  <TotalTime>4</TotalTime>
  <ScaleCrop>false</ScaleCrop>
  <LinksUpToDate>false</LinksUpToDate>
  <CharactersWithSpaces>12923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2024-08-07T01:35:00Z</dcterms:created>
  <dc:creator>czj</dc:creator>
  <cp:lastModifiedBy>CZJ-H</cp:lastModifiedBy>
  <cp:lastPrinted>2024-08-12T03:19:00Z</cp:lastPrinted>
  <dcterms:modified xsi:type="dcterms:W3CDTF">2024-08-15T04:04:06Z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C161C6E2FE424309B468F372A6FC5B81</vt:lpwstr>
  </property>
</Properties>
</file>