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b/>
          <w:bCs/>
          <w:sz w:val="32"/>
          <w:szCs w:val="32"/>
        </w:rPr>
      </w:pPr>
      <w:r>
        <w:rPr>
          <w:rFonts w:hint="eastAsia" w:asciiTheme="majorEastAsia" w:hAnsiTheme="majorEastAsia" w:eastAsiaTheme="majorEastAsia" w:cstheme="majorEastAsia"/>
          <w:b/>
          <w:bCs/>
          <w:color w:val="FF0000"/>
          <w:spacing w:val="-17"/>
          <w:kern w:val="0"/>
          <w:sz w:val="40"/>
          <w:szCs w:val="40"/>
          <w:shd w:val="clear" w:color="auto" w:fill="FFFFFF"/>
          <w:lang w:val="en-US" w:eastAsia="zh-CN"/>
        </w:rPr>
        <w:t>关于辽河干流防洪提升涉及油气设施迁改工程曙采部分环境影响报告书</w:t>
      </w:r>
      <w:r>
        <w:rPr>
          <w:rFonts w:hint="eastAsia" w:asciiTheme="majorEastAsia" w:hAnsiTheme="majorEastAsia" w:eastAsiaTheme="majorEastAsia" w:cstheme="majorEastAsia"/>
          <w:b/>
          <w:bCs/>
          <w:color w:val="FF0000"/>
          <w:spacing w:val="-17"/>
          <w:kern w:val="0"/>
          <w:sz w:val="40"/>
          <w:szCs w:val="40"/>
          <w:shd w:val="clear" w:color="auto" w:fill="FFFFFF"/>
          <w:lang w:val="en-US" w:eastAsia="zh-CN"/>
        </w:rPr>
        <w:t>的批复</w:t>
      </w:r>
    </w:p>
    <w:p>
      <w:pPr>
        <w:pStyle w:val="9"/>
        <w:rPr>
          <w:rFonts w:ascii="楷体_GB2312" w:eastAsia="楷体_GB2312"/>
          <w:b w:val="0"/>
        </w:rPr>
      </w:pPr>
      <w:r>
        <w:rPr>
          <w:rFonts w:hint="eastAsia" w:ascii="仿宋_GB2312" w:eastAsia="仿宋_GB2312"/>
          <w:b w:val="0"/>
        </w:rPr>
        <w:t>盘环审〔202</w:t>
      </w:r>
      <w:r>
        <w:rPr>
          <w:rFonts w:hint="eastAsia" w:ascii="仿宋_GB2312" w:eastAsia="仿宋_GB2312"/>
          <w:b w:val="0"/>
          <w:lang w:val="en-US" w:eastAsia="zh-CN"/>
        </w:rPr>
        <w:t>4</w:t>
      </w:r>
      <w:r>
        <w:rPr>
          <w:rFonts w:hint="eastAsia" w:ascii="仿宋_GB2312" w:eastAsia="仿宋_GB2312"/>
          <w:b w:val="0"/>
        </w:rPr>
        <w:t>〕</w:t>
      </w:r>
      <w:r>
        <w:rPr>
          <w:rFonts w:hint="eastAsia" w:ascii="仿宋_GB2312" w:eastAsia="仿宋_GB2312"/>
          <w:b w:val="0"/>
          <w:lang w:val="en-US" w:eastAsia="zh-CN"/>
        </w:rPr>
        <w:t>05</w:t>
      </w:r>
      <w:r>
        <w:rPr>
          <w:rFonts w:hint="eastAsia" w:ascii="仿宋_GB2312" w:eastAsia="仿宋_GB2312"/>
          <w:b w:val="0"/>
        </w:rPr>
        <w:t>号</w:t>
      </w:r>
    </w:p>
    <w:p>
      <w:pPr>
        <w:pStyle w:val="6"/>
        <w:rPr>
          <w:rFonts w:hint="eastAsia"/>
          <w:b/>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46990</wp:posOffset>
                </wp:positionV>
                <wp:extent cx="5659755" cy="7620"/>
                <wp:effectExtent l="0" t="0" r="0" b="0"/>
                <wp:wrapNone/>
                <wp:docPr id="1" name="直线 2"/>
                <wp:cNvGraphicFramePr/>
                <a:graphic xmlns:a="http://schemas.openxmlformats.org/drawingml/2006/main">
                  <a:graphicData uri="http://schemas.microsoft.com/office/word/2010/wordprocessingShape">
                    <wps:wsp>
                      <wps:cNvCnPr/>
                      <wps:spPr>
                        <a:xfrm>
                          <a:off x="962025" y="3455670"/>
                          <a:ext cx="5659755" cy="762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8pt;margin-top:3.7pt;height:0.6pt;width:445.65pt;z-index:251659264;mso-width-relative:page;mso-height-relative:page;" filled="f" stroked="t" coordsize="21600,21600" o:gfxdata="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eKJM9YAAAAGAQAADwAAAAAAAAABACAAAAAiAAAAZHJzL2Rvd25yZXYueG1sUEsB&#10;AhQAFAAAAAgAh07iQAtd01H3AQAA6gMAAA4AAAAAAAAAAQAgAAAAJQEAAGRycy9lMm9Eb2MueG1s&#10;UEsFBgAAAAAGAAYAWQEAAI4FAAAAAA==&#10;">
                <v:fill on="f" focussize="0,0"/>
                <v:stroke weight="1.5pt" color="#FF0000" joinstyle="round"/>
                <v:imagedata o:title=""/>
                <o:lock v:ext="edit" aspectratio="f"/>
              </v:line>
            </w:pict>
          </mc:Fallback>
        </mc:AlternateContent>
      </w:r>
    </w:p>
    <w:p>
      <w:pPr>
        <w:spacing w:line="360" w:lineRule="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中国石油辽河油田曙光采油厂</w:t>
      </w:r>
      <w:r>
        <w:rPr>
          <w:rFonts w:hint="eastAsia" w:ascii="仿宋" w:hAnsi="仿宋" w:eastAsia="仿宋" w:cs="仿宋"/>
          <w:sz w:val="32"/>
          <w:szCs w:val="32"/>
          <w:lang w:val="en-US" w:eastAsia="zh-CN"/>
        </w:rPr>
        <w:t>：</w:t>
      </w:r>
    </w:p>
    <w:p>
      <w:pPr>
        <w:widowControl/>
        <w:spacing w:line="450" w:lineRule="atLeast"/>
        <w:ind w:firstLine="680" w:firstLineChars="200"/>
        <w:jc w:val="left"/>
        <w:rPr>
          <w:rFonts w:hint="eastAsia" w:ascii="仿宋" w:hAnsi="仿宋" w:eastAsia="仿宋" w:cs="仿宋"/>
          <w:spacing w:val="10"/>
          <w:kern w:val="0"/>
          <w:sz w:val="32"/>
          <w:szCs w:val="32"/>
          <w:shd w:val="clear" w:color="auto" w:fill="FFFFFF"/>
          <w:lang w:bidi="ar"/>
        </w:rPr>
      </w:pPr>
      <w:r>
        <w:rPr>
          <w:rFonts w:hint="eastAsia" w:ascii="仿宋" w:hAnsi="仿宋" w:eastAsia="仿宋" w:cs="仿宋"/>
          <w:spacing w:val="10"/>
          <w:kern w:val="0"/>
          <w:sz w:val="32"/>
          <w:szCs w:val="32"/>
          <w:shd w:val="clear" w:color="auto" w:fill="FFFFFF"/>
          <w:lang w:bidi="ar"/>
        </w:rPr>
        <w:t>你公司报送的《</w:t>
      </w:r>
      <w:r>
        <w:rPr>
          <w:rFonts w:hint="default" w:ascii="仿宋" w:hAnsi="仿宋" w:eastAsia="仿宋" w:cs="仿宋"/>
          <w:spacing w:val="10"/>
          <w:kern w:val="0"/>
          <w:sz w:val="32"/>
          <w:szCs w:val="32"/>
          <w:shd w:val="clear" w:color="auto" w:fill="FFFFFF"/>
          <w:lang w:bidi="ar"/>
        </w:rPr>
        <w:t>辽河干流防洪提升涉及油气设施迁改工程曙采部分环境影响报告书</w:t>
      </w:r>
      <w:r>
        <w:rPr>
          <w:rFonts w:hint="eastAsia" w:ascii="仿宋" w:hAnsi="仿宋" w:eastAsia="仿宋" w:cs="仿宋"/>
          <w:spacing w:val="10"/>
          <w:kern w:val="0"/>
          <w:sz w:val="32"/>
          <w:szCs w:val="32"/>
          <w:shd w:val="clear" w:color="auto" w:fill="FFFFFF"/>
          <w:lang w:bidi="ar"/>
        </w:rPr>
        <w:t>》（以下简称“报告书”）收悉。经评估后局务会研究通过，</w:t>
      </w:r>
      <w:r>
        <w:rPr>
          <w:rFonts w:hint="eastAsia" w:ascii="仿宋" w:hAnsi="仿宋" w:eastAsia="仿宋" w:cs="仿宋"/>
          <w:spacing w:val="10"/>
          <w:kern w:val="0"/>
          <w:sz w:val="32"/>
          <w:szCs w:val="32"/>
          <w:shd w:val="clear" w:color="auto" w:fill="FFFFFF"/>
          <w:lang w:val="en-US" w:eastAsia="zh-CN" w:bidi="ar"/>
        </w:rPr>
        <w:t>现</w:t>
      </w:r>
      <w:r>
        <w:rPr>
          <w:rFonts w:hint="eastAsia" w:ascii="仿宋" w:hAnsi="仿宋" w:eastAsia="仿宋" w:cs="仿宋"/>
          <w:spacing w:val="10"/>
          <w:kern w:val="0"/>
          <w:sz w:val="32"/>
          <w:szCs w:val="32"/>
          <w:shd w:val="clear" w:color="auto" w:fill="FFFFFF"/>
          <w:lang w:bidi="ar"/>
        </w:rPr>
        <w:t>批复如下：</w:t>
      </w:r>
    </w:p>
    <w:p>
      <w:pPr>
        <w:widowControl/>
        <w:spacing w:line="450" w:lineRule="atLeast"/>
        <w:ind w:firstLine="680" w:firstLineChars="200"/>
        <w:jc w:val="left"/>
        <w:rPr>
          <w:rFonts w:hint="eastAsia" w:ascii="仿宋" w:hAnsi="仿宋" w:eastAsia="仿宋" w:cs="仿宋"/>
          <w:spacing w:val="10"/>
          <w:kern w:val="0"/>
          <w:sz w:val="32"/>
          <w:szCs w:val="32"/>
          <w:shd w:val="clear" w:color="auto" w:fill="FFFFFF"/>
          <w:lang w:eastAsia="zh-CN" w:bidi="ar"/>
        </w:rPr>
      </w:pPr>
      <w:r>
        <w:rPr>
          <w:rFonts w:hint="eastAsia" w:ascii="仿宋" w:hAnsi="仿宋" w:eastAsia="仿宋" w:cs="仿宋"/>
          <w:spacing w:val="10"/>
          <w:kern w:val="0"/>
          <w:sz w:val="32"/>
          <w:szCs w:val="32"/>
          <w:shd w:val="clear" w:color="auto" w:fill="FFFFFF"/>
          <w:lang w:bidi="ar"/>
        </w:rPr>
        <w:t>一、</w:t>
      </w:r>
      <w:r>
        <w:rPr>
          <w:rFonts w:hint="default" w:ascii="仿宋" w:hAnsi="仿宋" w:eastAsia="仿宋" w:cs="仿宋"/>
          <w:sz w:val="32"/>
          <w:szCs w:val="32"/>
          <w:lang w:val="en-US" w:eastAsia="zh-CN"/>
        </w:rPr>
        <w:t>辽河油田曙光采油厂</w:t>
      </w:r>
      <w:r>
        <w:rPr>
          <w:rFonts w:hint="eastAsia" w:ascii="仿宋" w:hAnsi="仿宋" w:eastAsia="仿宋" w:cs="仿宋"/>
          <w:spacing w:val="10"/>
          <w:kern w:val="0"/>
          <w:sz w:val="32"/>
          <w:szCs w:val="32"/>
          <w:shd w:val="clear" w:color="auto" w:fill="FFFFFF"/>
          <w:lang w:bidi="ar"/>
        </w:rPr>
        <w:t>拟投资</w:t>
      </w:r>
      <w:r>
        <w:rPr>
          <w:rFonts w:hint="default" w:ascii="仿宋" w:hAnsi="仿宋" w:eastAsia="仿宋" w:cs="仿宋"/>
          <w:spacing w:val="10"/>
          <w:kern w:val="0"/>
          <w:sz w:val="32"/>
          <w:szCs w:val="32"/>
          <w:shd w:val="clear" w:color="auto" w:fill="FFFFFF"/>
          <w:lang w:val="en-US" w:eastAsia="zh-CN" w:bidi="ar"/>
        </w:rPr>
        <w:t>690.25</w:t>
      </w:r>
      <w:r>
        <w:rPr>
          <w:rFonts w:hint="eastAsia" w:ascii="仿宋" w:hAnsi="仿宋" w:eastAsia="仿宋" w:cs="仿宋"/>
          <w:spacing w:val="10"/>
          <w:kern w:val="0"/>
          <w:sz w:val="32"/>
          <w:szCs w:val="32"/>
          <w:shd w:val="clear" w:color="auto" w:fill="FFFFFF"/>
          <w:lang w:bidi="ar"/>
        </w:rPr>
        <w:t>万元建设</w:t>
      </w:r>
      <w:r>
        <w:rPr>
          <w:rFonts w:hint="default" w:ascii="仿宋" w:hAnsi="仿宋" w:eastAsia="仿宋" w:cs="仿宋"/>
          <w:spacing w:val="10"/>
          <w:kern w:val="0"/>
          <w:sz w:val="32"/>
          <w:szCs w:val="32"/>
          <w:shd w:val="clear" w:color="auto" w:fill="FFFFFF"/>
          <w:lang w:bidi="ar"/>
        </w:rPr>
        <w:t>辽河干流防洪提升涉及油气设施迁</w:t>
      </w:r>
      <w:r>
        <w:rPr>
          <w:rFonts w:hint="default" w:ascii="仿宋" w:hAnsi="仿宋" w:eastAsia="仿宋" w:cs="仿宋"/>
          <w:spacing w:val="10"/>
          <w:kern w:val="0"/>
          <w:sz w:val="32"/>
          <w:szCs w:val="32"/>
          <w:shd w:val="clear" w:color="auto" w:fill="FFFFFF"/>
          <w:lang w:val="en-US" w:eastAsia="zh-CN" w:bidi="ar"/>
        </w:rPr>
        <w:t>改工程曙采部分</w:t>
      </w:r>
      <w:r>
        <w:rPr>
          <w:rFonts w:hint="eastAsia" w:ascii="仿宋" w:hAnsi="仿宋" w:eastAsia="仿宋" w:cs="仿宋"/>
          <w:spacing w:val="10"/>
          <w:kern w:val="0"/>
          <w:sz w:val="32"/>
          <w:szCs w:val="32"/>
          <w:shd w:val="clear" w:color="auto" w:fill="FFFFFF"/>
          <w:lang w:val="en-US" w:eastAsia="zh-CN" w:bidi="ar"/>
        </w:rPr>
        <w:t>项目</w:t>
      </w:r>
      <w:r>
        <w:rPr>
          <w:rFonts w:hint="eastAsia" w:ascii="仿宋" w:hAnsi="仿宋" w:eastAsia="仿宋" w:cs="仿宋"/>
          <w:spacing w:val="10"/>
          <w:kern w:val="0"/>
          <w:sz w:val="32"/>
          <w:szCs w:val="32"/>
          <w:shd w:val="clear" w:color="auto" w:fill="FFFFFF"/>
          <w:lang w:bidi="ar"/>
        </w:rPr>
        <w:t>，</w:t>
      </w:r>
      <w:r>
        <w:rPr>
          <w:rFonts w:hint="eastAsia" w:ascii="仿宋" w:hAnsi="仿宋" w:eastAsia="仿宋" w:cs="仿宋"/>
          <w:spacing w:val="10"/>
          <w:kern w:val="0"/>
          <w:sz w:val="32"/>
          <w:szCs w:val="32"/>
          <w:shd w:val="clear" w:color="auto" w:fill="FFFFFF"/>
          <w:lang w:val="en-US" w:eastAsia="zh-CN" w:bidi="ar"/>
        </w:rPr>
        <w:t>项目位于盘锦市双台子区及兴隆台区辽河北岸，主要工程</w:t>
      </w:r>
      <w:r>
        <w:rPr>
          <w:rFonts w:hint="eastAsia" w:ascii="仿宋" w:hAnsi="仿宋" w:eastAsia="仿宋" w:cs="仿宋"/>
          <w:spacing w:val="10"/>
          <w:kern w:val="0"/>
          <w:sz w:val="32"/>
          <w:szCs w:val="32"/>
          <w:shd w:val="clear" w:color="auto" w:fill="FFFFFF"/>
          <w:lang w:bidi="ar"/>
        </w:rPr>
        <w:t>包括对杜田线东坝2条爬堤管线、陆家村12条爬堤管线、S308南坝3条爬堤</w:t>
      </w:r>
      <w:r>
        <w:rPr>
          <w:rFonts w:hint="eastAsia" w:ascii="仿宋" w:hAnsi="仿宋" w:eastAsia="仿宋" w:cs="仿宋"/>
          <w:spacing w:val="10"/>
          <w:kern w:val="0"/>
          <w:sz w:val="32"/>
          <w:szCs w:val="32"/>
          <w:shd w:val="clear" w:color="auto" w:fill="FFFFFF"/>
          <w:lang w:val="en-US" w:eastAsia="zh-CN" w:bidi="ar"/>
        </w:rPr>
        <w:t>共17条</w:t>
      </w:r>
      <w:r>
        <w:rPr>
          <w:rFonts w:hint="eastAsia" w:ascii="仿宋" w:hAnsi="仿宋" w:eastAsia="仿宋" w:cs="仿宋"/>
          <w:spacing w:val="10"/>
          <w:kern w:val="0"/>
          <w:sz w:val="32"/>
          <w:szCs w:val="32"/>
          <w:shd w:val="clear" w:color="auto" w:fill="FFFFFF"/>
          <w:lang w:bidi="ar"/>
        </w:rPr>
        <w:t>管线进行爬堤改造</w:t>
      </w:r>
      <w:r>
        <w:rPr>
          <w:rFonts w:hint="eastAsia" w:ascii="仿宋" w:hAnsi="仿宋" w:eastAsia="仿宋" w:cs="仿宋"/>
          <w:spacing w:val="10"/>
          <w:kern w:val="0"/>
          <w:sz w:val="32"/>
          <w:szCs w:val="32"/>
          <w:shd w:val="clear" w:color="auto" w:fill="FFFFFF"/>
          <w:lang w:eastAsia="zh-CN" w:bidi="ar"/>
        </w:rPr>
        <w:t>，</w:t>
      </w:r>
      <w:r>
        <w:rPr>
          <w:rFonts w:hint="eastAsia" w:ascii="仿宋" w:hAnsi="仿宋" w:eastAsia="仿宋" w:cs="仿宋"/>
          <w:spacing w:val="10"/>
          <w:kern w:val="0"/>
          <w:sz w:val="32"/>
          <w:szCs w:val="32"/>
          <w:shd w:val="clear" w:color="auto" w:fill="FFFFFF"/>
          <w:lang w:val="en-US" w:eastAsia="zh-CN" w:bidi="ar"/>
        </w:rPr>
        <w:t>改造后合并为15条管线通过6个点位爬坝过堤，改造管线路由与已建管道路由相同，总长度为1km</w:t>
      </w:r>
      <w:r>
        <w:rPr>
          <w:rFonts w:hint="eastAsia" w:ascii="仿宋" w:hAnsi="仿宋" w:eastAsia="仿宋" w:cs="仿宋"/>
          <w:spacing w:val="10"/>
          <w:kern w:val="0"/>
          <w:sz w:val="32"/>
          <w:szCs w:val="32"/>
          <w:shd w:val="clear" w:color="auto" w:fill="FFFFFF"/>
          <w:lang w:eastAsia="zh-CN" w:bidi="ar"/>
        </w:rPr>
        <w:t>。</w:t>
      </w:r>
    </w:p>
    <w:p>
      <w:pPr>
        <w:widowControl/>
        <w:spacing w:line="450" w:lineRule="atLeast"/>
        <w:ind w:firstLine="640" w:firstLineChars="200"/>
        <w:jc w:val="left"/>
        <w:rPr>
          <w:rFonts w:hint="eastAsia" w:ascii="仿宋" w:hAnsi="仿宋" w:eastAsia="仿宋" w:cs="仿宋"/>
          <w:spacing w:val="10"/>
          <w:kern w:val="0"/>
          <w:sz w:val="32"/>
          <w:szCs w:val="32"/>
          <w:shd w:val="clear" w:color="auto" w:fill="FFFFFF"/>
          <w:lang w:bidi="ar"/>
        </w:rPr>
      </w:pPr>
      <w:r>
        <w:rPr>
          <w:rFonts w:hint="eastAsia" w:ascii="仿宋" w:hAnsi="仿宋" w:eastAsia="仿宋" w:cs="仿宋"/>
          <w:sz w:val="32"/>
          <w:szCs w:val="32"/>
          <w:shd w:val="clear" w:color="auto" w:fill="FFFFFF"/>
        </w:rPr>
        <w:t>在全面落实“报告书”提出的各项污染防治及风险防范措施后，从环保角度分析，我局原则同意你公司“报告书”中所列建设项目的地点、性质、规模、生产工艺和拟采取的环境保护措施。</w:t>
      </w:r>
    </w:p>
    <w:p>
      <w:pPr>
        <w:pStyle w:val="8"/>
        <w:widowControl/>
        <w:spacing w:line="338" w:lineRule="atLeas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二、项目建设与运行管理中应重点做好以下工作：</w:t>
      </w:r>
    </w:p>
    <w:p>
      <w:pPr>
        <w:pStyle w:val="8"/>
        <w:widowControl/>
        <w:spacing w:line="338" w:lineRule="atLeast"/>
        <w:ind w:firstLine="640" w:firstLineChars="200"/>
        <w:jc w:val="left"/>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kern w:val="2"/>
          <w:sz w:val="32"/>
          <w:szCs w:val="32"/>
          <w:shd w:val="clear" w:color="auto" w:fill="FFFFFF"/>
          <w:lang w:val="en-US" w:eastAsia="zh-CN" w:bidi="ar-SA"/>
        </w:rPr>
        <w:t>（一）严格落实大气环境保护措施。施工期按《辽宁省扬尘污染防治管理办法》规定做好扬尘污染防治和管理工作，堆场和运输散体物料车辆需进行遮盖、密闭，对管线开挖的堆土进行覆盖，通过增设围</w:t>
      </w: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挡、洒水抑尘等控制措施降低扬尘对环境的影响；柴油发电机等非道路机械加强监测，确保废气污染物达标排放。</w:t>
      </w:r>
    </w:p>
    <w:p>
      <w:pPr>
        <w:pStyle w:val="8"/>
        <w:widowControl/>
        <w:spacing w:line="338" w:lineRule="atLeast"/>
        <w:ind w:firstLine="640" w:firstLineChars="200"/>
        <w:jc w:val="left"/>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（二）强化水环境保护措施。施工期产生生活污水、管道试压废水罐车拉运至曙四联合站处理达标后回注油气层。</w:t>
      </w:r>
    </w:p>
    <w:p>
      <w:pPr>
        <w:ind w:firstLine="640" w:firstLineChars="2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三）严格落实固体废物处置措施。施工期拆除的废管件、管道焊接废渣属一般固废，经收集委托资源化回收单位处理。运营期输油、输气管线清管产生的污油进入曙四联合站污油罐设施集中处理；注水管线清管产生的清管污泥属于一般固废，统一清运至政府部门指定收集点。</w:t>
      </w:r>
    </w:p>
    <w:p>
      <w:pPr>
        <w:ind w:left="319" w:leftChars="152" w:firstLine="320" w:firstLineChars="1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四）严格落实噪声污染防治措施。合理安排施工时间，对高噪声设备采取隔声、减震措施，在距离居民区较近的一侧设置高6m隔声屏障，工程车辆行驶村庄区域禁止鸣笛，减速限行。确保声环境质量达到《建筑施工场界环境噪声排放标准》（GB12523-2011）要求。</w:t>
      </w:r>
    </w:p>
    <w:p>
      <w:pPr>
        <w:ind w:firstLine="640" w:firstLineChars="2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（五）落实生态环境保护措施和生态修复方案。施工期严格控制施工作业带面积，合理安排施工季节和作业时间，尽量避免雨季进行大量动土和开挖工程，减少水土流失；  施工期结束后及时对临时占地进行生态恢复，做好区域生态保护和污染防治工作，将环境影响降至最低。</w:t>
      </w:r>
    </w:p>
    <w:p>
      <w:pPr>
        <w:ind w:firstLine="640" w:firstLineChars="2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 xml:space="preserve">（六）强化环境风险防范措施和应急管理。设置管线走向标识、警示牌，对输油、输气管线定期检测，管道设置截断阀。建立环境风险管理体系，制定应急预案，定期开展环境风险应急演练，与地方政府建立应急联动机制。    </w:t>
      </w:r>
    </w:p>
    <w:p>
      <w:pPr>
        <w:ind w:firstLine="640" w:firstLineChars="2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（七）在工程施工和运营过程中，建立畅通的公众参与平台，及时解决公众担忧的环境问题，满足公众合理的环境诉求，并主动接受社会监督；管线穿越生态红线、湿地等特殊地段，施工前须征求主管部门意见。</w:t>
      </w:r>
    </w:p>
    <w:p>
      <w:pPr>
        <w:ind w:firstLine="640" w:firstLineChars="200"/>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三、项目建设须严格执行环境保护设施与主体工程同时设计、同时施工、同时投产使用的环境保护“三同时”制度。项目竣工后，建设单位须按照规定程序完成竣工环境保护验收。经验收合格后，项目方可正式投入生产。</w:t>
      </w:r>
    </w:p>
    <w:p>
      <w:pPr>
        <w:ind w:firstLine="640" w:firstLineChars="20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color w:val="000000" w:themeColor="text1"/>
          <w:kern w:val="2"/>
          <w:sz w:val="32"/>
          <w:szCs w:val="32"/>
          <w:shd w:val="clear" w:color="auto" w:fill="FFFFFF"/>
          <w:lang w:val="en-US" w:eastAsia="zh-CN" w:bidi="ar-SA"/>
          <w14:textFill>
            <w14:solidFill>
              <w14:schemeClr w14:val="tx1"/>
            </w14:solidFill>
          </w14:textFill>
        </w:rPr>
        <w:t>四、环境影响报告书经批准后，项目的性质、规模、地点、工艺或者防治污染、环境风险防范的措施发生重大变</w:t>
      </w:r>
      <w:r>
        <w:rPr>
          <w:rFonts w:hint="eastAsia" w:ascii="仿宋" w:hAnsi="仿宋" w:eastAsia="仿宋" w:cs="仿宋"/>
          <w:kern w:val="2"/>
          <w:sz w:val="32"/>
          <w:szCs w:val="32"/>
          <w:shd w:val="clear" w:color="auto" w:fill="FFFFFF"/>
          <w:lang w:val="en-US" w:eastAsia="zh-CN" w:bidi="ar-SA"/>
        </w:rPr>
        <w:t>动的，应当重新报批该项目的环境影响报告书。自环境影响报告书批复文件批准之日起,如超过5年方决定工程开工建设的，环境影响报告书应报我局重新审核。</w:t>
      </w:r>
    </w:p>
    <w:p>
      <w:pPr>
        <w:ind w:firstLine="640" w:firstLineChars="200"/>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shd w:val="clear" w:color="auto" w:fill="FFFFFF"/>
          <w:lang w:val="en-US" w:eastAsia="zh-CN" w:bidi="ar-SA"/>
        </w:rPr>
        <w:t>五、市生态环境保护综合行政执法队负责项目建设及运行期的环境管理工作，你公司按规定接受各级环境保护行政主管部门的日常监督检查。</w:t>
      </w:r>
    </w:p>
    <w:p>
      <w:pPr>
        <w:widowControl/>
        <w:spacing w:line="450" w:lineRule="atLeast"/>
        <w:jc w:val="left"/>
        <w:rPr>
          <w:rFonts w:hint="eastAsia" w:ascii="仿宋" w:hAnsi="仿宋" w:eastAsia="仿宋" w:cs="仿宋"/>
          <w:color w:val="FF0000"/>
          <w:kern w:val="0"/>
          <w:sz w:val="32"/>
          <w:szCs w:val="32"/>
          <w:shd w:val="clear" w:color="auto" w:fill="FFFFFF"/>
          <w:lang w:bidi="ar"/>
        </w:rPr>
      </w:pPr>
    </w:p>
    <w:p>
      <w:pPr>
        <w:widowControl/>
        <w:spacing w:line="450" w:lineRule="atLeast"/>
        <w:ind w:firstLine="5440" w:firstLineChars="1700"/>
        <w:jc w:val="both"/>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盘锦市生态环境局</w:t>
      </w:r>
    </w:p>
    <w:p>
      <w:pPr>
        <w:ind w:firstLine="5760" w:firstLineChars="1800"/>
        <w:rPr>
          <w:rFonts w:hint="eastAsia"/>
          <w:color w:val="auto"/>
          <w:highlight w:val="none"/>
        </w:rPr>
      </w:pPr>
      <w:r>
        <w:rPr>
          <w:rFonts w:hint="eastAsia" w:ascii="仿宋" w:hAnsi="仿宋" w:eastAsia="仿宋" w:cs="仿宋"/>
          <w:kern w:val="0"/>
          <w:sz w:val="32"/>
          <w:szCs w:val="32"/>
          <w:shd w:val="clear" w:color="auto" w:fill="FFFFFF"/>
          <w:lang w:bidi="ar"/>
        </w:rPr>
        <w:t>202</w:t>
      </w:r>
      <w:r>
        <w:rPr>
          <w:rFonts w:hint="eastAsia" w:ascii="仿宋" w:hAnsi="仿宋" w:eastAsia="仿宋" w:cs="仿宋"/>
          <w:kern w:val="0"/>
          <w:sz w:val="32"/>
          <w:szCs w:val="32"/>
          <w:shd w:val="clear" w:color="auto" w:fill="FFFFFF"/>
          <w:lang w:val="en-US" w:eastAsia="zh-CN" w:bidi="ar"/>
        </w:rPr>
        <w:t>4</w:t>
      </w:r>
      <w:r>
        <w:rPr>
          <w:rFonts w:hint="eastAsia" w:ascii="仿宋" w:hAnsi="仿宋" w:eastAsia="仿宋" w:cs="仿宋"/>
          <w:kern w:val="0"/>
          <w:sz w:val="32"/>
          <w:szCs w:val="32"/>
          <w:shd w:val="clear" w:color="auto" w:fill="FFFFFF"/>
          <w:lang w:bidi="ar"/>
        </w:rPr>
        <w:t>年</w:t>
      </w:r>
      <w:r>
        <w:rPr>
          <w:rFonts w:hint="eastAsia" w:ascii="仿宋" w:hAnsi="仿宋" w:eastAsia="仿宋" w:cs="仿宋"/>
          <w:kern w:val="0"/>
          <w:sz w:val="32"/>
          <w:szCs w:val="32"/>
          <w:shd w:val="clear" w:color="auto" w:fill="FFFFFF"/>
          <w:lang w:val="en-US" w:eastAsia="zh-CN" w:bidi="ar"/>
        </w:rPr>
        <w:t>4</w:t>
      </w:r>
      <w:r>
        <w:rPr>
          <w:rFonts w:hint="eastAsia" w:ascii="仿宋" w:hAnsi="仿宋" w:eastAsia="仿宋" w:cs="仿宋"/>
          <w:kern w:val="0"/>
          <w:sz w:val="32"/>
          <w:szCs w:val="32"/>
          <w:shd w:val="clear" w:color="auto" w:fill="FFFFFF"/>
          <w:lang w:bidi="ar"/>
        </w:rPr>
        <w:t>月</w:t>
      </w:r>
      <w:r>
        <w:rPr>
          <w:rFonts w:hint="eastAsia" w:ascii="仿宋" w:hAnsi="仿宋" w:eastAsia="仿宋" w:cs="仿宋"/>
          <w:kern w:val="0"/>
          <w:sz w:val="32"/>
          <w:szCs w:val="32"/>
          <w:shd w:val="clear" w:color="auto" w:fill="FFFFFF"/>
          <w:lang w:val="en-US" w:eastAsia="zh-CN" w:bidi="ar"/>
        </w:rPr>
        <w:t>2</w:t>
      </w:r>
      <w:r>
        <w:rPr>
          <w:rFonts w:hint="eastAsia" w:ascii="仿宋" w:hAnsi="仿宋" w:eastAsia="仿宋" w:cs="仿宋"/>
          <w:kern w:val="0"/>
          <w:sz w:val="32"/>
          <w:szCs w:val="32"/>
          <w:shd w:val="clear" w:color="auto" w:fill="FFFFFF"/>
          <w:lang w:bidi="ar"/>
        </w:rPr>
        <w:t>日</w:t>
      </w:r>
    </w:p>
    <w:p>
      <w:pPr>
        <w:pStyle w:val="10"/>
        <w:ind w:firstLine="210"/>
        <w:jc w:val="both"/>
        <w:rPr>
          <w:rFonts w:cs="Times New Roman"/>
          <w:color w:val="auto"/>
          <w:highlight w:val="none"/>
        </w:rPr>
      </w:pPr>
    </w:p>
    <w:p>
      <w:pPr>
        <w:pStyle w:val="13"/>
      </w:pPr>
      <w:bookmarkStart w:id="0" w:name="_GoBack"/>
      <w:bookmarkEnd w:id="0"/>
    </w:p>
    <w:tbl>
      <w:tblPr>
        <w:tblStyle w:val="11"/>
        <w:tblpPr w:leftFromText="180" w:rightFromText="180" w:vertAnchor="text" w:horzAnchor="page" w:tblpX="1577" w:tblpY="17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000" w:type="dxa"/>
            <w:tcBorders>
              <w:top w:val="single" w:color="auto" w:sz="4" w:space="0"/>
              <w:left w:val="nil"/>
              <w:bottom w:val="single" w:color="auto" w:sz="4" w:space="0"/>
              <w:right w:val="nil"/>
            </w:tcBorders>
            <w:noWrap w:val="0"/>
            <w:vAlign w:val="top"/>
          </w:tcPr>
          <w:p>
            <w:pPr>
              <w:spacing w:line="500" w:lineRule="exac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抄送：市生态环境局机关各科室、盘锦市生态环境保护服务中心、市生态环境保护综合行政执法队</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0" w:type="dxa"/>
            <w:tcBorders>
              <w:top w:val="single" w:color="auto" w:sz="4" w:space="0"/>
              <w:left w:val="nil"/>
              <w:bottom w:val="single" w:color="auto" w:sz="4" w:space="0"/>
              <w:right w:val="nil"/>
            </w:tcBorders>
            <w:noWrap w:val="0"/>
            <w:vAlign w:val="top"/>
          </w:tcPr>
          <w:p>
            <w:pPr>
              <w:spacing w:line="360" w:lineRule="auto"/>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盘锦市生态环境局办公室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日印发</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MingLiU_HKSCS-ExtB">
    <w:panose1 w:val="02020500000000000000"/>
    <w:charset w:val="88"/>
    <w:family w:val="auto"/>
    <w:pitch w:val="default"/>
    <w:sig w:usb0="8000002F" w:usb1="02000008" w:usb2="00000000" w:usb3="00000000" w:csb0="00100001" w:csb1="00000000"/>
  </w:font>
  <w:font w:name="Yu Gothic UI Light">
    <w:panose1 w:val="020B0300000000000000"/>
    <w:charset w:val="80"/>
    <w:family w:val="auto"/>
    <w:pitch w:val="default"/>
    <w:sig w:usb0="E00002FF" w:usb1="2AC7FDFF" w:usb2="00000016" w:usb3="00000000" w:csb0="2002009F" w:csb1="00000000"/>
  </w:font>
  <w:font w:name="Microsoft JhengHei U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NmRlYjk4N2RkYTJjZmJhZjZiNTM4MjRhNTIxMzIifQ=="/>
  </w:docVars>
  <w:rsids>
    <w:rsidRoot w:val="12A77E58"/>
    <w:rsid w:val="12A7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5">
    <w:name w:val="Body Text"/>
    <w:basedOn w:val="1"/>
    <w:next w:val="1"/>
    <w:qFormat/>
    <w:uiPriority w:val="0"/>
    <w:pPr>
      <w:spacing w:line="240" w:lineRule="exact"/>
      <w:jc w:val="center"/>
    </w:pPr>
    <w:rPr>
      <w:rFonts w:ascii="宋体" w:hAnsi="宋体"/>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5"/>
    <w:basedOn w:val="4"/>
    <w:autoRedefine/>
    <w:qFormat/>
    <w:uiPriority w:val="0"/>
    <w:pPr>
      <w:spacing w:line="360" w:lineRule="auto"/>
      <w:ind w:firstLine="480" w:firstLineChars="200"/>
    </w:pPr>
    <w:rPr>
      <w:rFonts w:eastAsia="仿宋_GB2312"/>
      <w:sz w:val="24"/>
    </w:rPr>
  </w:style>
  <w:style w:type="paragraph" w:styleId="8">
    <w:name w:val="Normal (Web)"/>
    <w:basedOn w:val="1"/>
    <w:qFormat/>
    <w:uiPriority w:val="0"/>
    <w:pPr>
      <w:jc w:val="left"/>
    </w:pPr>
    <w:rPr>
      <w:kern w:val="0"/>
      <w:sz w:val="24"/>
    </w:rPr>
  </w:style>
  <w:style w:type="paragraph" w:styleId="9">
    <w:name w:val="Title"/>
    <w:basedOn w:val="1"/>
    <w:next w:val="1"/>
    <w:qFormat/>
    <w:uiPriority w:val="10"/>
    <w:pPr>
      <w:spacing w:before="240" w:after="60"/>
      <w:jc w:val="center"/>
      <w:outlineLvl w:val="0"/>
    </w:pPr>
    <w:rPr>
      <w:rFonts w:ascii="Cambria" w:hAnsi="Cambria" w:cs="Times New Roman"/>
      <w:b/>
      <w:bCs/>
      <w:sz w:val="32"/>
      <w:szCs w:val="32"/>
    </w:rPr>
  </w:style>
  <w:style w:type="paragraph" w:styleId="10">
    <w:name w:val="Body Text First Indent"/>
    <w:basedOn w:val="5"/>
    <w:next w:val="1"/>
    <w:qFormat/>
    <w:uiPriority w:val="0"/>
    <w:pPr>
      <w:ind w:firstLine="420" w:firstLineChars="100"/>
    </w:pPr>
  </w:style>
  <w:style w:type="paragraph" w:customStyle="1" w:styleId="13">
    <w:name w:val="_Style 4"/>
    <w:next w:val="1"/>
    <w:autoRedefine/>
    <w:qFormat/>
    <w:uiPriority w:val="1"/>
    <w:pPr>
      <w:widowControl w:val="0"/>
      <w:jc w:val="both"/>
    </w:pPr>
    <w:rPr>
      <w:rFonts w:ascii="Times New Roman" w:hAnsi="Times New Roman" w:eastAsia="仿宋_GB2312"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2024-04-03T02:42:00Z</dcterms:created>
  <dc:creator>铁林</dc:creator>
  <cp:lastModifiedBy>铁林</cp:lastModifiedBy>
  <dcterms:modified xsi:type="dcterms:W3CDTF">2024-04-03T02:50:18Z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046BCA9C987448FFA40F7BD5450D1829_11</vt:lpwstr>
  </property>
</Properties>
</file>