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6EEEAF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4"/>
          <w:szCs w:val="44"/>
          <w:shd w:val="clear" w:fill="FFFFFF"/>
        </w:rPr>
      </w:pPr>
      <w:bookmarkStart w:id="0" w:name="_GoBack"/>
      <w:bookmarkEnd w:id="0"/>
    </w:p>
    <w:p w14:paraId="44810144">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4"/>
          <w:szCs w:val="44"/>
          <w:shd w:val="clear" w:fill="FFFFFF"/>
          <w:lang w:val="en-US" w:eastAsia="zh-CN"/>
        </w:rPr>
      </w:pPr>
      <w:r>
        <w:rPr>
          <w:rFonts w:hint="eastAsia" w:ascii="宋体" w:hAnsi="宋体" w:eastAsia="宋体" w:cs="宋体"/>
          <w:b/>
          <w:bCs/>
          <w:i w:val="0"/>
          <w:iCs w:val="0"/>
          <w:color w:val="333333"/>
          <w:sz w:val="44"/>
          <w:szCs w:val="44"/>
          <w:shd w:val="clear" w:fill="FFFFFF"/>
        </w:rPr>
        <w:t>盘锦市</w:t>
      </w:r>
      <w:r>
        <w:rPr>
          <w:rFonts w:hint="eastAsia" w:ascii="宋体" w:hAnsi="宋体" w:eastAsia="宋体" w:cs="宋体"/>
          <w:b/>
          <w:bCs/>
          <w:i w:val="0"/>
          <w:iCs w:val="0"/>
          <w:color w:val="333333"/>
          <w:sz w:val="44"/>
          <w:szCs w:val="44"/>
          <w:shd w:val="clear" w:fill="FFFFFF"/>
          <w:lang w:val="en-US" w:eastAsia="zh-CN"/>
        </w:rPr>
        <w:t>兴隆台区住房和城乡建设局</w:t>
      </w:r>
    </w:p>
    <w:p w14:paraId="420665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b/>
          <w:bCs/>
          <w:i w:val="0"/>
          <w:iCs w:val="0"/>
          <w:color w:val="333333"/>
          <w:sz w:val="44"/>
          <w:szCs w:val="44"/>
          <w:shd w:val="clear" w:fill="FFFFFF"/>
        </w:rPr>
      </w:pPr>
      <w:r>
        <w:rPr>
          <w:rFonts w:hint="eastAsia" w:ascii="宋体" w:hAnsi="宋体" w:eastAsia="宋体" w:cs="宋体"/>
          <w:b/>
          <w:bCs/>
          <w:i w:val="0"/>
          <w:iCs w:val="0"/>
          <w:color w:val="333333"/>
          <w:sz w:val="44"/>
          <w:szCs w:val="44"/>
          <w:shd w:val="clear" w:fill="FFFFFF"/>
        </w:rPr>
        <w:t>202</w:t>
      </w:r>
      <w:r>
        <w:rPr>
          <w:rFonts w:hint="eastAsia" w:ascii="宋体" w:hAnsi="宋体" w:eastAsia="宋体" w:cs="宋体"/>
          <w:b/>
          <w:bCs/>
          <w:i w:val="0"/>
          <w:iCs w:val="0"/>
          <w:color w:val="333333"/>
          <w:sz w:val="44"/>
          <w:szCs w:val="44"/>
          <w:shd w:val="clear" w:fill="FFFFFF"/>
          <w:lang w:val="en-US" w:eastAsia="zh-CN"/>
        </w:rPr>
        <w:t>4</w:t>
      </w:r>
      <w:r>
        <w:rPr>
          <w:rFonts w:hint="eastAsia" w:ascii="宋体" w:hAnsi="宋体" w:eastAsia="宋体" w:cs="宋体"/>
          <w:b/>
          <w:bCs/>
          <w:i w:val="0"/>
          <w:iCs w:val="0"/>
          <w:color w:val="333333"/>
          <w:sz w:val="44"/>
          <w:szCs w:val="44"/>
          <w:shd w:val="clear" w:fill="FFFFFF"/>
        </w:rPr>
        <w:t>年度部门预算</w:t>
      </w:r>
      <w:r>
        <w:rPr>
          <w:rFonts w:hint="eastAsia" w:ascii="宋体" w:hAnsi="宋体" w:eastAsia="宋体" w:cs="宋体"/>
          <w:b/>
          <w:bCs/>
          <w:i w:val="0"/>
          <w:iCs w:val="0"/>
          <w:color w:val="333333"/>
          <w:sz w:val="44"/>
          <w:szCs w:val="44"/>
          <w:shd w:val="clear" w:fill="FFFFFF"/>
          <w:lang w:eastAsia="zh-CN"/>
        </w:rPr>
        <w:t>（</w:t>
      </w:r>
      <w:r>
        <w:rPr>
          <w:rFonts w:hint="eastAsia" w:ascii="宋体" w:hAnsi="宋体" w:eastAsia="宋体" w:cs="宋体"/>
          <w:b/>
          <w:bCs/>
          <w:i w:val="0"/>
          <w:iCs w:val="0"/>
          <w:color w:val="333333"/>
          <w:sz w:val="44"/>
          <w:szCs w:val="44"/>
          <w:shd w:val="clear" w:fill="FFFFFF"/>
          <w:lang w:val="en-US" w:eastAsia="zh-CN"/>
        </w:rPr>
        <w:t>汇总</w:t>
      </w:r>
      <w:r>
        <w:rPr>
          <w:rFonts w:hint="eastAsia" w:ascii="宋体" w:hAnsi="宋体" w:eastAsia="宋体" w:cs="宋体"/>
          <w:b/>
          <w:bCs/>
          <w:i w:val="0"/>
          <w:iCs w:val="0"/>
          <w:color w:val="333333"/>
          <w:sz w:val="44"/>
          <w:szCs w:val="44"/>
          <w:shd w:val="clear" w:fill="FFFFFF"/>
          <w:lang w:eastAsia="zh-CN"/>
        </w:rPr>
        <w:t>）</w:t>
      </w:r>
    </w:p>
    <w:p w14:paraId="400F699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shd w:val="clear" w:fill="FFFFFF"/>
        </w:rPr>
      </w:pPr>
      <w:r>
        <w:rPr>
          <w:b/>
          <w:bCs/>
          <w:i w:val="0"/>
          <w:iCs w:val="0"/>
          <w:color w:val="333333"/>
          <w:sz w:val="44"/>
          <w:szCs w:val="44"/>
          <w:shd w:val="clear" w:fill="FFFFFF"/>
        </w:rPr>
        <w:t>目    录</w:t>
      </w:r>
      <w:r>
        <w:rPr>
          <w:shd w:val="clear" w:fill="FFFFFF"/>
        </w:rPr>
        <w:t xml:space="preserve"> </w:t>
      </w:r>
    </w:p>
    <w:p w14:paraId="09BD831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i w:val="0"/>
          <w:iCs w:val="0"/>
          <w:color w:val="333333"/>
          <w:sz w:val="32"/>
          <w:szCs w:val="32"/>
          <w:shd w:val="clear" w:fill="FFFFFF"/>
        </w:rPr>
        <w:t>第一部分</w:t>
      </w:r>
      <w:r>
        <w:rPr>
          <w:rFonts w:hint="eastAsia" w:ascii="宋体" w:hAnsi="宋体" w:eastAsia="宋体" w:cs="宋体"/>
          <w:b/>
          <w:bCs/>
          <w:i w:val="0"/>
          <w:iCs w:val="0"/>
          <w:color w:val="333333"/>
          <w:sz w:val="32"/>
          <w:szCs w:val="32"/>
          <w:shd w:val="clear" w:fill="FFFFFF"/>
          <w:lang w:val="en-US" w:eastAsia="zh-CN"/>
        </w:rPr>
        <w:t xml:space="preserve"> 盘锦市兴隆台区住房和城乡建设局</w:t>
      </w:r>
      <w:r>
        <w:rPr>
          <w:rFonts w:hint="eastAsia" w:ascii="宋体" w:hAnsi="宋体" w:eastAsia="宋体" w:cs="宋体"/>
          <w:b/>
          <w:bCs/>
          <w:i w:val="0"/>
          <w:iCs w:val="0"/>
          <w:color w:val="333333"/>
          <w:sz w:val="32"/>
          <w:szCs w:val="32"/>
          <w:shd w:val="clear" w:fill="FFFFFF"/>
        </w:rPr>
        <w:t>部门概况</w:t>
      </w:r>
      <w:r>
        <w:rPr>
          <w:rFonts w:hint="eastAsia" w:ascii="宋体" w:hAnsi="宋体" w:eastAsia="宋体" w:cs="宋体"/>
          <w:b/>
          <w:bCs/>
          <w:sz w:val="32"/>
          <w:szCs w:val="32"/>
          <w:shd w:val="clear" w:fill="FFFFFF"/>
        </w:rPr>
        <w:t xml:space="preserve"> </w:t>
      </w:r>
    </w:p>
    <w:p w14:paraId="00BFA7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i w:val="0"/>
          <w:iCs w:val="0"/>
          <w:color w:val="333333"/>
          <w:sz w:val="32"/>
          <w:szCs w:val="32"/>
          <w:shd w:val="clear" w:fill="FFFFFF"/>
        </w:rPr>
        <w:t>一、主要职责</w:t>
      </w:r>
      <w:r>
        <w:rPr>
          <w:rFonts w:hint="eastAsia" w:ascii="宋体" w:hAnsi="宋体" w:eastAsia="宋体" w:cs="宋体"/>
          <w:sz w:val="32"/>
          <w:szCs w:val="32"/>
          <w:shd w:val="clear" w:fill="FFFFFF"/>
        </w:rPr>
        <w:t xml:space="preserve"> </w:t>
      </w:r>
    </w:p>
    <w:p w14:paraId="2BDCFF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i w:val="0"/>
          <w:iCs w:val="0"/>
          <w:color w:val="333333"/>
          <w:sz w:val="32"/>
          <w:szCs w:val="32"/>
          <w:shd w:val="clear" w:fill="FFFFFF"/>
        </w:rPr>
        <w:t>二、机构设置</w:t>
      </w:r>
      <w:r>
        <w:rPr>
          <w:rFonts w:hint="eastAsia" w:ascii="宋体" w:hAnsi="宋体" w:eastAsia="宋体" w:cs="宋体"/>
          <w:sz w:val="32"/>
          <w:szCs w:val="32"/>
          <w:shd w:val="clear" w:fill="FFFFFF"/>
        </w:rPr>
        <w:t xml:space="preserve"> </w:t>
      </w:r>
    </w:p>
    <w:p w14:paraId="683FD30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0" w:firstLineChars="200"/>
        <w:jc w:val="left"/>
        <w:textAlignment w:val="auto"/>
        <w:rPr>
          <w:rFonts w:hint="eastAsia" w:ascii="宋体" w:hAnsi="宋体" w:eastAsia="宋体" w:cs="宋体"/>
          <w:sz w:val="32"/>
          <w:szCs w:val="32"/>
        </w:rPr>
      </w:pPr>
      <w:r>
        <w:rPr>
          <w:rFonts w:hint="eastAsia" w:ascii="宋体" w:hAnsi="宋体" w:eastAsia="宋体" w:cs="宋体"/>
          <w:i w:val="0"/>
          <w:iCs w:val="0"/>
          <w:color w:val="333333"/>
          <w:sz w:val="32"/>
          <w:szCs w:val="32"/>
          <w:shd w:val="clear" w:fill="FFFFFF"/>
        </w:rPr>
        <w:t>三、部门预算单位构成</w:t>
      </w:r>
      <w:r>
        <w:rPr>
          <w:rFonts w:hint="eastAsia" w:ascii="宋体" w:hAnsi="宋体" w:eastAsia="宋体" w:cs="宋体"/>
          <w:sz w:val="32"/>
          <w:szCs w:val="32"/>
          <w:shd w:val="clear" w:fill="FFFFFF"/>
        </w:rPr>
        <w:t xml:space="preserve"> </w:t>
      </w:r>
    </w:p>
    <w:p w14:paraId="11E47B47">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3" w:firstLineChars="200"/>
        <w:jc w:val="left"/>
        <w:textAlignment w:val="auto"/>
        <w:rPr>
          <w:rFonts w:hint="eastAsia" w:ascii="宋体" w:hAnsi="宋体" w:eastAsia="宋体" w:cs="宋体"/>
          <w:sz w:val="32"/>
          <w:szCs w:val="32"/>
        </w:rPr>
      </w:pPr>
      <w:r>
        <w:rPr>
          <w:rFonts w:hint="eastAsia" w:ascii="宋体" w:hAnsi="宋体" w:eastAsia="宋体" w:cs="宋体"/>
          <w:b/>
          <w:bCs/>
          <w:i w:val="0"/>
          <w:iCs w:val="0"/>
          <w:color w:val="333333"/>
          <w:sz w:val="32"/>
          <w:szCs w:val="32"/>
          <w:shd w:val="clear" w:fill="FFFFFF"/>
        </w:rPr>
        <w:t>第二部分</w:t>
      </w:r>
      <w:r>
        <w:rPr>
          <w:rFonts w:hint="eastAsia" w:ascii="宋体" w:hAnsi="宋体" w:eastAsia="宋体" w:cs="宋体"/>
          <w:b/>
          <w:bCs/>
          <w:i w:val="0"/>
          <w:iCs w:val="0"/>
          <w:color w:val="333333"/>
          <w:sz w:val="32"/>
          <w:szCs w:val="32"/>
          <w:shd w:val="clear" w:fill="FFFFFF"/>
          <w:lang w:val="en-US" w:eastAsia="zh-CN"/>
        </w:rPr>
        <w:t xml:space="preserve"> 盘锦市兴隆台区住房和城乡建设局</w:t>
      </w:r>
      <w:r>
        <w:rPr>
          <w:rFonts w:hint="eastAsia" w:ascii="宋体" w:hAnsi="宋体" w:eastAsia="宋体" w:cs="宋体"/>
          <w:b/>
          <w:bCs/>
          <w:i w:val="0"/>
          <w:iCs w:val="0"/>
          <w:color w:val="333333"/>
          <w:sz w:val="32"/>
          <w:szCs w:val="32"/>
          <w:shd w:val="clear" w:fill="FFFFFF"/>
        </w:rPr>
        <w:t>202</w:t>
      </w:r>
      <w:r>
        <w:rPr>
          <w:rFonts w:hint="eastAsia" w:ascii="宋体" w:hAnsi="宋体" w:eastAsia="宋体" w:cs="宋体"/>
          <w:b/>
          <w:bCs/>
          <w:i w:val="0"/>
          <w:iCs w:val="0"/>
          <w:color w:val="333333"/>
          <w:sz w:val="32"/>
          <w:szCs w:val="32"/>
          <w:shd w:val="clear" w:fill="FFFFFF"/>
          <w:lang w:val="en-US" w:eastAsia="zh-CN"/>
        </w:rPr>
        <w:t>4</w:t>
      </w:r>
      <w:r>
        <w:rPr>
          <w:rFonts w:hint="eastAsia" w:ascii="宋体" w:hAnsi="宋体" w:eastAsia="宋体" w:cs="宋体"/>
          <w:b/>
          <w:bCs/>
          <w:i w:val="0"/>
          <w:iCs w:val="0"/>
          <w:color w:val="333333"/>
          <w:sz w:val="32"/>
          <w:szCs w:val="32"/>
          <w:shd w:val="clear" w:fill="FFFFFF"/>
        </w:rPr>
        <w:t>年度部门预算报表</w:t>
      </w:r>
      <w:r>
        <w:rPr>
          <w:rFonts w:hint="eastAsia" w:ascii="宋体" w:hAnsi="宋体" w:eastAsia="宋体" w:cs="宋体"/>
          <w:sz w:val="32"/>
          <w:szCs w:val="32"/>
          <w:shd w:val="clear" w:fill="FFFFFF"/>
        </w:rPr>
        <w:t xml:space="preserve"> </w:t>
      </w:r>
    </w:p>
    <w:p w14:paraId="245989D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ind w:left="638" w:leftChars="304" w:right="0" w:firstLine="0" w:firstLineChars="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一、</w:t>
      </w:r>
      <w:r>
        <w:rPr>
          <w:rFonts w:hint="eastAsia" w:ascii="宋体" w:hAnsi="宋体" w:eastAsia="宋体" w:cs="宋体"/>
          <w:sz w:val="32"/>
          <w:szCs w:val="32"/>
        </w:rPr>
        <w:t>202</w:t>
      </w:r>
      <w:r>
        <w:rPr>
          <w:rFonts w:hint="eastAsia" w:ascii="宋体" w:hAnsi="宋体" w:eastAsia="宋体" w:cs="宋体"/>
          <w:sz w:val="32"/>
          <w:szCs w:val="32"/>
          <w:lang w:val="en-US" w:eastAsia="zh-CN"/>
        </w:rPr>
        <w:t>4</w:t>
      </w:r>
      <w:r>
        <w:rPr>
          <w:rFonts w:hint="eastAsia" w:ascii="宋体" w:hAnsi="宋体" w:eastAsia="宋体" w:cs="宋体"/>
          <w:sz w:val="32"/>
          <w:szCs w:val="32"/>
        </w:rPr>
        <w:t>年度综合预算收支情况表</w:t>
      </w:r>
      <w:r>
        <w:rPr>
          <w:rFonts w:hint="eastAsia" w:ascii="宋体" w:hAnsi="宋体" w:eastAsia="宋体" w:cs="宋体"/>
          <w:sz w:val="32"/>
          <w:szCs w:val="32"/>
        </w:rPr>
        <w:br w:type="textWrapping"/>
      </w:r>
      <w:r>
        <w:rPr>
          <w:rFonts w:hint="eastAsia" w:ascii="宋体" w:hAnsi="宋体" w:eastAsia="宋体" w:cs="宋体"/>
          <w:sz w:val="32"/>
          <w:szCs w:val="32"/>
          <w:lang w:val="en-US" w:eastAsia="zh-CN"/>
        </w:rPr>
        <w:t>二、</w:t>
      </w:r>
      <w:r>
        <w:rPr>
          <w:rFonts w:hint="eastAsia" w:ascii="宋体" w:hAnsi="宋体" w:eastAsia="宋体" w:cs="宋体"/>
          <w:sz w:val="32"/>
          <w:szCs w:val="32"/>
        </w:rPr>
        <w:t>202</w:t>
      </w:r>
      <w:r>
        <w:rPr>
          <w:rFonts w:hint="eastAsia" w:ascii="宋体" w:hAnsi="宋体" w:eastAsia="宋体" w:cs="宋体"/>
          <w:sz w:val="32"/>
          <w:szCs w:val="32"/>
          <w:lang w:val="en-US" w:eastAsia="zh-CN"/>
        </w:rPr>
        <w:t>4</w:t>
      </w:r>
      <w:r>
        <w:rPr>
          <w:rFonts w:hint="eastAsia" w:ascii="宋体" w:hAnsi="宋体" w:eastAsia="宋体" w:cs="宋体"/>
          <w:sz w:val="32"/>
          <w:szCs w:val="32"/>
        </w:rPr>
        <w:t>年度支出预算表</w:t>
      </w:r>
    </w:p>
    <w:p w14:paraId="04240BDB">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三、</w:t>
      </w:r>
      <w:r>
        <w:rPr>
          <w:rFonts w:hint="eastAsia" w:ascii="宋体" w:hAnsi="宋体" w:eastAsia="宋体" w:cs="宋体"/>
          <w:sz w:val="32"/>
          <w:szCs w:val="32"/>
        </w:rPr>
        <w:t>202</w:t>
      </w:r>
      <w:r>
        <w:rPr>
          <w:rFonts w:hint="eastAsia" w:ascii="宋体" w:hAnsi="宋体" w:eastAsia="宋体" w:cs="宋体"/>
          <w:sz w:val="32"/>
          <w:szCs w:val="32"/>
          <w:lang w:val="en-US" w:eastAsia="zh-CN"/>
        </w:rPr>
        <w:t>4</w:t>
      </w:r>
      <w:r>
        <w:rPr>
          <w:rFonts w:hint="eastAsia" w:ascii="宋体" w:hAnsi="宋体" w:eastAsia="宋体" w:cs="宋体"/>
          <w:sz w:val="32"/>
          <w:szCs w:val="32"/>
        </w:rPr>
        <w:t>年度综合预算项目支出表</w:t>
      </w:r>
    </w:p>
    <w:p w14:paraId="1CA5486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四、</w:t>
      </w:r>
      <w:r>
        <w:rPr>
          <w:rFonts w:hint="eastAsia" w:ascii="宋体" w:hAnsi="宋体" w:eastAsia="宋体" w:cs="宋体"/>
          <w:sz w:val="32"/>
          <w:szCs w:val="32"/>
        </w:rPr>
        <w:t>202</w:t>
      </w:r>
      <w:r>
        <w:rPr>
          <w:rFonts w:hint="eastAsia" w:ascii="宋体" w:hAnsi="宋体" w:eastAsia="宋体" w:cs="宋体"/>
          <w:sz w:val="32"/>
          <w:szCs w:val="32"/>
          <w:lang w:val="en-US" w:eastAsia="zh-CN"/>
        </w:rPr>
        <w:t>4</w:t>
      </w:r>
      <w:r>
        <w:rPr>
          <w:rFonts w:hint="eastAsia" w:ascii="宋体" w:hAnsi="宋体" w:eastAsia="宋体" w:cs="宋体"/>
          <w:sz w:val="32"/>
          <w:szCs w:val="32"/>
        </w:rPr>
        <w:t>年度预算项目（政策）绩效目标表</w:t>
      </w:r>
    </w:p>
    <w:p w14:paraId="4302582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600" w:lineRule="auto"/>
        <w:ind w:right="0" w:firstLine="640" w:firstLineChars="200"/>
        <w:jc w:val="left"/>
        <w:textAlignment w:val="auto"/>
        <w:rPr>
          <w:rFonts w:hint="eastAsia" w:ascii="宋体" w:hAnsi="宋体" w:eastAsia="宋体" w:cs="宋体"/>
          <w:sz w:val="32"/>
          <w:szCs w:val="32"/>
        </w:rPr>
      </w:pPr>
      <w:r>
        <w:rPr>
          <w:rFonts w:hint="eastAsia" w:ascii="宋体" w:hAnsi="宋体" w:eastAsia="宋体" w:cs="宋体"/>
          <w:sz w:val="32"/>
          <w:szCs w:val="32"/>
          <w:lang w:val="en-US" w:eastAsia="zh-CN"/>
        </w:rPr>
        <w:t>五、</w:t>
      </w:r>
      <w:r>
        <w:rPr>
          <w:rFonts w:hint="eastAsia" w:ascii="宋体" w:hAnsi="宋体" w:eastAsia="宋体" w:cs="宋体"/>
          <w:sz w:val="32"/>
          <w:szCs w:val="32"/>
        </w:rPr>
        <w:t>202</w:t>
      </w:r>
      <w:r>
        <w:rPr>
          <w:rFonts w:hint="eastAsia" w:ascii="宋体" w:hAnsi="宋体" w:eastAsia="宋体" w:cs="宋体"/>
          <w:sz w:val="32"/>
          <w:szCs w:val="32"/>
          <w:lang w:val="en-US" w:eastAsia="zh-CN"/>
        </w:rPr>
        <w:t>4</w:t>
      </w:r>
      <w:r>
        <w:rPr>
          <w:rFonts w:hint="eastAsia" w:ascii="宋体" w:hAnsi="宋体" w:eastAsia="宋体" w:cs="宋体"/>
          <w:sz w:val="32"/>
          <w:szCs w:val="32"/>
        </w:rPr>
        <w:t>年度整体绩效目标表</w:t>
      </w:r>
    </w:p>
    <w:p w14:paraId="2664459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uto"/>
        <w:ind w:left="0" w:leftChars="0" w:right="0" w:rightChars="0" w:firstLine="640"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sz w:val="32"/>
          <w:szCs w:val="32"/>
          <w:lang w:val="en-US" w:eastAsia="zh-CN"/>
        </w:rPr>
        <w:t>六、政府采购支出预算表</w:t>
      </w:r>
    </w:p>
    <w:p w14:paraId="2B72FE32">
      <w:pPr>
        <w:pStyle w:val="3"/>
        <w:keepNext w:val="0"/>
        <w:keepLines w:val="0"/>
        <w:pageBreakBefore w:val="0"/>
        <w:widowControl/>
        <w:numPr>
          <w:ilvl w:val="0"/>
          <w:numId w:val="0"/>
        </w:numPr>
        <w:suppressLineNumbers w:val="0"/>
        <w:kinsoku/>
        <w:wordWrap/>
        <w:overflowPunct/>
        <w:topLinePunct w:val="0"/>
        <w:autoSpaceDE/>
        <w:autoSpaceDN/>
        <w:bidi w:val="0"/>
        <w:adjustRightInd/>
        <w:snapToGrid/>
        <w:spacing w:before="0" w:beforeAutospacing="0" w:after="0" w:afterAutospacing="0" w:line="600" w:lineRule="auto"/>
        <w:ind w:left="0" w:leftChars="0" w:right="0" w:rightChars="0" w:firstLine="640" w:firstLineChars="200"/>
        <w:jc w:val="left"/>
        <w:textAlignment w:val="auto"/>
        <w:rPr>
          <w:sz w:val="32"/>
          <w:szCs w:val="32"/>
        </w:rPr>
      </w:pPr>
      <w:r>
        <w:rPr>
          <w:rFonts w:hint="eastAsia" w:ascii="宋体" w:hAnsi="宋体" w:eastAsia="宋体" w:cs="宋体"/>
          <w:sz w:val="32"/>
          <w:szCs w:val="32"/>
          <w:lang w:val="en-US" w:eastAsia="zh-CN"/>
        </w:rPr>
        <w:t>七、“三公”经费支出表</w:t>
      </w:r>
      <w:r>
        <w:rPr>
          <w:sz w:val="32"/>
          <w:szCs w:val="32"/>
        </w:rPr>
        <w:t xml:space="preserve"> </w:t>
      </w:r>
    </w:p>
    <w:p w14:paraId="2CD579B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643" w:firstLineChars="200"/>
        <w:jc w:val="left"/>
        <w:textAlignment w:val="auto"/>
        <w:rPr>
          <w:rFonts w:hint="eastAsia" w:ascii="宋体" w:hAnsi="宋体" w:eastAsia="宋体" w:cs="宋体"/>
          <w:sz w:val="32"/>
          <w:szCs w:val="32"/>
        </w:rPr>
      </w:pPr>
      <w:r>
        <w:rPr>
          <w:rFonts w:hint="eastAsia" w:ascii="宋体" w:hAnsi="宋体" w:eastAsia="宋体" w:cs="宋体"/>
          <w:b/>
          <w:bCs/>
          <w:i w:val="0"/>
          <w:iCs w:val="0"/>
          <w:color w:val="333333"/>
          <w:sz w:val="32"/>
          <w:szCs w:val="32"/>
          <w:shd w:val="clear" w:fill="FFFFFF"/>
        </w:rPr>
        <w:t>第三部分</w:t>
      </w:r>
      <w:r>
        <w:rPr>
          <w:rFonts w:hint="eastAsia" w:ascii="宋体" w:hAnsi="宋体" w:eastAsia="宋体" w:cs="宋体"/>
          <w:b/>
          <w:bCs/>
          <w:i w:val="0"/>
          <w:iCs w:val="0"/>
          <w:color w:val="333333"/>
          <w:sz w:val="32"/>
          <w:szCs w:val="32"/>
          <w:shd w:val="clear" w:fill="FFFFFF"/>
          <w:lang w:val="en-US" w:eastAsia="zh-CN"/>
        </w:rPr>
        <w:t xml:space="preserve"> 盘锦市兴隆台区住房和城乡建设局</w:t>
      </w:r>
      <w:r>
        <w:rPr>
          <w:rFonts w:hint="eastAsia" w:ascii="宋体" w:hAnsi="宋体" w:eastAsia="宋体" w:cs="宋体"/>
          <w:b/>
          <w:bCs/>
          <w:i w:val="0"/>
          <w:iCs w:val="0"/>
          <w:color w:val="333333"/>
          <w:sz w:val="32"/>
          <w:szCs w:val="32"/>
          <w:shd w:val="clear" w:fill="FFFFFF"/>
        </w:rPr>
        <w:t>202</w:t>
      </w:r>
      <w:r>
        <w:rPr>
          <w:rFonts w:hint="eastAsia" w:ascii="宋体" w:hAnsi="宋体" w:eastAsia="宋体" w:cs="宋体"/>
          <w:b/>
          <w:bCs/>
          <w:i w:val="0"/>
          <w:iCs w:val="0"/>
          <w:color w:val="333333"/>
          <w:sz w:val="32"/>
          <w:szCs w:val="32"/>
          <w:shd w:val="clear" w:fill="FFFFFF"/>
          <w:lang w:val="en-US" w:eastAsia="zh-CN"/>
        </w:rPr>
        <w:t>4</w:t>
      </w:r>
      <w:r>
        <w:rPr>
          <w:rFonts w:hint="eastAsia" w:ascii="宋体" w:hAnsi="宋体" w:eastAsia="宋体" w:cs="宋体"/>
          <w:b/>
          <w:bCs/>
          <w:i w:val="0"/>
          <w:iCs w:val="0"/>
          <w:color w:val="333333"/>
          <w:sz w:val="32"/>
          <w:szCs w:val="32"/>
          <w:shd w:val="clear" w:fill="FFFFFF"/>
        </w:rPr>
        <w:t>年度部门预算情况说明</w:t>
      </w:r>
      <w:r>
        <w:rPr>
          <w:rFonts w:hint="eastAsia" w:ascii="宋体" w:hAnsi="宋体" w:eastAsia="宋体" w:cs="宋体"/>
          <w:sz w:val="32"/>
          <w:szCs w:val="32"/>
          <w:shd w:val="clear" w:fill="FFFFFF"/>
        </w:rPr>
        <w:t xml:space="preserve"> </w:t>
      </w:r>
    </w:p>
    <w:p w14:paraId="79945442">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一、收支预算的总体情况说明 </w:t>
      </w:r>
    </w:p>
    <w:p w14:paraId="798C5984">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二、“三公”经费预算安排使用情况说明 </w:t>
      </w:r>
    </w:p>
    <w:p w14:paraId="6DAA00E8">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三、机关运行经费预算安排使用情况说明 </w:t>
      </w:r>
    </w:p>
    <w:p w14:paraId="491C30CE">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四、政府采购安排情况说明 </w:t>
      </w:r>
    </w:p>
    <w:p w14:paraId="32AD02A0">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五、国有资产占用情况说明 </w:t>
      </w:r>
    </w:p>
    <w:p w14:paraId="085713A9">
      <w:pPr>
        <w:pStyle w:val="3"/>
        <w:keepNext w:val="0"/>
        <w:keepLines w:val="0"/>
        <w:pageBreakBefore w:val="0"/>
        <w:widowControl/>
        <w:suppressLineNumbers w:val="0"/>
        <w:kinsoku/>
        <w:wordWrap/>
        <w:overflowPunct/>
        <w:topLinePunct w:val="0"/>
        <w:autoSpaceDE/>
        <w:autoSpaceDN/>
        <w:bidi w:val="0"/>
        <w:adjustRightInd/>
        <w:snapToGrid/>
        <w:spacing w:before="0" w:beforeAutospacing="1" w:after="0" w:afterAutospacing="1" w:line="360" w:lineRule="auto"/>
        <w:ind w:left="0" w:right="0" w:firstLine="640" w:firstLineChars="200"/>
        <w:textAlignment w:val="auto"/>
        <w:rPr>
          <w:rFonts w:hint="eastAsia" w:ascii="宋体" w:hAnsi="宋体" w:eastAsia="宋体" w:cs="宋体"/>
          <w:sz w:val="32"/>
          <w:szCs w:val="32"/>
        </w:rPr>
      </w:pPr>
      <w:r>
        <w:rPr>
          <w:rFonts w:hint="eastAsia" w:ascii="宋体" w:hAnsi="宋体" w:eastAsia="宋体" w:cs="宋体"/>
          <w:sz w:val="32"/>
          <w:szCs w:val="32"/>
        </w:rPr>
        <w:t xml:space="preserve">六、项目预算绩效目标情况说明 </w:t>
      </w:r>
    </w:p>
    <w:p w14:paraId="172E19A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60" w:lineRule="auto"/>
        <w:ind w:left="0" w:right="0" w:firstLine="643" w:firstLineChars="200"/>
        <w:jc w:val="left"/>
        <w:textAlignment w:val="auto"/>
      </w:pPr>
      <w:r>
        <w:rPr>
          <w:rFonts w:hint="eastAsia" w:ascii="宋体" w:hAnsi="宋体" w:eastAsia="宋体" w:cs="宋体"/>
          <w:b/>
          <w:bCs/>
          <w:i w:val="0"/>
          <w:iCs w:val="0"/>
          <w:color w:val="333333"/>
          <w:sz w:val="32"/>
          <w:szCs w:val="32"/>
          <w:shd w:val="clear" w:fill="FFFFFF"/>
          <w:lang w:val="en-US" w:eastAsia="zh-CN"/>
        </w:rPr>
        <w:t xml:space="preserve">第四部分 名词解释 </w:t>
      </w:r>
    </w:p>
    <w:p w14:paraId="6ACB72A8">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both"/>
      </w:pPr>
    </w:p>
    <w:p w14:paraId="37AFB6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b/>
          <w:bCs/>
          <w:i w:val="0"/>
          <w:iCs w:val="0"/>
          <w:color w:val="333333"/>
          <w:sz w:val="44"/>
          <w:szCs w:val="44"/>
          <w:shd w:val="clear" w:fill="FFFFFF"/>
        </w:rPr>
      </w:pPr>
      <w:r>
        <w:rPr>
          <w:b/>
          <w:bCs/>
          <w:i w:val="0"/>
          <w:iCs w:val="0"/>
          <w:color w:val="333333"/>
          <w:sz w:val="44"/>
          <w:szCs w:val="44"/>
          <w:shd w:val="clear" w:fill="FFFFFF"/>
        </w:rPr>
        <w:t>第一部分  </w:t>
      </w:r>
    </w:p>
    <w:p w14:paraId="318DABD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shd w:val="clear" w:fill="FFFFFF"/>
        </w:rPr>
      </w:pPr>
      <w:r>
        <w:rPr>
          <w:rFonts w:hint="eastAsia"/>
          <w:b/>
          <w:bCs/>
          <w:i w:val="0"/>
          <w:iCs w:val="0"/>
          <w:color w:val="333333"/>
          <w:sz w:val="40"/>
          <w:szCs w:val="40"/>
          <w:shd w:val="clear" w:fill="FFFFFF"/>
          <w:lang w:val="en-US" w:eastAsia="zh-CN"/>
        </w:rPr>
        <w:t>兴隆台区住房和城乡建设局</w:t>
      </w:r>
      <w:r>
        <w:rPr>
          <w:b/>
          <w:bCs/>
          <w:i w:val="0"/>
          <w:iCs w:val="0"/>
          <w:color w:val="333333"/>
          <w:sz w:val="40"/>
          <w:szCs w:val="40"/>
          <w:shd w:val="clear" w:fill="FFFFFF"/>
        </w:rPr>
        <w:t>部门概况</w:t>
      </w:r>
      <w:r>
        <w:rPr>
          <w:shd w:val="clear" w:fill="FFFFFF"/>
        </w:rPr>
        <w:t xml:space="preserve"> </w:t>
      </w:r>
    </w:p>
    <w:p w14:paraId="6F885E5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shd w:val="clear" w:fill="FFFFFF"/>
        </w:rPr>
      </w:pPr>
    </w:p>
    <w:p w14:paraId="6D1091C8">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3" w:firstLineChars="200"/>
        <w:jc w:val="left"/>
        <w:textAlignment w:val="auto"/>
        <w:rPr>
          <w:rFonts w:hint="default" w:ascii="仿宋" w:hAnsi="仿宋" w:eastAsia="仿宋" w:cs="仿宋"/>
          <w:sz w:val="32"/>
          <w:szCs w:val="32"/>
          <w:lang w:val="en-US" w:eastAsia="zh-CN"/>
        </w:rPr>
      </w:pPr>
      <w:r>
        <w:rPr>
          <w:rFonts w:hint="eastAsia" w:ascii="宋体" w:hAnsi="宋体" w:eastAsia="宋体" w:cs="宋体"/>
          <w:b/>
          <w:bCs/>
          <w:i w:val="0"/>
          <w:iCs w:val="0"/>
          <w:color w:val="333333"/>
          <w:sz w:val="32"/>
          <w:szCs w:val="32"/>
          <w:shd w:val="clear" w:fill="FFFFFF"/>
          <w:lang w:val="en-US" w:eastAsia="zh-CN"/>
        </w:rPr>
        <w:t>一、</w:t>
      </w:r>
      <w:r>
        <w:rPr>
          <w:rFonts w:hint="eastAsia" w:ascii="宋体" w:hAnsi="宋体" w:eastAsia="宋体" w:cs="宋体"/>
          <w:b/>
          <w:bCs/>
          <w:i w:val="0"/>
          <w:iCs w:val="0"/>
          <w:color w:val="333333"/>
          <w:sz w:val="32"/>
          <w:szCs w:val="32"/>
          <w:shd w:val="clear" w:fill="FFFFFF"/>
        </w:rPr>
        <w:t>主</w:t>
      </w:r>
      <w:r>
        <w:rPr>
          <w:rFonts w:hint="eastAsia" w:ascii="宋体" w:hAnsi="宋体" w:eastAsia="宋体" w:cs="宋体"/>
          <w:b/>
          <w:bCs/>
          <w:i w:val="0"/>
          <w:iCs w:val="0"/>
          <w:color w:val="333333"/>
          <w:sz w:val="32"/>
          <w:szCs w:val="32"/>
          <w:shd w:val="clear" w:fill="FFFFFF"/>
          <w:lang w:val="en-US" w:eastAsia="zh-CN"/>
        </w:rPr>
        <w:t xml:space="preserve">要职责 </w:t>
      </w:r>
    </w:p>
    <w:p w14:paraId="119E6B9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default" w:ascii="仿宋" w:hAnsi="仿宋" w:eastAsia="仿宋" w:cs="仿宋"/>
          <w:sz w:val="32"/>
          <w:szCs w:val="32"/>
          <w:lang w:val="en-US" w:eastAsia="zh-CN"/>
        </w:rPr>
      </w:pP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一</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兴隆台区住房和城乡建设局主要职责。</w:t>
      </w:r>
    </w:p>
    <w:p w14:paraId="4BF0F7E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rPr>
        <w:t>住建局是区政府工作部门，为正科级。主要职责是</w:t>
      </w:r>
      <w:r>
        <w:rPr>
          <w:rFonts w:hint="eastAsia" w:ascii="仿宋" w:hAnsi="仿宋" w:eastAsia="仿宋" w:cs="仿宋"/>
          <w:sz w:val="32"/>
          <w:szCs w:val="32"/>
          <w:lang w:val="en-US" w:eastAsia="zh-CN"/>
        </w:rPr>
        <w:t>负责公共租赁住房的分配和日常监督和住房补贴工作</w:t>
      </w:r>
      <w:r>
        <w:rPr>
          <w:rFonts w:hint="eastAsia" w:ascii="仿宋" w:hAnsi="仿宋" w:eastAsia="仿宋" w:cs="仿宋"/>
          <w:sz w:val="32"/>
          <w:szCs w:val="32"/>
        </w:rPr>
        <w:t>、负责承担规范房地产市场秩序监督管理房地产市场的责任、负责承担指导全区建筑活动并规范建筑市场秩序、</w:t>
      </w:r>
      <w:r>
        <w:rPr>
          <w:rFonts w:hint="eastAsia" w:ascii="仿宋" w:hAnsi="仿宋" w:eastAsia="仿宋" w:cs="仿宋"/>
          <w:sz w:val="32"/>
          <w:szCs w:val="32"/>
          <w:lang w:val="en-US" w:eastAsia="zh-CN"/>
        </w:rPr>
        <w:t>负责区本级建筑工程质量监督管理和安全监督管理的日常检查</w:t>
      </w:r>
      <w:r>
        <w:rPr>
          <w:rFonts w:hint="eastAsia" w:ascii="仿宋" w:hAnsi="仿宋" w:eastAsia="仿宋" w:cs="仿宋"/>
          <w:sz w:val="32"/>
          <w:szCs w:val="32"/>
        </w:rPr>
        <w:t>、负责承担规范公用事业等市场秩序、</w:t>
      </w:r>
      <w:r>
        <w:rPr>
          <w:rFonts w:hint="eastAsia" w:ascii="仿宋" w:hAnsi="仿宋" w:eastAsia="仿宋" w:cs="仿宋"/>
          <w:sz w:val="32"/>
          <w:szCs w:val="32"/>
          <w:lang w:val="en-US" w:eastAsia="zh-CN"/>
        </w:rPr>
        <w:t>负责</w:t>
      </w:r>
      <w:r>
        <w:rPr>
          <w:rFonts w:hint="eastAsia" w:ascii="仿宋" w:hAnsi="仿宋" w:eastAsia="仿宋" w:cs="仿宋"/>
          <w:sz w:val="32"/>
          <w:szCs w:val="32"/>
        </w:rPr>
        <w:t>指导供水、供热、燃气企业开展安全管理</w:t>
      </w:r>
      <w:r>
        <w:rPr>
          <w:rFonts w:hint="eastAsia" w:ascii="仿宋" w:hAnsi="仿宋" w:eastAsia="仿宋" w:cs="仿宋"/>
          <w:sz w:val="32"/>
          <w:szCs w:val="32"/>
          <w:lang w:eastAsia="zh-CN"/>
        </w:rPr>
        <w:t>、</w:t>
      </w:r>
      <w:r>
        <w:rPr>
          <w:rFonts w:hint="eastAsia" w:ascii="仿宋" w:hAnsi="仿宋" w:eastAsia="仿宋" w:cs="仿宋"/>
          <w:sz w:val="32"/>
          <w:szCs w:val="32"/>
          <w:lang w:val="en-US" w:eastAsia="zh-CN"/>
        </w:rPr>
        <w:t>负责建设工程消防验收备案抽查工作等。</w:t>
      </w:r>
    </w:p>
    <w:p w14:paraId="730E6FF7">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i w:val="0"/>
          <w:iCs w:val="0"/>
          <w:color w:val="333333"/>
          <w:kern w:val="2"/>
          <w:sz w:val="32"/>
          <w:szCs w:val="32"/>
          <w:shd w:val="clear" w:fill="FFFFFF"/>
          <w:lang w:val="en-US" w:eastAsia="zh-CN" w:bidi="ar-SA"/>
        </w:rPr>
      </w:pPr>
      <w:r>
        <w:rPr>
          <w:rFonts w:hint="eastAsia" w:ascii="仿宋" w:hAnsi="仿宋" w:eastAsia="仿宋" w:cs="仿宋"/>
          <w:sz w:val="32"/>
          <w:szCs w:val="32"/>
          <w:lang w:val="en-US" w:eastAsia="zh-CN"/>
        </w:rPr>
        <w:t>（二）</w:t>
      </w:r>
      <w:r>
        <w:rPr>
          <w:rFonts w:hint="eastAsia" w:ascii="仿宋" w:hAnsi="仿宋" w:eastAsia="仿宋" w:cs="仿宋"/>
          <w:i w:val="0"/>
          <w:iCs w:val="0"/>
          <w:color w:val="333333"/>
          <w:sz w:val="32"/>
          <w:szCs w:val="32"/>
          <w:shd w:val="clear" w:fill="FFFFFF"/>
          <w:lang w:val="en-US" w:eastAsia="zh-CN"/>
        </w:rPr>
        <w:t>隆台区城市建设和管理服务中心</w:t>
      </w:r>
      <w:r>
        <w:rPr>
          <w:rFonts w:hint="eastAsia" w:ascii="仿宋" w:hAnsi="仿宋" w:eastAsia="仿宋" w:cs="仿宋"/>
          <w:i w:val="0"/>
          <w:iCs w:val="0"/>
          <w:color w:val="333333"/>
          <w:kern w:val="2"/>
          <w:sz w:val="32"/>
          <w:szCs w:val="32"/>
          <w:shd w:val="clear" w:fill="FFFFFF"/>
          <w:lang w:val="en-US" w:eastAsia="zh-CN" w:bidi="ar-SA"/>
        </w:rPr>
        <w:t>主要职责。</w:t>
      </w:r>
    </w:p>
    <w:p w14:paraId="536D4A4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both"/>
        <w:textAlignment w:val="auto"/>
        <w:rPr>
          <w:rFonts w:hint="eastAsia" w:ascii="仿宋" w:hAnsi="仿宋" w:eastAsia="仿宋" w:cs="仿宋"/>
          <w:i w:val="0"/>
          <w:iCs w:val="0"/>
          <w:caps w:val="0"/>
          <w:color w:val="333333"/>
          <w:spacing w:val="0"/>
          <w:sz w:val="32"/>
          <w:szCs w:val="32"/>
        </w:rPr>
      </w:pPr>
      <w:r>
        <w:rPr>
          <w:rFonts w:hint="eastAsia" w:ascii="仿宋" w:hAnsi="仿宋" w:eastAsia="仿宋" w:cs="仿宋"/>
          <w:i w:val="0"/>
          <w:iCs w:val="0"/>
          <w:caps w:val="0"/>
          <w:color w:val="333333"/>
          <w:spacing w:val="0"/>
          <w:sz w:val="32"/>
          <w:szCs w:val="32"/>
          <w:shd w:val="clear" w:fill="FFFFFF"/>
          <w:lang w:val="en-US" w:eastAsia="zh-CN"/>
        </w:rPr>
        <w:t>1.</w:t>
      </w:r>
      <w:r>
        <w:rPr>
          <w:rFonts w:hint="eastAsia" w:ascii="仿宋" w:hAnsi="仿宋" w:eastAsia="仿宋" w:cs="仿宋"/>
          <w:i w:val="0"/>
          <w:iCs w:val="0"/>
          <w:caps w:val="0"/>
          <w:color w:val="333333"/>
          <w:spacing w:val="0"/>
          <w:sz w:val="32"/>
          <w:szCs w:val="32"/>
          <w:shd w:val="clear" w:fill="FFFFFF"/>
        </w:rPr>
        <w:t>负责辖区内市政基础设施（包括城市园林绿化、亮化、环境卫生等工作）的监管；负责城市生活垃圾分类的监督指导；负责辖区内排污、排涝、泵站等服务的日常监管、运行。</w:t>
      </w:r>
    </w:p>
    <w:p w14:paraId="607E283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0" w:firstLineChars="200"/>
        <w:jc w:val="both"/>
        <w:textAlignment w:val="auto"/>
        <w:rPr>
          <w:rFonts w:hint="eastAsia" w:ascii="仿宋" w:hAnsi="仿宋" w:eastAsia="仿宋" w:cs="仿宋"/>
          <w:i w:val="0"/>
          <w:iCs w:val="0"/>
          <w:caps w:val="0"/>
          <w:color w:val="333333"/>
          <w:spacing w:val="0"/>
          <w:sz w:val="32"/>
          <w:szCs w:val="32"/>
          <w:shd w:val="clear" w:fill="FFFFFF"/>
        </w:rPr>
      </w:pPr>
      <w:r>
        <w:rPr>
          <w:rFonts w:hint="eastAsia" w:ascii="仿宋" w:hAnsi="仿宋" w:eastAsia="仿宋" w:cs="仿宋"/>
          <w:i w:val="0"/>
          <w:iCs w:val="0"/>
          <w:caps w:val="0"/>
          <w:color w:val="333333"/>
          <w:spacing w:val="0"/>
          <w:sz w:val="32"/>
          <w:szCs w:val="32"/>
          <w:shd w:val="clear" w:fill="FFFFFF"/>
          <w:lang w:val="en-US" w:eastAsia="zh-CN"/>
        </w:rPr>
        <w:t>2.</w:t>
      </w:r>
      <w:r>
        <w:rPr>
          <w:rFonts w:hint="eastAsia" w:ascii="仿宋" w:hAnsi="仿宋" w:eastAsia="仿宋" w:cs="仿宋"/>
          <w:i w:val="0"/>
          <w:iCs w:val="0"/>
          <w:caps w:val="0"/>
          <w:color w:val="333333"/>
          <w:spacing w:val="0"/>
          <w:sz w:val="32"/>
          <w:szCs w:val="32"/>
          <w:shd w:val="clear" w:fill="FFFFFF"/>
        </w:rPr>
        <w:t>负责区城建计划内及计划外基建类（包括园林绿化、亮化、道路、路灯、管网、泵站及设备等）投资项目的具体实施（包括设计、预算、拦标送审、招标、现场施工管理及验收、决算送审及工程款拨付）；民生工程中，负责市民投诉及排险工作；负责区内急、难、险、重项目的具体实施；负责占道挖掘初审等工作。</w:t>
      </w:r>
    </w:p>
    <w:p w14:paraId="07D51B0A">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3" w:firstLineChars="200"/>
        <w:jc w:val="left"/>
        <w:textAlignment w:val="auto"/>
        <w:rPr>
          <w:rFonts w:hint="eastAsia" w:ascii="宋体" w:hAnsi="宋体" w:eastAsia="宋体" w:cs="宋体"/>
          <w:b/>
          <w:bCs/>
          <w:i w:val="0"/>
          <w:iCs w:val="0"/>
          <w:color w:val="333333"/>
          <w:sz w:val="32"/>
          <w:szCs w:val="32"/>
          <w:shd w:val="clear" w:fill="FFFFFF"/>
          <w:lang w:val="en-US" w:eastAsia="zh-CN"/>
        </w:rPr>
      </w:pPr>
      <w:r>
        <w:rPr>
          <w:rFonts w:hint="eastAsia" w:ascii="宋体" w:hAnsi="宋体" w:eastAsia="宋体" w:cs="宋体"/>
          <w:b/>
          <w:bCs/>
          <w:i w:val="0"/>
          <w:iCs w:val="0"/>
          <w:color w:val="333333"/>
          <w:sz w:val="32"/>
          <w:szCs w:val="32"/>
          <w:shd w:val="clear" w:fill="FFFFFF"/>
          <w:lang w:val="en-US" w:eastAsia="zh-CN"/>
        </w:rPr>
        <w:t>二、</w:t>
      </w:r>
      <w:r>
        <w:rPr>
          <w:rFonts w:hint="eastAsia" w:ascii="宋体" w:hAnsi="宋体" w:eastAsia="宋体" w:cs="宋体"/>
          <w:b/>
          <w:bCs/>
          <w:i w:val="0"/>
          <w:iCs w:val="0"/>
          <w:color w:val="333333"/>
          <w:sz w:val="32"/>
          <w:szCs w:val="32"/>
          <w:shd w:val="clear" w:fill="FFFFFF"/>
        </w:rPr>
        <w:t>内设机构</w:t>
      </w:r>
    </w:p>
    <w:p w14:paraId="3B05E2A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360" w:lineRule="auto"/>
        <w:ind w:right="0" w:rightChars="0" w:firstLine="640" w:firstLineChars="200"/>
        <w:jc w:val="left"/>
        <w:textAlignment w:val="auto"/>
        <w:rPr>
          <w:rFonts w:hint="eastAsia" w:ascii="仿宋" w:hAnsi="仿宋" w:eastAsia="仿宋" w:cs="仿宋"/>
          <w:i w:val="0"/>
          <w:iCs w:val="0"/>
          <w:caps w:val="0"/>
          <w:color w:val="333333"/>
          <w:spacing w:val="0"/>
          <w:kern w:val="2"/>
          <w:sz w:val="32"/>
          <w:szCs w:val="32"/>
          <w:shd w:val="clear" w:fill="FFFFFF"/>
          <w:lang w:val="en-US" w:eastAsia="zh-CN" w:bidi="ar-SA"/>
        </w:rPr>
      </w:pP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lang w:val="en-US" w:eastAsia="zh-CN"/>
        </w:rPr>
        <w:t>一</w:t>
      </w: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rPr>
        <w:t>住建局机关</w:t>
      </w:r>
      <w:r>
        <w:rPr>
          <w:rFonts w:hint="eastAsia" w:ascii="仿宋" w:hAnsi="仿宋" w:eastAsia="仿宋" w:cs="仿宋"/>
          <w:i w:val="0"/>
          <w:iCs w:val="0"/>
          <w:caps w:val="0"/>
          <w:color w:val="333333"/>
          <w:spacing w:val="0"/>
          <w:kern w:val="2"/>
          <w:sz w:val="32"/>
          <w:szCs w:val="32"/>
          <w:shd w:val="clear" w:fill="FFFFFF"/>
          <w:lang w:val="en-US" w:eastAsia="zh-CN" w:bidi="ar-SA"/>
        </w:rPr>
        <w:t>机构设置</w:t>
      </w:r>
    </w:p>
    <w:p w14:paraId="57CA4EF8">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1.综合办公室</w:t>
      </w:r>
    </w:p>
    <w:p w14:paraId="4D5C024D">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机关文电、会务、财务、安全、保密和政务工作；负责机关的党群工作；负责机关机构编制、人事管理、教育培训和外事工作，负责机关离退休干部工作。负责重要文件、文稿的起草及重点工作的落实督促工作；负责网站管理、政务公开、信息公开、舆情应对等工作。负责重点工作汇总、绩效考核平台填报工作。</w:t>
      </w:r>
    </w:p>
    <w:p w14:paraId="00212ADD">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2.信访法规</w:t>
      </w:r>
    </w:p>
    <w:p w14:paraId="3F4E4D8E">
      <w:pPr>
        <w:keepNext w:val="0"/>
        <w:keepLines w:val="0"/>
        <w:pageBreakBefore w:val="0"/>
        <w:widowControl/>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指导普法、行政执法、行政复议和行政应诉。负责信访事项受理、转办、交办、复查、复核工作，负责对上级交办的信访案件进行调查处理。</w:t>
      </w:r>
    </w:p>
    <w:p w14:paraId="35FF9710">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3.房地产管理</w:t>
      </w:r>
    </w:p>
    <w:p w14:paraId="0A0F3CA1">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落实房地产相关政策执行相关法律法规，承担房地产市场的监督管理，监管房地产商品房预售资金，承担商品房销售面积的指标任务。</w:t>
      </w:r>
    </w:p>
    <w:p w14:paraId="1EC30AE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4.住房保障</w:t>
      </w:r>
    </w:p>
    <w:p w14:paraId="11CE916B">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承担棚户区住房改造的指标任务，负责公共租赁住房的分配和日常监督、指导；负责住房补贴工作。</w:t>
      </w:r>
    </w:p>
    <w:p w14:paraId="6BF6375F">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5.建设市场监察</w:t>
      </w:r>
    </w:p>
    <w:p w14:paraId="2F3C2A22">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负责规范建筑市场各方主体经营行为，依法查处建筑市场违法行为，负责工程建设实施阶段和交付阶段的管理工作，负责劳务实名制的推广和监督。</w:t>
      </w:r>
    </w:p>
    <w:p w14:paraId="79F285BF">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6.建设工程招标投标管理</w:t>
      </w:r>
    </w:p>
    <w:p w14:paraId="1FD319EC">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负责房屋和市政工程项目招投标活动的监督管理，负责工程造价管理。</w:t>
      </w:r>
    </w:p>
    <w:p w14:paraId="5FEAB23E">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7.建工</w:t>
      </w:r>
    </w:p>
    <w:p w14:paraId="17F46D5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负责建筑业企业管理工作，承担建筑业经济发展指标任务，承担推进建筑产业现代化工作，指导装配式建筑工作。承担建筑业总产值和装配式建筑考核指标。</w:t>
      </w:r>
    </w:p>
    <w:p w14:paraId="2B66C793">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8.计划统计</w:t>
      </w:r>
    </w:p>
    <w:p w14:paraId="65215521">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负责牵头编制城建计划。负责住房和城乡建设行业统计信息工作。</w:t>
      </w:r>
    </w:p>
    <w:p w14:paraId="3250C069">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9.城建</w:t>
      </w:r>
    </w:p>
    <w:p w14:paraId="2A66947E">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按照国家、省、市改善小城镇和村庄人居生态环境及农村危房改造相关政策及文件精神，及时传达各街道，做好各项指导工作；按照国家、省、市相关政策及文件精神，及时完成试点示范的申报工作，对申报试点示范的村镇各项统计数据进行审核；协调指导村镇做好农村危房改造工作，及时统计农村危房存量情况，做好危房存量的上报工作，并及时调度危房改造建设进度。协调指导各涉农街道做好农村住房建设和安全相关工作。</w:t>
      </w:r>
    </w:p>
    <w:p w14:paraId="50AE8AD0">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10.消防</w:t>
      </w:r>
    </w:p>
    <w:p w14:paraId="5053082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核实建设工程消防设计图纸、审图文件等材料。（根据中华人民共和国消防法第十条、十一条、十二条）；负责建设工程消防验收备案抽查工作。（根据中华人民共和国消防法第十三条、十四条）；负责新建、改建、扩建、装修等工程消防施工过程监督，对未经依法审查和审查不合格及未经消防验收或者验收不合格投入使用的项目，依法进行处罚。（根据中华人民共和国消防法第五十八条第1、2、3、4款）</w:t>
      </w:r>
    </w:p>
    <w:p w14:paraId="5B7FD515">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11.燃气</w:t>
      </w:r>
    </w:p>
    <w:p w14:paraId="0B4536C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负责会同有关部门组织编制燃气发展规划，并组织贯彻实施；负责城镇燃气经营企业许可证的初审，对未取得燃气经营许可证从事燃气经营活动的、超出燃气经营许可证范围从事燃气经营活动的单位和个人，由燃气管理部门依法向综合执法局移交；负责燃气工程的备案及监督、管理，未经燃气管理部门审查的房地产开发项目中配套建设的城镇燃气设施，不予办理该项目的城镇燃气设施竣工验收备案手续。燃气工程设计、施工单位，必须经燃气行政主管部门登记备案后，方可从事设计、施工活动；负责城镇燃气设施保护工作，划定燃气设施保护范围，防止建（构）筑物占压或损害城镇燃气设施；负责城镇燃气应急管理，制定燃气应急预案，配备应急人员和必要装备、器材，并定期组织演练，保障城镇燃气应急管理工作有效开展。</w:t>
      </w:r>
    </w:p>
    <w:p w14:paraId="29682104">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12.供热</w:t>
      </w:r>
    </w:p>
    <w:p w14:paraId="61CF82D6">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贯彻执行关于城市供热的方针、政策和法律、法规；负责规范城市供热市场主体行为，处理城市集中供热行业供用纠纷，维护市场秩序；负责集中供热行业安全生产管理，督促、协调企业生产运行中的应急抢险、事故抢修和便民救助工作；负责处理辖区内有关供暖的信访、投诉等工作。</w:t>
      </w:r>
    </w:p>
    <w:p w14:paraId="4D64562E">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13.物业</w:t>
      </w:r>
    </w:p>
    <w:p w14:paraId="112832BA">
      <w:pPr>
        <w:keepNext w:val="0"/>
        <w:keepLines w:val="0"/>
        <w:pageBreakBefore w:val="0"/>
        <w:widowControl/>
        <w:numPr>
          <w:ilvl w:val="0"/>
          <w:numId w:val="0"/>
        </w:numPr>
        <w:kinsoku/>
        <w:wordWrap/>
        <w:overflowPunct/>
        <w:topLinePunct w:val="0"/>
        <w:autoSpaceDE/>
        <w:autoSpaceDN/>
        <w:bidi w:val="0"/>
        <w:adjustRightInd w:val="0"/>
        <w:snapToGrid w:val="0"/>
        <w:spacing w:beforeAutospacing="0" w:after="0" w:afterAutospacing="0" w:line="360" w:lineRule="auto"/>
        <w:ind w:firstLine="640" w:firstLineChars="200"/>
        <w:textAlignment w:val="auto"/>
        <w:rPr>
          <w:rFonts w:hint="eastAsia" w:ascii="仿宋" w:hAnsi="仿宋" w:eastAsia="仿宋" w:cs="仿宋"/>
          <w:b w:val="0"/>
          <w:bCs w:val="0"/>
          <w:sz w:val="32"/>
          <w:szCs w:val="32"/>
          <w:lang w:val="en-US" w:eastAsia="zh-CN"/>
        </w:rPr>
      </w:pPr>
      <w:r>
        <w:rPr>
          <w:rFonts w:hint="eastAsia" w:ascii="仿宋" w:hAnsi="仿宋" w:eastAsia="仿宋" w:cs="仿宋"/>
          <w:b w:val="0"/>
          <w:bCs w:val="0"/>
          <w:sz w:val="32"/>
          <w:szCs w:val="32"/>
          <w:lang w:val="en-US" w:eastAsia="zh-CN"/>
        </w:rPr>
        <w:t>贯彻执行关于物业管理的法律法规。监督指导街道办事处履行物业管理职责；监督指导前期物业服务企业招标投标等活动；负责物业管理区域资料、前期物业招标、前期物业服务合同、前期物业承接查验协议备案等;负责定期开展物业服务质量专项检查;负责辖区内物业档案的建立及管理；组织培训街道办事处(镇人民政府)、居(村)民委员会物业管理相关工作人员和业主委员会成员。</w:t>
      </w:r>
    </w:p>
    <w:p w14:paraId="7FF1D5B4">
      <w:pPr>
        <w:pStyle w:val="2"/>
        <w:keepNext w:val="0"/>
        <w:keepLines w:val="0"/>
        <w:pageBreakBefore w:val="0"/>
        <w:kinsoku/>
        <w:wordWrap/>
        <w:overflowPunct/>
        <w:topLinePunct w:val="0"/>
        <w:autoSpaceDE/>
        <w:autoSpaceDN/>
        <w:bidi w:val="0"/>
        <w:spacing w:beforeAutospacing="0" w:afterAutospacing="0" w:line="480" w:lineRule="auto"/>
        <w:ind w:firstLine="640" w:firstLineChars="200"/>
        <w:textAlignment w:val="auto"/>
        <w:rPr>
          <w:rFonts w:hint="eastAsia" w:ascii="仿宋" w:hAnsi="仿宋" w:eastAsia="仿宋" w:cs="仿宋"/>
          <w:b w:val="0"/>
          <w:bCs w:val="0"/>
          <w:sz w:val="32"/>
          <w:szCs w:val="32"/>
          <w:lang w:val="en-US" w:eastAsia="zh-CN" w:bidi="ar-SA"/>
        </w:rPr>
      </w:pPr>
      <w:r>
        <w:rPr>
          <w:rFonts w:hint="eastAsia" w:ascii="仿宋" w:hAnsi="仿宋" w:eastAsia="仿宋" w:cs="仿宋"/>
          <w:b w:val="0"/>
          <w:bCs w:val="0"/>
          <w:sz w:val="32"/>
          <w:szCs w:val="32"/>
          <w:lang w:val="en-US" w:eastAsia="zh-CN" w:bidi="ar-SA"/>
        </w:rPr>
        <w:t>14.兴隆台区建筑工程质量监督行政执法队</w:t>
      </w:r>
    </w:p>
    <w:p w14:paraId="7292F050">
      <w:pPr>
        <w:keepNext w:val="0"/>
        <w:keepLines w:val="0"/>
        <w:pageBreakBefore w:val="0"/>
        <w:widowControl/>
        <w:kinsoku/>
        <w:wordWrap/>
        <w:overflowPunct/>
        <w:topLinePunct w:val="0"/>
        <w:autoSpaceDE/>
        <w:autoSpaceDN/>
        <w:bidi w:val="0"/>
        <w:adjustRightInd w:val="0"/>
        <w:snapToGrid w:val="0"/>
        <w:spacing w:beforeAutospacing="0" w:after="0" w:afterAutospacing="0" w:line="480" w:lineRule="auto"/>
        <w:ind w:firstLine="640" w:firstLineChars="200"/>
        <w:textAlignment w:val="auto"/>
        <w:rPr>
          <w:rFonts w:hint="eastAsia" w:ascii="仿宋" w:hAnsi="仿宋" w:eastAsia="仿宋" w:cs="仿宋"/>
          <w:b w:val="0"/>
          <w:bCs w:val="0"/>
          <w:sz w:val="32"/>
          <w:szCs w:val="32"/>
        </w:rPr>
      </w:pPr>
      <w:r>
        <w:rPr>
          <w:rFonts w:hint="eastAsia" w:ascii="仿宋" w:hAnsi="仿宋" w:eastAsia="仿宋" w:cs="仿宋"/>
          <w:b w:val="0"/>
          <w:bCs w:val="0"/>
          <w:sz w:val="32"/>
          <w:szCs w:val="32"/>
          <w:lang w:val="en-US" w:eastAsia="zh-CN"/>
        </w:rPr>
        <w:t>负责区本级建筑工程质量监督管理和安全监督管理的日常检查。</w:t>
      </w:r>
    </w:p>
    <w:p w14:paraId="4DA5CB7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320" w:firstLineChars="1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（二）城建中心机构设置</w:t>
      </w:r>
    </w:p>
    <w:p w14:paraId="5BD09C1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1.综合办公室</w:t>
      </w:r>
    </w:p>
    <w:p w14:paraId="574CB71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负责本单位文件收发（包括政府各部门之间文件的接收，红头文件、会议记录、纪要的撰写）外宣，人事（职工保险、考勤、绩效等）等机关事务。</w:t>
      </w:r>
    </w:p>
    <w:p w14:paraId="01477C56">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2.财务办公室</w:t>
      </w:r>
    </w:p>
    <w:p w14:paraId="40EA5AD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负责固定资产的管理和统计，账务报账、财务请示、预算、决算等工作。</w:t>
      </w:r>
    </w:p>
    <w:p w14:paraId="0AADB973">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3.党群办公室</w:t>
      </w:r>
    </w:p>
    <w:p w14:paraId="1C665B8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单位组织建设工作（抓好新党员发展、党员教育和学习培训、党内评比表彰、党费收缴、党员的统计年报等方面的具体工作）及单位党建精神文明工作（协助主管领导做好党风廉政建设责任制的落实，开展党风廉政教育，实施政务公开，查处违纪案件）。</w:t>
      </w:r>
    </w:p>
    <w:p w14:paraId="68C5312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4.档案办公室</w:t>
      </w:r>
    </w:p>
    <w:p w14:paraId="1EDACD80">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负责档案资料的收集、整理、立卷、归档、电子录入等工作。</w:t>
      </w:r>
    </w:p>
    <w:p w14:paraId="636DB6C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5.信访法规投诉办公室</w:t>
      </w:r>
    </w:p>
    <w:p w14:paraId="111A1CA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城市管理网格化中心、智慧化城市平台、数字化平台、12345热线、民心网和市民投诉热线电话等投诉、举报案件受理、转办、督促、回复工作，负责各数字化平台的日常维护，并做好诉处理等各类基础台账的建设、管理、汇总及归档。负责本单位政策法规、业务指导与培训、文字材料、人员和业务督查、案件监督、信访接待等工作。</w:t>
      </w:r>
    </w:p>
    <w:p w14:paraId="120CC6A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6.综合业务管理办公室</w:t>
      </w:r>
    </w:p>
    <w:p w14:paraId="34DB7D0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rPr>
        <w:t>负责招投标项目前期工作、非招投标项目施工单位抽选工作及项目单位之间的协调、验收等工作；负责主街主路环境卫生的检查及发现市政设施损坏的通报。</w:t>
      </w:r>
    </w:p>
    <w:p w14:paraId="10D9DCD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7. 市政设施管理办公室</w:t>
      </w:r>
    </w:p>
    <w:p w14:paraId="1CAC3D45">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负责辖区内道路、路灯、排污、排涝、泵站等服务的日常监管运行维修维护，占道挖掘初审及公共基础设施的新建工作。</w:t>
      </w:r>
    </w:p>
    <w:p w14:paraId="5600FEDE">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8.环卫综合管理办公室</w:t>
      </w:r>
    </w:p>
    <w:p w14:paraId="15AC8FEF">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负责辖区内环境卫生的监察及垃圾分类的推广、运行与监管等工作。</w:t>
      </w:r>
    </w:p>
    <w:p w14:paraId="06CC90B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9.绿化综合管理办公室</w:t>
      </w:r>
    </w:p>
    <w:p w14:paraId="3BF42E4B">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rPr>
      </w:pPr>
      <w:r>
        <w:rPr>
          <w:rFonts w:hint="eastAsia" w:ascii="仿宋" w:hAnsi="仿宋" w:eastAsia="仿宋" w:cs="仿宋"/>
          <w:sz w:val="32"/>
          <w:szCs w:val="32"/>
          <w:lang w:val="en-US" w:eastAsia="zh-CN"/>
        </w:rPr>
        <w:t>负责辖区内园林绿化、美化的工作，监督检查辖区内绿化建设完成情况，并参与各类绿化工程的验收工作。</w:t>
      </w:r>
    </w:p>
    <w:p w14:paraId="15C21C7C">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城建管理办公室</w:t>
      </w:r>
    </w:p>
    <w:p w14:paraId="2F6A96C2">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宋体" w:hAnsi="宋体" w:eastAsia="宋体" w:cs="宋体"/>
          <w:b/>
          <w:bCs/>
          <w:i w:val="0"/>
          <w:iCs w:val="0"/>
          <w:color w:val="333333"/>
          <w:sz w:val="32"/>
          <w:szCs w:val="32"/>
          <w:shd w:val="clear" w:fill="FFFFFF"/>
        </w:rPr>
      </w:pPr>
      <w:r>
        <w:rPr>
          <w:rFonts w:hint="eastAsia" w:ascii="仿宋" w:hAnsi="仿宋" w:eastAsia="仿宋" w:cs="仿宋"/>
          <w:sz w:val="32"/>
          <w:szCs w:val="32"/>
          <w:lang w:val="en-US" w:eastAsia="zh-CN"/>
        </w:rPr>
        <w:t>负责辖区内市政基础设施的新建及维修等工作。</w:t>
      </w:r>
    </w:p>
    <w:p w14:paraId="3CF8E4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spacing w:before="0" w:beforeAutospacing="0" w:after="0" w:afterAutospacing="0" w:line="480" w:lineRule="auto"/>
        <w:ind w:right="0" w:firstLine="643" w:firstLineChars="200"/>
        <w:jc w:val="left"/>
        <w:textAlignment w:val="auto"/>
        <w:rPr>
          <w:rFonts w:hint="eastAsia" w:ascii="宋体" w:hAnsi="宋体" w:eastAsia="宋体" w:cs="宋体"/>
          <w:b/>
          <w:bCs/>
          <w:sz w:val="32"/>
          <w:szCs w:val="32"/>
        </w:rPr>
      </w:pPr>
      <w:r>
        <w:rPr>
          <w:rFonts w:hint="eastAsia" w:ascii="宋体" w:hAnsi="宋体" w:eastAsia="宋体" w:cs="宋体"/>
          <w:b/>
          <w:bCs/>
          <w:i w:val="0"/>
          <w:iCs w:val="0"/>
          <w:color w:val="333333"/>
          <w:sz w:val="32"/>
          <w:szCs w:val="32"/>
          <w:shd w:val="clear" w:fill="FFFFFF"/>
        </w:rPr>
        <w:t>三、部门预算单位构成</w:t>
      </w:r>
    </w:p>
    <w:p w14:paraId="056D9D0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仿宋" w:hAnsi="仿宋" w:eastAsia="仿宋" w:cs="仿宋"/>
          <w:sz w:val="32"/>
          <w:szCs w:val="32"/>
          <w:lang w:val="en-US" w:eastAsia="zh-CN"/>
        </w:rPr>
      </w:pPr>
      <w:r>
        <w:rPr>
          <w:rFonts w:hint="eastAsia" w:ascii="仿宋" w:hAnsi="仿宋" w:eastAsia="仿宋" w:cs="仿宋"/>
          <w:sz w:val="32"/>
          <w:szCs w:val="32"/>
          <w:lang w:val="en-US" w:eastAsia="zh-CN"/>
        </w:rPr>
        <w:t xml:space="preserve">纳入盘锦市兴隆台区住房和城乡建设局2024年度部门预算编制范围的二级预算单位包括： </w:t>
      </w:r>
    </w:p>
    <w:p w14:paraId="5D9FA309">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640" w:firstLineChars="200"/>
        <w:jc w:val="left"/>
        <w:textAlignment w:val="auto"/>
        <w:rPr>
          <w:rFonts w:hint="eastAsia" w:ascii="宋体" w:hAnsi="宋体" w:eastAsia="宋体" w:cs="宋体"/>
          <w:i w:val="0"/>
          <w:iCs w:val="0"/>
          <w:color w:val="333333"/>
          <w:sz w:val="32"/>
          <w:szCs w:val="32"/>
          <w:shd w:val="clear" w:fill="FFFFFF"/>
          <w:lang w:val="en-US" w:eastAsia="zh-CN"/>
        </w:rPr>
      </w:pPr>
      <w:r>
        <w:rPr>
          <w:rFonts w:hint="eastAsia" w:ascii="仿宋" w:hAnsi="仿宋" w:eastAsia="仿宋" w:cs="仿宋"/>
          <w:sz w:val="32"/>
          <w:szCs w:val="32"/>
          <w:lang w:val="en-US" w:eastAsia="zh-CN"/>
        </w:rPr>
        <w:t>盘锦市兴隆台区城市建设和管理服务中心</w:t>
      </w:r>
    </w:p>
    <w:p w14:paraId="7E9B780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i w:val="0"/>
          <w:iCs w:val="0"/>
          <w:color w:val="333333"/>
          <w:sz w:val="32"/>
          <w:szCs w:val="32"/>
          <w:shd w:val="clear" w:fill="FFFFFF"/>
          <w:lang w:val="en-US" w:eastAsia="zh-CN"/>
        </w:rPr>
      </w:pPr>
    </w:p>
    <w:p w14:paraId="5D1BD22A">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0"/>
          <w:szCs w:val="40"/>
          <w:shd w:val="clear" w:fill="FFFFFF"/>
        </w:rPr>
      </w:pPr>
      <w:r>
        <w:rPr>
          <w:rFonts w:hint="eastAsia" w:ascii="宋体" w:hAnsi="宋体" w:eastAsia="宋体" w:cs="宋体"/>
          <w:b/>
          <w:bCs/>
          <w:i w:val="0"/>
          <w:iCs w:val="0"/>
          <w:color w:val="333333"/>
          <w:sz w:val="40"/>
          <w:szCs w:val="40"/>
          <w:shd w:val="clear" w:fill="FFFFFF"/>
        </w:rPr>
        <w:t>第二部分</w:t>
      </w:r>
    </w:p>
    <w:p w14:paraId="336AEE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0"/>
          <w:szCs w:val="40"/>
          <w:shd w:val="clear" w:fill="FFFFFF"/>
        </w:rPr>
      </w:pPr>
      <w:r>
        <w:rPr>
          <w:rFonts w:hint="eastAsia" w:ascii="宋体" w:hAnsi="宋体" w:eastAsia="宋体" w:cs="宋体"/>
          <w:b/>
          <w:bCs/>
          <w:i w:val="0"/>
          <w:iCs w:val="0"/>
          <w:color w:val="333333"/>
          <w:sz w:val="40"/>
          <w:szCs w:val="40"/>
          <w:shd w:val="clear" w:fill="FFFFFF"/>
          <w:lang w:val="en-US" w:eastAsia="zh-CN"/>
        </w:rPr>
        <w:t>兴隆台区住房和城乡建设局</w:t>
      </w:r>
      <w:r>
        <w:rPr>
          <w:rFonts w:hint="eastAsia" w:ascii="宋体" w:hAnsi="宋体" w:eastAsia="宋体" w:cs="宋体"/>
          <w:b/>
          <w:bCs/>
          <w:i w:val="0"/>
          <w:iCs w:val="0"/>
          <w:color w:val="333333"/>
          <w:sz w:val="40"/>
          <w:szCs w:val="40"/>
          <w:shd w:val="clear" w:fill="FFFFFF"/>
        </w:rPr>
        <w:t xml:space="preserve"> 202</w:t>
      </w:r>
      <w:r>
        <w:rPr>
          <w:rFonts w:hint="eastAsia" w:ascii="宋体" w:hAnsi="宋体" w:eastAsia="宋体" w:cs="宋体"/>
          <w:b/>
          <w:bCs/>
          <w:i w:val="0"/>
          <w:iCs w:val="0"/>
          <w:color w:val="333333"/>
          <w:sz w:val="40"/>
          <w:szCs w:val="40"/>
          <w:shd w:val="clear" w:fill="FFFFFF"/>
          <w:lang w:val="en-US" w:eastAsia="zh-CN"/>
        </w:rPr>
        <w:t>4</w:t>
      </w:r>
      <w:r>
        <w:rPr>
          <w:rFonts w:hint="eastAsia" w:ascii="宋体" w:hAnsi="宋体" w:eastAsia="宋体" w:cs="宋体"/>
          <w:b/>
          <w:bCs/>
          <w:i w:val="0"/>
          <w:iCs w:val="0"/>
          <w:color w:val="333333"/>
          <w:sz w:val="40"/>
          <w:szCs w:val="40"/>
          <w:shd w:val="clear" w:fill="FFFFFF"/>
        </w:rPr>
        <w:t>年度</w:t>
      </w:r>
    </w:p>
    <w:p w14:paraId="51990DF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b/>
          <w:bCs/>
          <w:i w:val="0"/>
          <w:iCs w:val="0"/>
          <w:color w:val="333333"/>
          <w:sz w:val="44"/>
          <w:szCs w:val="44"/>
          <w:shd w:val="clear" w:fill="FFFFFF"/>
        </w:rPr>
      </w:pPr>
      <w:r>
        <w:rPr>
          <w:rFonts w:hint="eastAsia" w:ascii="宋体" w:hAnsi="宋体" w:eastAsia="宋体" w:cs="宋体"/>
          <w:b/>
          <w:bCs/>
          <w:i w:val="0"/>
          <w:iCs w:val="0"/>
          <w:color w:val="333333"/>
          <w:sz w:val="40"/>
          <w:szCs w:val="40"/>
          <w:shd w:val="clear" w:fill="FFFFFF"/>
        </w:rPr>
        <w:t>部门预算</w:t>
      </w:r>
      <w:r>
        <w:rPr>
          <w:rFonts w:hint="eastAsia" w:ascii="宋体" w:hAnsi="宋体" w:eastAsia="宋体" w:cs="宋体"/>
          <w:b/>
          <w:bCs/>
          <w:i w:val="0"/>
          <w:iCs w:val="0"/>
          <w:color w:val="333333"/>
          <w:sz w:val="40"/>
          <w:szCs w:val="40"/>
          <w:shd w:val="clear" w:fill="FFFFFF"/>
          <w:lang w:eastAsia="zh-CN"/>
        </w:rPr>
        <w:t>（</w:t>
      </w:r>
      <w:r>
        <w:rPr>
          <w:rFonts w:hint="eastAsia" w:ascii="宋体" w:hAnsi="宋体" w:eastAsia="宋体" w:cs="宋体"/>
          <w:b/>
          <w:bCs/>
          <w:i w:val="0"/>
          <w:iCs w:val="0"/>
          <w:color w:val="333333"/>
          <w:sz w:val="40"/>
          <w:szCs w:val="40"/>
          <w:shd w:val="clear" w:fill="FFFFFF"/>
          <w:lang w:val="en-US" w:eastAsia="zh-CN"/>
        </w:rPr>
        <w:t>汇总</w:t>
      </w:r>
      <w:r>
        <w:rPr>
          <w:rFonts w:hint="eastAsia" w:ascii="宋体" w:hAnsi="宋体" w:eastAsia="宋体" w:cs="宋体"/>
          <w:b/>
          <w:bCs/>
          <w:i w:val="0"/>
          <w:iCs w:val="0"/>
          <w:color w:val="333333"/>
          <w:sz w:val="40"/>
          <w:szCs w:val="40"/>
          <w:shd w:val="clear" w:fill="FFFFFF"/>
          <w:lang w:eastAsia="zh-CN"/>
        </w:rPr>
        <w:t>）</w:t>
      </w:r>
      <w:r>
        <w:rPr>
          <w:rFonts w:hint="eastAsia" w:ascii="宋体" w:hAnsi="宋体" w:eastAsia="宋体" w:cs="宋体"/>
          <w:b/>
          <w:bCs/>
          <w:i w:val="0"/>
          <w:iCs w:val="0"/>
          <w:color w:val="333333"/>
          <w:sz w:val="40"/>
          <w:szCs w:val="40"/>
          <w:shd w:val="clear" w:fill="FFFFFF"/>
        </w:rPr>
        <w:t>公开表</w:t>
      </w:r>
      <w:r>
        <w:rPr>
          <w:b/>
          <w:bCs/>
          <w:i w:val="0"/>
          <w:iCs w:val="0"/>
          <w:color w:val="333333"/>
          <w:sz w:val="44"/>
          <w:szCs w:val="44"/>
          <w:shd w:val="clear" w:fill="FFFFFF"/>
        </w:rPr>
        <w:t xml:space="preserve"> </w:t>
      </w:r>
    </w:p>
    <w:p w14:paraId="3DE881C1">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b/>
          <w:bCs/>
          <w:i w:val="0"/>
          <w:iCs w:val="0"/>
          <w:color w:val="333333"/>
          <w:sz w:val="44"/>
          <w:szCs w:val="44"/>
          <w:shd w:val="clear" w:fill="FFFFFF"/>
        </w:rPr>
      </w:pPr>
      <w:r>
        <w:rPr>
          <w:b/>
          <w:bCs/>
          <w:i w:val="0"/>
          <w:iCs w:val="0"/>
          <w:color w:val="0000FF"/>
          <w:sz w:val="32"/>
          <w:szCs w:val="32"/>
          <w:shd w:val="clear" w:fill="FFFFFF"/>
        </w:rPr>
        <w:t>（该部分内容详见附件）</w:t>
      </w:r>
      <w:r>
        <w:rPr>
          <w:shd w:val="clear" w:fill="FFFFFF"/>
        </w:rPr>
        <w:t xml:space="preserve"> </w:t>
      </w:r>
    </w:p>
    <w:p w14:paraId="7DDCF272">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0"/>
          <w:szCs w:val="40"/>
          <w:shd w:val="clear" w:fill="FFFFFF"/>
          <w:lang w:val="en-US" w:eastAsia="zh-CN"/>
        </w:rPr>
      </w:pPr>
      <w:r>
        <w:rPr>
          <w:rFonts w:hint="eastAsia" w:ascii="宋体" w:hAnsi="宋体" w:eastAsia="宋体" w:cs="宋体"/>
          <w:b/>
          <w:bCs/>
          <w:i w:val="0"/>
          <w:iCs w:val="0"/>
          <w:color w:val="333333"/>
          <w:sz w:val="40"/>
          <w:szCs w:val="40"/>
          <w:shd w:val="clear" w:fill="FFFFFF"/>
        </w:rPr>
        <w:t>第三部分</w:t>
      </w:r>
      <w:r>
        <w:rPr>
          <w:rFonts w:hint="eastAsia" w:ascii="宋体" w:hAnsi="宋体" w:eastAsia="宋体" w:cs="宋体"/>
          <w:b/>
          <w:bCs/>
          <w:i w:val="0"/>
          <w:iCs w:val="0"/>
          <w:color w:val="333333"/>
          <w:sz w:val="40"/>
          <w:szCs w:val="40"/>
          <w:shd w:val="clear" w:fill="FFFFFF"/>
          <w:lang w:val="en-US" w:eastAsia="zh-CN"/>
        </w:rPr>
        <w:t xml:space="preserve"> </w:t>
      </w:r>
    </w:p>
    <w:p w14:paraId="7F0C6680">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rFonts w:hint="eastAsia" w:ascii="宋体" w:hAnsi="宋体" w:eastAsia="宋体" w:cs="宋体"/>
          <w:b/>
          <w:bCs/>
          <w:i w:val="0"/>
          <w:iCs w:val="0"/>
          <w:color w:val="333333"/>
          <w:sz w:val="40"/>
          <w:szCs w:val="40"/>
          <w:shd w:val="clear" w:fill="FFFFFF"/>
        </w:rPr>
      </w:pPr>
      <w:r>
        <w:rPr>
          <w:rFonts w:hint="eastAsia" w:ascii="宋体" w:hAnsi="宋体" w:eastAsia="宋体" w:cs="宋体"/>
          <w:b/>
          <w:bCs/>
          <w:i w:val="0"/>
          <w:iCs w:val="0"/>
          <w:color w:val="333333"/>
          <w:sz w:val="40"/>
          <w:szCs w:val="40"/>
          <w:shd w:val="clear" w:fill="FFFFFF"/>
          <w:lang w:val="en-US" w:eastAsia="zh-CN"/>
        </w:rPr>
        <w:t>兴隆台区住房和城乡建设局</w:t>
      </w:r>
      <w:r>
        <w:rPr>
          <w:rFonts w:hint="eastAsia" w:ascii="宋体" w:hAnsi="宋体" w:eastAsia="宋体" w:cs="宋体"/>
          <w:b/>
          <w:bCs/>
          <w:i w:val="0"/>
          <w:iCs w:val="0"/>
          <w:color w:val="333333"/>
          <w:sz w:val="40"/>
          <w:szCs w:val="40"/>
          <w:shd w:val="clear" w:fill="FFFFFF"/>
        </w:rPr>
        <w:t xml:space="preserve"> 202</w:t>
      </w:r>
      <w:r>
        <w:rPr>
          <w:rFonts w:hint="eastAsia" w:ascii="宋体" w:hAnsi="宋体" w:eastAsia="宋体" w:cs="宋体"/>
          <w:b/>
          <w:bCs/>
          <w:i w:val="0"/>
          <w:iCs w:val="0"/>
          <w:color w:val="333333"/>
          <w:sz w:val="40"/>
          <w:szCs w:val="40"/>
          <w:shd w:val="clear" w:fill="FFFFFF"/>
          <w:lang w:val="en-US" w:eastAsia="zh-CN"/>
        </w:rPr>
        <w:t>4</w:t>
      </w:r>
      <w:r>
        <w:rPr>
          <w:rFonts w:hint="eastAsia" w:ascii="宋体" w:hAnsi="宋体" w:eastAsia="宋体" w:cs="宋体"/>
          <w:b/>
          <w:bCs/>
          <w:i w:val="0"/>
          <w:iCs w:val="0"/>
          <w:color w:val="333333"/>
          <w:sz w:val="40"/>
          <w:szCs w:val="40"/>
          <w:shd w:val="clear" w:fill="FFFFFF"/>
        </w:rPr>
        <w:t>年度</w:t>
      </w:r>
    </w:p>
    <w:p w14:paraId="5E2BD9BC">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pPr>
      <w:r>
        <w:rPr>
          <w:rFonts w:hint="eastAsia" w:ascii="宋体" w:hAnsi="宋体" w:eastAsia="宋体" w:cs="宋体"/>
          <w:b/>
          <w:bCs/>
          <w:i w:val="0"/>
          <w:iCs w:val="0"/>
          <w:color w:val="333333"/>
          <w:sz w:val="40"/>
          <w:szCs w:val="40"/>
          <w:shd w:val="clear" w:fill="FFFFFF"/>
        </w:rPr>
        <w:t>部门预算</w:t>
      </w:r>
      <w:r>
        <w:rPr>
          <w:rFonts w:hint="eastAsia" w:ascii="宋体" w:hAnsi="宋体" w:eastAsia="宋体" w:cs="宋体"/>
          <w:b/>
          <w:bCs/>
          <w:i w:val="0"/>
          <w:iCs w:val="0"/>
          <w:color w:val="333333"/>
          <w:sz w:val="40"/>
          <w:szCs w:val="40"/>
          <w:shd w:val="clear" w:fill="FFFFFF"/>
          <w:lang w:eastAsia="zh-CN"/>
        </w:rPr>
        <w:t>（</w:t>
      </w:r>
      <w:r>
        <w:rPr>
          <w:rFonts w:hint="eastAsia" w:ascii="宋体" w:hAnsi="宋体" w:eastAsia="宋体" w:cs="宋体"/>
          <w:b/>
          <w:bCs/>
          <w:i w:val="0"/>
          <w:iCs w:val="0"/>
          <w:color w:val="333333"/>
          <w:sz w:val="40"/>
          <w:szCs w:val="40"/>
          <w:shd w:val="clear" w:fill="FFFFFF"/>
          <w:lang w:val="en-US" w:eastAsia="zh-CN"/>
        </w:rPr>
        <w:t>汇总</w:t>
      </w:r>
      <w:r>
        <w:rPr>
          <w:rFonts w:hint="eastAsia" w:ascii="宋体" w:hAnsi="宋体" w:eastAsia="宋体" w:cs="宋体"/>
          <w:b/>
          <w:bCs/>
          <w:i w:val="0"/>
          <w:iCs w:val="0"/>
          <w:color w:val="333333"/>
          <w:sz w:val="40"/>
          <w:szCs w:val="40"/>
          <w:shd w:val="clear" w:fill="FFFFFF"/>
          <w:lang w:eastAsia="zh-CN"/>
        </w:rPr>
        <w:t>）</w:t>
      </w:r>
      <w:r>
        <w:rPr>
          <w:rFonts w:hint="eastAsia" w:ascii="宋体" w:hAnsi="宋体" w:eastAsia="宋体" w:cs="宋体"/>
          <w:b/>
          <w:bCs/>
          <w:i w:val="0"/>
          <w:iCs w:val="0"/>
          <w:color w:val="333333"/>
          <w:sz w:val="40"/>
          <w:szCs w:val="40"/>
          <w:shd w:val="clear" w:fill="FFFFFF"/>
        </w:rPr>
        <w:t>说明</w:t>
      </w:r>
      <w:r>
        <w:rPr>
          <w:b/>
          <w:bCs/>
          <w:i w:val="0"/>
          <w:iCs w:val="0"/>
          <w:color w:val="333333"/>
          <w:sz w:val="40"/>
          <w:szCs w:val="40"/>
          <w:shd w:val="clear" w:fill="FFFFFF"/>
        </w:rPr>
        <w:t xml:space="preserve"> </w:t>
      </w:r>
    </w:p>
    <w:p w14:paraId="65B478E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jc w:val="left"/>
        <w:textAlignment w:val="auto"/>
        <w:rPr>
          <w:rFonts w:hint="eastAsia" w:ascii="宋体" w:hAnsi="宋体" w:eastAsia="宋体" w:cs="宋体"/>
          <w:sz w:val="32"/>
          <w:szCs w:val="32"/>
        </w:rPr>
      </w:pPr>
      <w:r>
        <w:rPr>
          <w:rFonts w:hint="eastAsia" w:ascii="宋体" w:hAnsi="宋体" w:eastAsia="宋体" w:cs="宋体"/>
          <w:b/>
          <w:bCs/>
          <w:i w:val="0"/>
          <w:iCs w:val="0"/>
          <w:color w:val="333333"/>
          <w:sz w:val="32"/>
          <w:szCs w:val="32"/>
          <w:shd w:val="clear" w:fill="FFFFFF"/>
        </w:rPr>
        <w:t>一、收支预算的总体情况说明</w:t>
      </w:r>
      <w:r>
        <w:rPr>
          <w:rFonts w:hint="eastAsia" w:ascii="宋体" w:hAnsi="宋体" w:eastAsia="宋体" w:cs="宋体"/>
          <w:sz w:val="32"/>
          <w:szCs w:val="32"/>
          <w:shd w:val="clear" w:fill="FFFFFF"/>
        </w:rPr>
        <w:t xml:space="preserve"> </w:t>
      </w:r>
    </w:p>
    <w:p w14:paraId="6C8FE012">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按照综合预算的原则，2024年盘锦市兴隆台区住房和城乡建设局所有收入和支出均纳入部门预算管理。  </w:t>
      </w:r>
    </w:p>
    <w:p w14:paraId="604F82A4">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rightChars="0" w:firstLine="320" w:firstLineChars="1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（一）收入预算32052.64万元，包括： </w:t>
      </w:r>
    </w:p>
    <w:p w14:paraId="1BA6E26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1.财政拨款收入32052.64万元； </w:t>
      </w:r>
    </w:p>
    <w:p w14:paraId="29057BC8">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2.政府性基金预算收入0万元； </w:t>
      </w:r>
    </w:p>
    <w:p w14:paraId="30D6D53D">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3.国有资本经营预算收入0万元； </w:t>
      </w:r>
    </w:p>
    <w:p w14:paraId="2D89CD0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4.财政专户管理资金收入0万元； </w:t>
      </w:r>
    </w:p>
    <w:p w14:paraId="4300F601">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5.事业收入0万元； </w:t>
      </w:r>
    </w:p>
    <w:p w14:paraId="56BD2FE7">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6.事业单位经营收入0万元； </w:t>
      </w:r>
    </w:p>
    <w:p w14:paraId="5F418E3E">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7.上级补助收入0万元； </w:t>
      </w:r>
    </w:p>
    <w:p w14:paraId="64127E5C">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8.附属单位上缴收入0万元； </w:t>
      </w:r>
    </w:p>
    <w:p w14:paraId="4669A346">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9.其他收入0万元； </w:t>
      </w:r>
    </w:p>
    <w:p w14:paraId="55718D42">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left="0" w:right="0" w:firstLine="640" w:firstLineChars="200"/>
        <w:textAlignment w:val="auto"/>
        <w:rPr>
          <w:rFonts w:hint="eastAsia" w:ascii="宋体" w:hAnsi="宋体" w:eastAsia="宋体" w:cs="宋体"/>
          <w:sz w:val="32"/>
          <w:szCs w:val="32"/>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10.上年结转0万元。</w:t>
      </w:r>
      <w:r>
        <w:rPr>
          <w:rFonts w:hint="eastAsia" w:ascii="宋体" w:hAnsi="宋体" w:eastAsia="宋体" w:cs="宋体"/>
          <w:sz w:val="32"/>
          <w:szCs w:val="32"/>
        </w:rPr>
        <w:t xml:space="preserve"> </w:t>
      </w:r>
    </w:p>
    <w:p w14:paraId="4A5ABDC4">
      <w:pPr>
        <w:pStyle w:val="3"/>
        <w:keepNext w:val="0"/>
        <w:keepLines w:val="0"/>
        <w:pageBreakBefore w:val="0"/>
        <w:widowControl/>
        <w:suppressLineNumbers w:val="0"/>
        <w:kinsoku/>
        <w:wordWrap/>
        <w:overflowPunct/>
        <w:topLinePunct w:val="0"/>
        <w:autoSpaceDE/>
        <w:autoSpaceDN/>
        <w:bidi w:val="0"/>
        <w:adjustRightInd/>
        <w:snapToGrid/>
        <w:spacing w:before="0" w:beforeAutospacing="0" w:after="0" w:afterAutospacing="0" w:line="360" w:lineRule="auto"/>
        <w:ind w:right="0" w:firstLine="320" w:firstLineChars="100"/>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（二）支出预算32052.64万元，包括： </w:t>
      </w:r>
    </w:p>
    <w:p w14:paraId="1D16BD8F">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1.基本支出2561.88万元； </w:t>
      </w:r>
    </w:p>
    <w:p w14:paraId="04389A11">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宋体" w:hAnsi="宋体" w:eastAsia="宋体" w:cs="宋体"/>
          <w:sz w:val="32"/>
          <w:szCs w:val="32"/>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2.项目支出29490.76万元。</w:t>
      </w:r>
      <w:r>
        <w:rPr>
          <w:rFonts w:hint="eastAsia" w:ascii="宋体" w:hAnsi="宋体" w:eastAsia="宋体" w:cs="宋体"/>
          <w:sz w:val="32"/>
          <w:szCs w:val="32"/>
          <w:shd w:val="clear" w:fill="FFFFFF"/>
        </w:rPr>
        <w:t xml:space="preserve"> </w:t>
      </w:r>
    </w:p>
    <w:p w14:paraId="22540BE1">
      <w:pPr>
        <w:pStyle w:val="3"/>
        <w:keepNext w:val="0"/>
        <w:keepLines w:val="0"/>
        <w:pageBreakBefore w:val="0"/>
        <w:widowControl/>
        <w:numPr>
          <w:ilvl w:val="0"/>
          <w:numId w:val="0"/>
        </w:numPr>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rightChars="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宋体" w:hAnsi="宋体" w:eastAsia="宋体" w:cs="宋体"/>
          <w:b/>
          <w:bCs/>
          <w:i w:val="0"/>
          <w:iCs w:val="0"/>
          <w:color w:val="333333"/>
          <w:sz w:val="32"/>
          <w:szCs w:val="32"/>
          <w:shd w:val="clear" w:fill="FFFFFF"/>
          <w:lang w:val="en-US" w:eastAsia="zh-CN"/>
        </w:rPr>
        <w:t>二、“三公”经费预算安排使用情况说明</w:t>
      </w:r>
    </w:p>
    <w:p w14:paraId="4EB562E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（一）兴隆台区住房和城乡建设局无“三公”经费。</w:t>
      </w:r>
    </w:p>
    <w:p w14:paraId="3AA4C610">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（二）隆台区城市建设和管理服务中心2024年度“三公”经费预算支出安排69万元，比2023年度减少0万元，减少0%。</w:t>
      </w:r>
    </w:p>
    <w:p w14:paraId="0CCC5195">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1.因公出国（境）费0万元。</w:t>
      </w:r>
    </w:p>
    <w:p w14:paraId="488C89C8">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2.公务接待费0万元。</w:t>
      </w:r>
    </w:p>
    <w:p w14:paraId="0025ABC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3.公务用车购置及运行费69万元，比2023年度减少0万元，减少0%。主要原因无变化。</w:t>
      </w:r>
    </w:p>
    <w:p w14:paraId="6C1DB2B0">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right="0" w:firstLine="643" w:firstLineChars="200"/>
        <w:jc w:val="left"/>
        <w:textAlignment w:val="auto"/>
        <w:rPr>
          <w:rFonts w:hint="eastAsia" w:ascii="宋体" w:hAnsi="宋体" w:eastAsia="宋体" w:cs="宋体"/>
          <w:i w:val="0"/>
          <w:iCs w:val="0"/>
          <w:color w:val="333333"/>
          <w:sz w:val="32"/>
          <w:szCs w:val="32"/>
          <w:shd w:val="clear" w:fill="FFFFFF"/>
          <w:lang w:eastAsia="zh-CN"/>
        </w:rPr>
      </w:pPr>
      <w:r>
        <w:rPr>
          <w:rFonts w:hint="eastAsia" w:ascii="宋体" w:hAnsi="宋体" w:eastAsia="宋体" w:cs="宋体"/>
          <w:b/>
          <w:bCs/>
          <w:i w:val="0"/>
          <w:iCs w:val="0"/>
          <w:color w:val="333333"/>
          <w:sz w:val="32"/>
          <w:szCs w:val="32"/>
          <w:shd w:val="clear" w:fill="FFFFFF"/>
          <w:lang w:val="en-US" w:eastAsia="zh-CN"/>
        </w:rPr>
        <w:t>三、机关运行经费预算安排使用情况说明</w:t>
      </w:r>
    </w:p>
    <w:p w14:paraId="487761A3">
      <w:pPr>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360" w:lineRule="auto"/>
        <w:ind w:left="0" w:right="0" w:firstLine="640" w:firstLineChars="200"/>
        <w:jc w:val="left"/>
        <w:textAlignment w:val="auto"/>
        <w:rPr>
          <w:rFonts w:hint="default"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 xml:space="preserve"> 2024年机关运行经费预算安排93.17万元。</w:t>
      </w:r>
    </w:p>
    <w:p w14:paraId="6EBB7F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3" w:firstLineChars="200"/>
        <w:jc w:val="left"/>
        <w:textAlignment w:val="auto"/>
        <w:rPr>
          <w:rFonts w:hint="eastAsia" w:ascii="宋体" w:hAnsi="宋体" w:eastAsia="宋体" w:cs="宋体"/>
          <w:b/>
          <w:bCs/>
          <w:i w:val="0"/>
          <w:iCs w:val="0"/>
          <w:color w:val="333333"/>
          <w:sz w:val="32"/>
          <w:szCs w:val="32"/>
          <w:shd w:val="clear" w:fill="FFFFFF"/>
          <w:lang w:val="en-US" w:eastAsia="zh-CN"/>
        </w:rPr>
      </w:pPr>
      <w:r>
        <w:rPr>
          <w:rFonts w:hint="eastAsia" w:ascii="宋体" w:hAnsi="宋体" w:eastAsia="宋体" w:cs="宋体"/>
          <w:b/>
          <w:bCs/>
          <w:i w:val="0"/>
          <w:iCs w:val="0"/>
          <w:color w:val="333333"/>
          <w:sz w:val="32"/>
          <w:szCs w:val="32"/>
          <w:shd w:val="clear" w:fill="FFFFFF"/>
          <w:lang w:val="en-US" w:eastAsia="zh-CN"/>
        </w:rPr>
        <w:t>四、政府采购安排情况说明</w:t>
      </w:r>
    </w:p>
    <w:p w14:paraId="02E79C6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0" w:firstLineChars="200"/>
        <w:jc w:val="left"/>
        <w:textAlignment w:val="auto"/>
        <w:rPr>
          <w:rFonts w:hint="eastAsia" w:ascii="仿宋" w:hAnsi="仿宋" w:eastAsia="仿宋" w:cs="仿宋"/>
          <w:i w:val="0"/>
          <w:iCs w:val="0"/>
          <w:color w:val="333333"/>
          <w:sz w:val="32"/>
          <w:szCs w:val="32"/>
          <w:shd w:val="clear" w:fill="FFFFFF"/>
        </w:rPr>
      </w:pPr>
      <w:r>
        <w:rPr>
          <w:rFonts w:hint="eastAsia" w:ascii="仿宋" w:hAnsi="仿宋" w:eastAsia="仿宋" w:cs="仿宋"/>
          <w:i w:val="0"/>
          <w:iCs w:val="0"/>
          <w:caps w:val="0"/>
          <w:color w:val="000000" w:themeColor="text1"/>
          <w:spacing w:val="0"/>
          <w:kern w:val="0"/>
          <w:sz w:val="32"/>
          <w:szCs w:val="32"/>
          <w:shd w:val="clear" w:fill="FFFFFF"/>
          <w:lang w:val="en-US" w:eastAsia="zh-CN" w:bidi="ar"/>
          <w14:textFill>
            <w14:solidFill>
              <w14:schemeClr w14:val="tx1"/>
            </w14:solidFill>
          </w14:textFill>
        </w:rPr>
        <w:t>2024年政府采购项目包括消防验收服务费30万元（本级）。保险费68.5万元、泵站设备维修费300万元、道路维护费450万元、公园广场雕塑防腐木铁艺维修养护100万元、清淤费400万元、市民投诉费200万元、污水处理费500万元</w:t>
      </w:r>
      <w:r>
        <w:rPr>
          <w:rFonts w:hint="eastAsia" w:ascii="仿宋" w:hAnsi="仿宋" w:eastAsia="仿宋" w:cs="仿宋"/>
          <w:i w:val="0"/>
          <w:iCs w:val="0"/>
          <w:caps w:val="0"/>
          <w:color w:val="0000FF"/>
          <w:spacing w:val="0"/>
          <w:kern w:val="0"/>
          <w:sz w:val="32"/>
          <w:szCs w:val="32"/>
          <w:shd w:val="clear" w:fill="FFFFFF"/>
          <w:lang w:val="en-US" w:eastAsia="zh-CN" w:bidi="ar"/>
        </w:rPr>
        <w:t>。</w:t>
      </w:r>
    </w:p>
    <w:p w14:paraId="6A9312B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right="0" w:firstLine="643" w:firstLineChars="200"/>
        <w:jc w:val="left"/>
        <w:textAlignment w:val="auto"/>
        <w:rPr>
          <w:rFonts w:hint="eastAsia" w:ascii="宋体" w:hAnsi="宋体" w:eastAsia="宋体" w:cs="宋体"/>
          <w:sz w:val="32"/>
          <w:szCs w:val="32"/>
          <w:lang w:val="en-US" w:eastAsia="zh-CN"/>
        </w:rPr>
      </w:pPr>
      <w:r>
        <w:rPr>
          <w:rFonts w:hint="eastAsia" w:ascii="宋体" w:hAnsi="宋体" w:eastAsia="宋体" w:cs="宋体"/>
          <w:b/>
          <w:bCs/>
          <w:i w:val="0"/>
          <w:iCs w:val="0"/>
          <w:color w:val="333333"/>
          <w:sz w:val="32"/>
          <w:szCs w:val="32"/>
          <w:shd w:val="clear" w:fill="FFFFFF"/>
          <w:lang w:val="en-US" w:eastAsia="zh-CN"/>
        </w:rPr>
        <w:t>五、国有资产占用情况说明</w:t>
      </w:r>
    </w:p>
    <w:p w14:paraId="0D301D6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480" w:lineRule="auto"/>
        <w:ind w:left="0" w:right="0" w:firstLine="640" w:firstLineChars="200"/>
        <w:jc w:val="left"/>
        <w:textAlignment w:val="auto"/>
        <w:rPr>
          <w:rFonts w:hint="eastAsia" w:ascii="仿宋" w:hAnsi="仿宋" w:eastAsia="仿宋" w:cs="仿宋"/>
          <w:i w:val="0"/>
          <w:iCs w:val="0"/>
          <w:color w:val="333333"/>
          <w:sz w:val="32"/>
          <w:szCs w:val="32"/>
          <w:shd w:val="clear" w:fill="FFFFFF"/>
          <w:lang w:val="en-US" w:eastAsia="zh-CN"/>
        </w:rPr>
      </w:pP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lang w:val="en-US" w:eastAsia="zh-CN"/>
        </w:rPr>
        <w:t>一</w:t>
      </w: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rPr>
        <w:t>截至202</w:t>
      </w:r>
      <w:r>
        <w:rPr>
          <w:rFonts w:hint="eastAsia" w:ascii="仿宋" w:hAnsi="仿宋" w:eastAsia="仿宋" w:cs="仿宋"/>
          <w:i w:val="0"/>
          <w:iCs w:val="0"/>
          <w:color w:val="333333"/>
          <w:sz w:val="32"/>
          <w:szCs w:val="32"/>
          <w:shd w:val="clear" w:fill="FFFFFF"/>
          <w:lang w:val="en-US" w:eastAsia="zh-CN"/>
        </w:rPr>
        <w:t>3</w:t>
      </w:r>
      <w:r>
        <w:rPr>
          <w:rFonts w:hint="eastAsia" w:ascii="仿宋" w:hAnsi="仿宋" w:eastAsia="仿宋" w:cs="仿宋"/>
          <w:i w:val="0"/>
          <w:iCs w:val="0"/>
          <w:color w:val="333333"/>
          <w:sz w:val="32"/>
          <w:szCs w:val="32"/>
          <w:shd w:val="clear" w:fill="FFFFFF"/>
        </w:rPr>
        <w:t>年12月31日，</w:t>
      </w:r>
      <w:r>
        <w:rPr>
          <w:rFonts w:hint="eastAsia" w:ascii="仿宋" w:hAnsi="仿宋" w:eastAsia="仿宋" w:cs="仿宋"/>
          <w:i w:val="0"/>
          <w:iCs w:val="0"/>
          <w:color w:val="333333"/>
          <w:sz w:val="32"/>
          <w:szCs w:val="32"/>
          <w:shd w:val="clear" w:fill="FFFFFF"/>
          <w:lang w:val="en-US" w:eastAsia="zh-CN"/>
        </w:rPr>
        <w:t>盘锦市兴隆台区住房和城乡建设局</w:t>
      </w:r>
      <w:r>
        <w:rPr>
          <w:rFonts w:hint="eastAsia" w:ascii="仿宋" w:hAnsi="仿宋" w:eastAsia="仿宋" w:cs="仿宋"/>
          <w:i w:val="0"/>
          <w:iCs w:val="0"/>
          <w:color w:val="333333"/>
          <w:sz w:val="32"/>
          <w:szCs w:val="32"/>
          <w:shd w:val="clear" w:fill="FFFFFF"/>
        </w:rPr>
        <w:t>资产总额</w:t>
      </w:r>
      <w:r>
        <w:rPr>
          <w:rFonts w:hint="eastAsia" w:ascii="仿宋" w:hAnsi="仿宋" w:eastAsia="仿宋" w:cs="仿宋"/>
          <w:i w:val="0"/>
          <w:iCs w:val="0"/>
          <w:color w:val="333333"/>
          <w:sz w:val="32"/>
          <w:szCs w:val="32"/>
          <w:shd w:val="clear" w:fill="FFFFFF"/>
          <w:lang w:val="en-US" w:eastAsia="zh-CN"/>
        </w:rPr>
        <w:t>88976</w:t>
      </w:r>
      <w:r>
        <w:rPr>
          <w:rFonts w:hint="eastAsia" w:ascii="仿宋" w:hAnsi="仿宋" w:eastAsia="仿宋" w:cs="仿宋"/>
          <w:i w:val="0"/>
          <w:iCs w:val="0"/>
          <w:color w:val="333333"/>
          <w:sz w:val="32"/>
          <w:szCs w:val="32"/>
          <w:shd w:val="clear" w:fill="FFFFFF"/>
        </w:rPr>
        <w:t>万元，其中，流动资产</w:t>
      </w:r>
      <w:r>
        <w:rPr>
          <w:rFonts w:hint="eastAsia" w:ascii="仿宋" w:hAnsi="仿宋" w:eastAsia="仿宋" w:cs="仿宋"/>
          <w:i w:val="0"/>
          <w:iCs w:val="0"/>
          <w:color w:val="333333"/>
          <w:sz w:val="32"/>
          <w:szCs w:val="32"/>
          <w:shd w:val="clear" w:fill="FFFFFF"/>
          <w:lang w:val="en-US" w:eastAsia="zh-CN"/>
        </w:rPr>
        <w:t>58207</w:t>
      </w:r>
      <w:r>
        <w:rPr>
          <w:rFonts w:hint="eastAsia" w:ascii="仿宋" w:hAnsi="仿宋" w:eastAsia="仿宋" w:cs="仿宋"/>
          <w:i w:val="0"/>
          <w:iCs w:val="0"/>
          <w:color w:val="333333"/>
          <w:sz w:val="32"/>
          <w:szCs w:val="32"/>
          <w:shd w:val="clear" w:fill="FFFFFF"/>
        </w:rPr>
        <w:t>万元，非流动资产</w:t>
      </w:r>
      <w:r>
        <w:rPr>
          <w:rFonts w:hint="eastAsia" w:ascii="仿宋" w:hAnsi="仿宋" w:eastAsia="仿宋" w:cs="仿宋"/>
          <w:i w:val="0"/>
          <w:iCs w:val="0"/>
          <w:color w:val="333333"/>
          <w:sz w:val="32"/>
          <w:szCs w:val="32"/>
          <w:shd w:val="clear" w:fill="FFFFFF"/>
          <w:lang w:val="en-US" w:eastAsia="zh-CN"/>
        </w:rPr>
        <w:t>30769</w:t>
      </w:r>
      <w:r>
        <w:rPr>
          <w:rFonts w:hint="eastAsia" w:ascii="仿宋" w:hAnsi="仿宋" w:eastAsia="仿宋" w:cs="仿宋"/>
          <w:i w:val="0"/>
          <w:iCs w:val="0"/>
          <w:color w:val="333333"/>
          <w:sz w:val="32"/>
          <w:szCs w:val="32"/>
          <w:shd w:val="clear" w:fill="FFFFFF"/>
        </w:rPr>
        <w:t>万元</w:t>
      </w: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rPr>
        <w:t>固定资产</w:t>
      </w:r>
      <w:r>
        <w:rPr>
          <w:rFonts w:hint="eastAsia" w:ascii="仿宋" w:hAnsi="仿宋" w:eastAsia="仿宋" w:cs="仿宋"/>
          <w:i w:val="0"/>
          <w:iCs w:val="0"/>
          <w:color w:val="333333"/>
          <w:sz w:val="32"/>
          <w:szCs w:val="32"/>
          <w:shd w:val="clear" w:fill="FFFFFF"/>
          <w:lang w:val="en-US" w:eastAsia="zh-CN"/>
        </w:rPr>
        <w:t>12890</w:t>
      </w:r>
      <w:r>
        <w:rPr>
          <w:rFonts w:hint="eastAsia" w:ascii="仿宋" w:hAnsi="仿宋" w:eastAsia="仿宋" w:cs="仿宋"/>
          <w:i w:val="0"/>
          <w:iCs w:val="0"/>
          <w:color w:val="333333"/>
          <w:sz w:val="32"/>
          <w:szCs w:val="32"/>
          <w:shd w:val="clear" w:fill="FFFFFF"/>
        </w:rPr>
        <w:t>万元</w:t>
      </w:r>
      <w:r>
        <w:rPr>
          <w:rFonts w:hint="eastAsia" w:ascii="仿宋" w:hAnsi="仿宋" w:eastAsia="仿宋" w:cs="仿宋"/>
          <w:i w:val="0"/>
          <w:iCs w:val="0"/>
          <w:color w:val="333333"/>
          <w:sz w:val="32"/>
          <w:szCs w:val="32"/>
          <w:shd w:val="clear" w:fill="FFFFFF"/>
          <w:lang w:eastAsia="zh-CN"/>
        </w:rPr>
        <w:t>，</w:t>
      </w:r>
      <w:r>
        <w:rPr>
          <w:rFonts w:hint="eastAsia" w:ascii="仿宋" w:hAnsi="仿宋" w:eastAsia="仿宋" w:cs="仿宋"/>
          <w:i w:val="0"/>
          <w:iCs w:val="0"/>
          <w:color w:val="333333"/>
          <w:sz w:val="32"/>
          <w:szCs w:val="32"/>
          <w:shd w:val="clear" w:fill="FFFFFF"/>
          <w:lang w:val="en-US" w:eastAsia="zh-CN"/>
        </w:rPr>
        <w:t>固定资产无车辆。</w:t>
      </w:r>
    </w:p>
    <w:p w14:paraId="12506ED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60" w:lineRule="auto"/>
        <w:ind w:left="0" w:right="0" w:firstLine="640" w:firstLineChars="200"/>
        <w:jc w:val="left"/>
        <w:textAlignment w:val="auto"/>
        <w:rPr>
          <w:rFonts w:hint="eastAsia" w:ascii="仿宋" w:hAnsi="仿宋" w:eastAsia="仿宋" w:cs="仿宋"/>
          <w:i w:val="0"/>
          <w:iCs w:val="0"/>
          <w:color w:val="333333"/>
          <w:sz w:val="32"/>
          <w:szCs w:val="32"/>
          <w:shd w:val="clear" w:fill="FFFFFF"/>
        </w:rPr>
      </w:pPr>
      <w:r>
        <w:rPr>
          <w:rFonts w:hint="eastAsia" w:ascii="仿宋" w:hAnsi="仿宋" w:eastAsia="仿宋" w:cs="仿宋"/>
          <w:i w:val="0"/>
          <w:iCs w:val="0"/>
          <w:color w:val="333333"/>
          <w:sz w:val="32"/>
          <w:szCs w:val="32"/>
          <w:shd w:val="clear" w:fill="FFFFFF"/>
          <w:lang w:val="en-US" w:eastAsia="zh-CN"/>
        </w:rPr>
        <w:t>（二）盘锦市兴隆台区城市建设和管理服务中心资产总额40251.54万元，其中，流动资产601.14万元，非流动资产39650.4万元。固定资产原值3845.62万元。固定资产中共有车辆306辆（应急保障用车15辆、执法执勤用车1辆、特种专业技术用车70辆、其他用车220辆），价值3093.97万元。</w:t>
      </w:r>
    </w:p>
    <w:p w14:paraId="7C45888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360" w:lineRule="auto"/>
        <w:ind w:right="0" w:firstLine="321" w:firstLineChars="100"/>
        <w:jc w:val="left"/>
        <w:textAlignment w:val="auto"/>
        <w:rPr>
          <w:rFonts w:hint="eastAsia" w:ascii="宋体" w:hAnsi="宋体" w:eastAsia="宋体" w:cs="宋体"/>
          <w:sz w:val="32"/>
          <w:szCs w:val="32"/>
        </w:rPr>
      </w:pPr>
      <w:r>
        <w:rPr>
          <w:rFonts w:hint="eastAsia" w:ascii="宋体" w:hAnsi="宋体" w:eastAsia="宋体" w:cs="宋体"/>
          <w:b/>
          <w:bCs/>
          <w:i w:val="0"/>
          <w:iCs w:val="0"/>
          <w:color w:val="333333"/>
          <w:sz w:val="32"/>
          <w:szCs w:val="32"/>
          <w:shd w:val="clear" w:fill="FFFFFF"/>
          <w:lang w:val="en-US" w:eastAsia="zh-CN"/>
        </w:rPr>
        <w:t>六、项目预算绩效目标情况</w:t>
      </w:r>
      <w:r>
        <w:rPr>
          <w:rFonts w:hint="eastAsia" w:ascii="宋体" w:hAnsi="宋体" w:eastAsia="宋体" w:cs="宋体"/>
          <w:sz w:val="32"/>
          <w:szCs w:val="32"/>
          <w:shd w:val="clear" w:fill="FFFFFF"/>
        </w:rPr>
        <w:t xml:space="preserve"> </w:t>
      </w:r>
    </w:p>
    <w:p w14:paraId="38CE9F2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640"/>
        <w:jc w:val="left"/>
        <w:rPr>
          <w:shd w:val="clear" w:fill="FFFFFF"/>
        </w:rPr>
      </w:pPr>
      <w:r>
        <w:rPr>
          <w:rFonts w:hint="eastAsia"/>
          <w:b/>
          <w:bCs/>
          <w:i w:val="0"/>
          <w:iCs w:val="0"/>
          <w:color w:val="333333"/>
          <w:sz w:val="28"/>
          <w:szCs w:val="28"/>
          <w:shd w:val="clear" w:fill="FFFFFF"/>
          <w:lang w:eastAsia="zh-CN"/>
          <w14:textFill>
            <w14:gradFill>
              <w14:gsLst>
                <w14:gs w14:pos="0">
                  <w14:srgbClr w14:val="012D86"/>
                </w14:gs>
                <w14:gs w14:pos="100000">
                  <w14:srgbClr w14:val="0E2557"/>
                </w14:gs>
              </w14:gsLst>
              <w14:lin w14:scaled="0"/>
            </w14:gradFill>
          </w14:textFill>
        </w:rPr>
        <w:t>（</w:t>
      </w:r>
      <w:r>
        <w:rPr>
          <w:b/>
          <w:bCs/>
          <w:i w:val="0"/>
          <w:iCs w:val="0"/>
          <w:color w:val="333333"/>
          <w:sz w:val="28"/>
          <w:szCs w:val="28"/>
          <w:shd w:val="clear" w:fill="FFFFFF"/>
          <w14:textFill>
            <w14:gradFill>
              <w14:gsLst>
                <w14:gs w14:pos="0">
                  <w14:srgbClr w14:val="012D86"/>
                </w14:gs>
                <w14:gs w14:pos="100000">
                  <w14:srgbClr w14:val="0E2557"/>
                </w14:gs>
              </w14:gsLst>
              <w14:lin w14:scaled="0"/>
            </w14:gradFill>
          </w14:textFill>
        </w:rPr>
        <w:t>该部分内容详见附件</w:t>
      </w:r>
      <w:r>
        <w:rPr>
          <w:rFonts w:hint="eastAsia"/>
          <w:b/>
          <w:bCs/>
          <w:i w:val="0"/>
          <w:iCs w:val="0"/>
          <w:color w:val="333333"/>
          <w:sz w:val="28"/>
          <w:szCs w:val="28"/>
          <w:shd w:val="clear" w:fill="FFFFFF"/>
          <w:lang w:eastAsia="zh-CN"/>
          <w14:textFill>
            <w14:gradFill>
              <w14:gsLst>
                <w14:gs w14:pos="0">
                  <w14:srgbClr w14:val="012D86"/>
                </w14:gs>
                <w14:gs w14:pos="100000">
                  <w14:srgbClr w14:val="0E2557"/>
                </w14:gs>
              </w14:gsLst>
              <w14:lin w14:scaled="0"/>
            </w14:gradFill>
          </w14:textFill>
        </w:rPr>
        <w:t>）</w:t>
      </w:r>
    </w:p>
    <w:p w14:paraId="2F2E0D63">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rPr>
          <w:shd w:val="clear" w:fill="FFFFFF"/>
        </w:rPr>
      </w:pPr>
    </w:p>
    <w:p w14:paraId="7F8C8737">
      <w:pPr>
        <w:pStyle w:val="3"/>
        <w:keepNext w:val="0"/>
        <w:keepLines w:val="0"/>
        <w:widowControl/>
        <w:suppressLineNumbers w:val="0"/>
        <w:pBdr>
          <w:top w:val="none" w:color="auto" w:sz="0" w:space="0"/>
          <w:left w:val="none" w:color="auto" w:sz="0" w:space="0"/>
          <w:bottom w:val="none" w:color="auto" w:sz="0" w:space="0"/>
          <w:right w:val="none" w:color="auto" w:sz="0" w:space="0"/>
        </w:pBdr>
        <w:shd w:val="clear" w:fill="FFFFFF"/>
        <w:spacing w:before="0" w:beforeAutospacing="1" w:after="0" w:afterAutospacing="1" w:line="240" w:lineRule="auto"/>
        <w:ind w:left="0" w:right="0" w:firstLine="0"/>
        <w:jc w:val="center"/>
      </w:pPr>
      <w:r>
        <w:rPr>
          <w:b/>
          <w:bCs/>
          <w:i w:val="0"/>
          <w:iCs w:val="0"/>
          <w:color w:val="333333"/>
          <w:sz w:val="40"/>
          <w:szCs w:val="40"/>
          <w:shd w:val="clear" w:fill="FFFFFF"/>
        </w:rPr>
        <w:t>第四部分 名词解释</w:t>
      </w:r>
      <w:r>
        <w:rPr>
          <w:shd w:val="clear" w:fill="FFFFFF"/>
        </w:rPr>
        <w:t xml:space="preserve"> </w:t>
      </w:r>
      <w:r>
        <w:rPr>
          <w:i w:val="0"/>
          <w:iCs w:val="0"/>
          <w:color w:val="333333"/>
          <w:sz w:val="36"/>
          <w:szCs w:val="36"/>
          <w:shd w:val="clear" w:fill="FFFFFF"/>
        </w:rPr>
        <w:t> </w:t>
      </w:r>
      <w:r>
        <w:rPr>
          <w:shd w:val="clear" w:fill="FFFFFF"/>
        </w:rPr>
        <w:t xml:space="preserve"> </w:t>
      </w:r>
    </w:p>
    <w:p w14:paraId="1918D0C6">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1.财政拨款收入：指市级财政当年拨付的资金。</w:t>
      </w:r>
      <w:r>
        <w:rPr>
          <w:shd w:val="clear" w:fill="FFFFFF"/>
        </w:rPr>
        <w:t xml:space="preserve"> </w:t>
      </w:r>
    </w:p>
    <w:p w14:paraId="1F7689D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2.基本支出：指保障机构正常运转、完成日常工作任务而发生的人员支出和公用支出。</w:t>
      </w:r>
      <w:r>
        <w:rPr>
          <w:shd w:val="clear" w:fill="FFFFFF"/>
        </w:rPr>
        <w:t xml:space="preserve"> </w:t>
      </w:r>
    </w:p>
    <w:p w14:paraId="24B36D04">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3.项目支出：指在基本支出之外为完成特定行政任务和事业发展目标所发生的支出。</w:t>
      </w:r>
      <w:r>
        <w:rPr>
          <w:shd w:val="clear" w:fill="FFFFFF"/>
        </w:rPr>
        <w:t xml:space="preserve"> </w:t>
      </w:r>
    </w:p>
    <w:p w14:paraId="47F0F03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4.机关运行经费：是指各部门的公用经费，包括办公及印刷费、邮电费、差旅费、会议费、福利费、日常维护费、专用材料及一般设备购置费、办公用房水电费、办公用房取暖费、办公用房物业管理费、办公用车运行维护费以及其他费用。</w:t>
      </w:r>
      <w:r>
        <w:rPr>
          <w:shd w:val="clear" w:fill="FFFFFF"/>
        </w:rPr>
        <w:t xml:space="preserve"> </w:t>
      </w:r>
    </w:p>
    <w:p w14:paraId="630352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5.行政事业性收费收入：指依据法律、行政法规、国务院有关规定、国务院财政部门会同价格主管部门共同发布的规章或者规定，省、自治区、直辖市人民政府财政部门会同价格主管部门共同发布的规定所收取的各项收费收入。</w:t>
      </w:r>
      <w:r>
        <w:rPr>
          <w:shd w:val="clear" w:fill="FFFFFF"/>
        </w:rPr>
        <w:t xml:space="preserve"> </w:t>
      </w:r>
    </w:p>
    <w:p w14:paraId="7A985451">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6.政府性基金收入：反映各级政府及其所属部门根据法律、行政法规规定并经国务院或财政部批准，向公民、法人和其他组织征收的政府性基金，以及参照政府性基金管理或纳入基金预算、具有特定用途的财政资金。</w:t>
      </w:r>
      <w:r>
        <w:rPr>
          <w:shd w:val="clear" w:fill="FFFFFF"/>
        </w:rPr>
        <w:t xml:space="preserve"> </w:t>
      </w:r>
    </w:p>
    <w:p w14:paraId="76C19BE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7.其他收入：指除上述“财政拨款收入”、“行政事业性收费收入”、“政府性基金收入”以外的收入。</w:t>
      </w:r>
      <w:r>
        <w:rPr>
          <w:shd w:val="clear" w:fill="FFFFFF"/>
        </w:rPr>
        <w:t xml:space="preserve"> </w:t>
      </w:r>
    </w:p>
    <w:p w14:paraId="71E5F48E">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8.“三公”经费：指用财政拨款安排的因公出国（境）费、公务用车购置及运行费和公务接待费。其中，因公出国（境）费反映单位公务出国（境）的住宿费、旅费、伙食补助费、杂费、培训费等支出；公务用车购置及运行费反映单位公务用车购置费及租用费、燃料费、维修费、过路过桥费、保险费、安全奖励费用等支出；公务接待费反映单位按规定开支的各类公务接待（含外宾接待）支出。</w:t>
      </w:r>
      <w:r>
        <w:rPr>
          <w:shd w:val="clear" w:fill="FFFFFF"/>
        </w:rPr>
        <w:t xml:space="preserve"> </w:t>
      </w:r>
    </w:p>
    <w:p w14:paraId="7555696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9.一般公共服务（类）财政事务（款）行政运行（项）：反映行政单位（包括实行公务员管理的事业单位）的基本支出。</w:t>
      </w:r>
      <w:r>
        <w:rPr>
          <w:shd w:val="clear" w:fill="FFFFFF"/>
        </w:rPr>
        <w:t xml:space="preserve"> </w:t>
      </w:r>
    </w:p>
    <w:p w14:paraId="264F406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10.一般公共服务（类）财政事务（款）一般行政管理事务（项）：反映行政单位（包括实行公务员管理的事业单位）未单独设置项级科目的其他项目支出。</w:t>
      </w:r>
      <w:r>
        <w:rPr>
          <w:shd w:val="clear" w:fill="FFFFFF"/>
        </w:rPr>
        <w:t xml:space="preserve"> </w:t>
      </w:r>
    </w:p>
    <w:p w14:paraId="3F618783">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11.一般公共服务（类）财政事务（款）预算改革业务（项）：反映财政部门用于预算改革方面的支出。</w:t>
      </w:r>
      <w:r>
        <w:rPr>
          <w:shd w:val="clear" w:fill="FFFFFF"/>
        </w:rPr>
        <w:t xml:space="preserve"> </w:t>
      </w:r>
    </w:p>
    <w:p w14:paraId="429259E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12.一般公共服务（类）财政事务（款）财政国库业务（项）：反映财政部门用于财政国库集中收付业务方面的支出。</w:t>
      </w:r>
      <w:r>
        <w:rPr>
          <w:shd w:val="clear" w:fill="FFFFFF"/>
        </w:rPr>
        <w:t xml:space="preserve"> </w:t>
      </w:r>
    </w:p>
    <w:p w14:paraId="502E96E9">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13.一般公共服务（类）财政事务（款）事业运行（项）：反映事业单位的基本支出，不包括行政单位（包括实行公务员管理的事业单位）后勤服务中心、医务室等附属事业单位。</w:t>
      </w:r>
      <w:r>
        <w:rPr>
          <w:shd w:val="clear" w:fill="FFFFFF"/>
        </w:rPr>
        <w:t xml:space="preserve"> </w:t>
      </w:r>
    </w:p>
    <w:p w14:paraId="2DC468B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14.一般公共服务（类）财政事务（款）其他财政事务支出（项）：反映除上述项目以外其他财政事务方面的支出。</w:t>
      </w:r>
      <w:r>
        <w:rPr>
          <w:shd w:val="clear" w:fill="FFFFFF"/>
        </w:rPr>
        <w:t xml:space="preserve"> </w:t>
      </w:r>
    </w:p>
    <w:p w14:paraId="21E61ACF">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15.社会保障和就业（类）行政事业单位离退休（款）</w:t>
      </w:r>
      <w:r>
        <w:rPr>
          <w:shd w:val="clear" w:fill="FFFFFF"/>
        </w:rPr>
        <w:t xml:space="preserve"> </w:t>
      </w:r>
    </w:p>
    <w:p w14:paraId="3A7E5755">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归口管理的行政单位离退休（项）：反映实行归口管理的行政单位（包括实行公务员管理的事业单位）开支的离退休经费。</w:t>
      </w:r>
      <w:r>
        <w:rPr>
          <w:shd w:val="clear" w:fill="FFFFFF"/>
        </w:rPr>
        <w:t xml:space="preserve"> </w:t>
      </w:r>
    </w:p>
    <w:p w14:paraId="64320EBD">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16.社会保障和就业（类）行政事业单位离退休（款）事业单位离退休（项）：反映实行归口管理的事业单位开支的离退休经费。</w:t>
      </w:r>
      <w:r>
        <w:rPr>
          <w:shd w:val="clear" w:fill="FFFFFF"/>
        </w:rPr>
        <w:t xml:space="preserve"> </w:t>
      </w:r>
    </w:p>
    <w:p w14:paraId="59070D2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17.卫生健康类（类）行政事业单位医疗（款）行政单位医疗（项）：反映财政部门安排的行政单位（包括实行公务员管理的事业单位，下同）基本医疗保险缴费经费，未参加医疗保险的行政单位的公费医疗经费，按国家规定享受离休人员、红军老战士待遇人员的医疗经费。</w:t>
      </w:r>
      <w:r>
        <w:rPr>
          <w:shd w:val="clear" w:fill="FFFFFF"/>
        </w:rPr>
        <w:t xml:space="preserve"> </w:t>
      </w:r>
    </w:p>
    <w:p w14:paraId="66DC15AB">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18.卫生健康类（类）行政事业单位医疗（款）事业单位医疗（项）：反映财政部门安排的事业单位基本医疗保险缴费经费，未参加医疗保险的事业单位的公费医疗经费，按国家规定享受离休人员待遇人员的医疗经费。</w:t>
      </w:r>
      <w:r>
        <w:rPr>
          <w:shd w:val="clear" w:fill="FFFFFF"/>
        </w:rPr>
        <w:t xml:space="preserve"> </w:t>
      </w:r>
    </w:p>
    <w:p w14:paraId="4DB9FA2A">
      <w:pPr>
        <w:pStyle w:val="3"/>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1" w:after="0" w:afterAutospacing="1" w:line="480" w:lineRule="auto"/>
        <w:ind w:left="0" w:right="0" w:firstLine="320" w:firstLineChars="100"/>
        <w:jc w:val="left"/>
        <w:textAlignment w:val="auto"/>
      </w:pPr>
      <w:r>
        <w:rPr>
          <w:i w:val="0"/>
          <w:iCs w:val="0"/>
          <w:color w:val="333333"/>
          <w:sz w:val="32"/>
          <w:szCs w:val="32"/>
          <w:shd w:val="clear" w:fill="FFFFFF"/>
        </w:rPr>
        <w:t>19.住房保障（类）住房改革（款）住房公积金（项）：反映行政事业单位按人力资源和社会保障部、财政部规定的基本工资和津贴补贴以及规定比例为职工缴纳的住房公积金。</w:t>
      </w:r>
      <w:r>
        <w:rPr>
          <w:shd w:val="clear" w:fill="FFFFFF"/>
        </w:rPr>
        <w:t xml:space="preserve"> </w:t>
      </w:r>
    </w:p>
    <w:p w14:paraId="1948915B"/>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B1"/>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2AFF" w:usb1="C000247B" w:usb2="00000009" w:usb3="00000000" w:csb0="200001FF"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2EwYWE1YmUxNTdhYjBkZjVkNDVhM2VmYzg5YTZlYmUifQ=="/>
  </w:docVars>
  <w:rsids>
    <w:rsidRoot w:val="316C65B3"/>
    <w:rsid w:val="003255DA"/>
    <w:rsid w:val="020E547B"/>
    <w:rsid w:val="06D7152A"/>
    <w:rsid w:val="10D77CE1"/>
    <w:rsid w:val="12131955"/>
    <w:rsid w:val="155703E0"/>
    <w:rsid w:val="160C75EB"/>
    <w:rsid w:val="16AA3D7D"/>
    <w:rsid w:val="16F94449"/>
    <w:rsid w:val="18524B4C"/>
    <w:rsid w:val="18AD4097"/>
    <w:rsid w:val="1A1C330F"/>
    <w:rsid w:val="1BBD002A"/>
    <w:rsid w:val="1F6E7D5C"/>
    <w:rsid w:val="200107A9"/>
    <w:rsid w:val="211803A6"/>
    <w:rsid w:val="24AE3DFA"/>
    <w:rsid w:val="24F75D8F"/>
    <w:rsid w:val="25217736"/>
    <w:rsid w:val="2B5546BE"/>
    <w:rsid w:val="2C831310"/>
    <w:rsid w:val="2CC332AA"/>
    <w:rsid w:val="2D6B66F3"/>
    <w:rsid w:val="2F9C2C75"/>
    <w:rsid w:val="3010510A"/>
    <w:rsid w:val="316C65B3"/>
    <w:rsid w:val="31C0192B"/>
    <w:rsid w:val="32AB5B3C"/>
    <w:rsid w:val="33DB529E"/>
    <w:rsid w:val="36EB7EC3"/>
    <w:rsid w:val="38B102FB"/>
    <w:rsid w:val="3D8B1285"/>
    <w:rsid w:val="402900C3"/>
    <w:rsid w:val="440501B1"/>
    <w:rsid w:val="45782EB0"/>
    <w:rsid w:val="47EC35F1"/>
    <w:rsid w:val="482F48AE"/>
    <w:rsid w:val="48E00EFA"/>
    <w:rsid w:val="491A0CE9"/>
    <w:rsid w:val="4C13787D"/>
    <w:rsid w:val="4DC5749E"/>
    <w:rsid w:val="4DFA760C"/>
    <w:rsid w:val="4ECC61A8"/>
    <w:rsid w:val="4F6A2C96"/>
    <w:rsid w:val="51E773F5"/>
    <w:rsid w:val="52686602"/>
    <w:rsid w:val="58B501EA"/>
    <w:rsid w:val="5B0F42D8"/>
    <w:rsid w:val="5C771D7C"/>
    <w:rsid w:val="5D187E62"/>
    <w:rsid w:val="5DB449D7"/>
    <w:rsid w:val="60867188"/>
    <w:rsid w:val="614256C4"/>
    <w:rsid w:val="66482F24"/>
    <w:rsid w:val="69D71C63"/>
    <w:rsid w:val="6A6305AB"/>
    <w:rsid w:val="6C272818"/>
    <w:rsid w:val="70BB1D85"/>
    <w:rsid w:val="740D26B7"/>
    <w:rsid w:val="75A87C6D"/>
    <w:rsid w:val="75C455BE"/>
    <w:rsid w:val="7651708F"/>
    <w:rsid w:val="78F61BDB"/>
    <w:rsid w:val="7A7C6425"/>
    <w:rsid w:val="7D117D40"/>
    <w:rsid w:val="7EFD273B"/>
    <w:rsid w:val="7F336716"/>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autoRedefine/>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qFormat/>
    <w:uiPriority w:val="0"/>
  </w:style>
  <w:style w:type="table" w:default="1" w:styleId="4">
    <w:name w:val="Normal Table"/>
    <w:semiHidden/>
    <w:uiPriority w:val="0"/>
    <w:tblPr>
      <w:tblCellMar>
        <w:top w:w="0" w:type="dxa"/>
        <w:left w:w="108" w:type="dxa"/>
        <w:bottom w:w="0" w:type="dxa"/>
        <w:right w:w="108" w:type="dxa"/>
      </w:tblCellMar>
    </w:tblPr>
  </w:style>
  <w:style w:type="paragraph" w:styleId="2">
    <w:name w:val="Normal Indent"/>
    <w:basedOn w:val="1"/>
    <w:autoRedefine/>
    <w:qFormat/>
    <w:uiPriority w:val="0"/>
    <w:pPr>
      <w:ind w:firstLine="420" w:firstLineChars="200"/>
    </w:pPr>
  </w:style>
  <w:style w:type="paragraph" w:styleId="3">
    <w:name w:val="Normal (Web)"/>
    <w:basedOn w:val="1"/>
    <w:autoRedefine/>
    <w:qFormat/>
    <w:uiPriority w:val="0"/>
    <w:rPr>
      <w:sz w:val="24"/>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CCE8C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15</Pages>
  <Words>5363</Words>
  <Characters>5609</Characters>
  <Lines>0</Lines>
  <Paragraphs>0</Paragraphs>
  <TotalTime>9</TotalTime>
  <ScaleCrop>false</ScaleCrop>
  <LinksUpToDate>false</LinksUpToDate>
  <CharactersWithSpaces>5687</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2024-03-01T03:56:00Z</dcterms:created>
  <dc:creator>LiMiT</dc:creator>
  <cp:lastModifiedBy>小博</cp:lastModifiedBy>
  <dcterms:modified xsi:type="dcterms:W3CDTF">2024-11-15T07:23:42Z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BC5CC52C2CB24D5CBDFA34333A57A92D_13</vt:lpwstr>
  </property>
</Properties>
</file>