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cs="黑体"/>
          <w:b/>
          <w:bCs/>
          <w:spacing w:val="20"/>
          <w:w w:val="105"/>
          <w:sz w:val="32"/>
          <w:szCs w:val="32"/>
          <w:lang w:eastAsia="zh-CN"/>
        </w:rPr>
      </w:pPr>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掺混肥料</w:t>
      </w:r>
    </w:p>
    <w:p>
      <w:pPr>
        <w:jc w:val="center"/>
        <w:rPr>
          <w:rFonts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产品质量监督抽查实施细则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掺混肥料</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eastAsia="zh-CN"/>
              </w:rPr>
            </w:pPr>
            <w:r>
              <w:rPr>
                <w:rFonts w:hint="eastAsia" w:ascii="宋体" w:hAnsi="宋体" w:cs="宋体"/>
                <w:szCs w:val="21"/>
                <w:lang w:val="en-US" w:eastAsia="zh-CN"/>
              </w:rPr>
              <w:t>05</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06</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02</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农业生产资料</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化肥</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复肥</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cs="宋体"/>
                <w:kern w:val="0"/>
                <w:szCs w:val="21"/>
                <w:lang w:val="en-US" w:eastAsia="zh-CN"/>
              </w:rPr>
            </w:pPr>
            <w:r>
              <w:rPr>
                <w:rFonts w:hint="eastAsia" w:ascii="宋体" w:hAnsi="宋体" w:cs="宋体"/>
                <w:kern w:val="0"/>
                <w:szCs w:val="21"/>
                <w:lang w:val="en-US" w:eastAsia="zh-CN"/>
              </w:rPr>
              <w:t>掺混肥料</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sz w:val="28"/>
          <w:szCs w:val="28"/>
          <w:lang w:eastAsia="zh-CN"/>
        </w:rPr>
        <w:t>掺混肥料</w:t>
      </w:r>
      <w:r>
        <w:rPr>
          <w:rFonts w:hint="eastAsia" w:ascii="仿宋_GB2312" w:hAnsi="宋体" w:eastAsia="仿宋_GB2312"/>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GB/T 21633-2020</w:t>
      </w: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lang w:eastAsia="zh-CN"/>
        </w:rPr>
        <w:t>掺混肥料(BB肥)</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同一规格型号，并有产品质量检验合格证明或者以其他形式表明合格的产品。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cs="Times New Roman"/>
          <w:sz w:val="28"/>
          <w:szCs w:val="28"/>
        </w:rPr>
        <w:t>将样品缩分至</w:t>
      </w:r>
      <w:r>
        <w:rPr>
          <w:rFonts w:hint="eastAsia" w:ascii="仿宋_GB2312" w:hAnsi="宋体" w:eastAsia="仿宋_GB2312" w:cs="Times New Roman"/>
          <w:sz w:val="28"/>
          <w:szCs w:val="28"/>
          <w:lang w:eastAsia="zh-CN"/>
        </w:rPr>
        <w:t>约1</w:t>
      </w:r>
      <w:r>
        <w:rPr>
          <w:rFonts w:hint="eastAsia" w:ascii="仿宋_GB2312" w:hAnsi="宋体" w:eastAsia="仿宋_GB2312" w:cs="Times New Roman"/>
          <w:sz w:val="28"/>
          <w:szCs w:val="28"/>
          <w:lang w:val="en-US" w:eastAsia="zh-CN"/>
        </w:rPr>
        <w:t>k</w:t>
      </w:r>
      <w:r>
        <w:rPr>
          <w:rFonts w:hint="eastAsia" w:ascii="仿宋_GB2312" w:hAnsi="宋体" w:eastAsia="仿宋_GB2312" w:cs="Times New Roman"/>
          <w:sz w:val="28"/>
          <w:szCs w:val="28"/>
          <w:lang w:eastAsia="zh-CN"/>
        </w:rPr>
        <w:t>g</w:t>
      </w:r>
      <w:r>
        <w:rPr>
          <w:rFonts w:hint="eastAsia" w:ascii="仿宋_GB2312" w:hAnsi="宋体" w:eastAsia="仿宋_GB2312" w:cs="Times New Roman"/>
          <w:sz w:val="28"/>
          <w:szCs w:val="28"/>
        </w:rPr>
        <w:t>，分装在2个塑料瓶中，每瓶500g。1瓶作为检验样品</w:t>
      </w:r>
      <w:bookmarkStart w:id="0" w:name="_GoBack"/>
      <w:bookmarkEnd w:id="0"/>
      <w:r>
        <w:rPr>
          <w:rFonts w:hint="eastAsia" w:ascii="仿宋_GB2312" w:hAnsi="宋体" w:eastAsia="仿宋_GB2312"/>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表2</w:t>
      </w:r>
      <w:r>
        <w:rPr>
          <w:rFonts w:hint="eastAsia" w:ascii="仿宋" w:hAnsi="仿宋" w:eastAsia="仿宋" w:cs="仿宋"/>
          <w:color w:val="000000" w:themeColor="text1"/>
          <w:szCs w:val="21"/>
          <w:lang w:eastAsia="zh-CN"/>
          <w14:textFill>
            <w14:solidFill>
              <w14:schemeClr w14:val="tx1"/>
            </w14:solidFill>
          </w14:textFill>
        </w:rPr>
        <w:t>掺混肥料</w:t>
      </w:r>
    </w:p>
    <w:tbl>
      <w:tblPr>
        <w:tblStyle w:val="8"/>
        <w:tblW w:w="7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3119"/>
        <w:gridCol w:w="1843"/>
        <w:gridCol w:w="1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843"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1905"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rPr>
            </w:pPr>
            <w:r>
              <w:rPr>
                <w:rFonts w:hint="eastAsia" w:ascii="仿宋" w:hAnsi="仿宋" w:eastAsia="仿宋" w:cs="仿宋"/>
                <w:kern w:val="0"/>
                <w:szCs w:val="21"/>
              </w:rPr>
              <w:t>1</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总养分（N+P2O5+K2O)</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21633-2020</w:t>
            </w:r>
          </w:p>
        </w:tc>
        <w:tc>
          <w:tcPr>
            <w:tcW w:w="1905"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GB/T 21633-2020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rPr>
            </w:pPr>
            <w:r>
              <w:rPr>
                <w:rFonts w:hint="eastAsia" w:ascii="仿宋" w:hAnsi="仿宋" w:eastAsia="仿宋" w:cs="仿宋"/>
                <w:kern w:val="0"/>
                <w:szCs w:val="21"/>
              </w:rPr>
              <w:t>2</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总氮含量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21633-2020</w:t>
            </w:r>
          </w:p>
        </w:tc>
        <w:tc>
          <w:tcPr>
            <w:tcW w:w="1905"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8572-2010</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NY/T 2542-2014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rPr>
            </w:pPr>
            <w:r>
              <w:rPr>
                <w:rFonts w:hint="eastAsia" w:ascii="仿宋" w:hAnsi="仿宋" w:eastAsia="仿宋" w:cs="仿宋"/>
                <w:kern w:val="0"/>
                <w:szCs w:val="21"/>
              </w:rPr>
              <w:t>3</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有效磷含量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21633-2020</w:t>
            </w:r>
          </w:p>
        </w:tc>
        <w:tc>
          <w:tcPr>
            <w:tcW w:w="1905"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15063-2020</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GB/T 8573-2017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rPr>
            </w:pPr>
            <w:r>
              <w:rPr>
                <w:rFonts w:hint="eastAsia" w:ascii="仿宋" w:hAnsi="仿宋" w:eastAsia="仿宋" w:cs="仿宋"/>
                <w:kern w:val="0"/>
                <w:szCs w:val="21"/>
              </w:rPr>
              <w:t>4</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水溶性磷占有效磷的百分率</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21633-2020</w:t>
            </w:r>
          </w:p>
        </w:tc>
        <w:tc>
          <w:tcPr>
            <w:tcW w:w="1905"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15063-2020</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GB/T 8573-2017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rPr>
            </w:pPr>
            <w:r>
              <w:rPr>
                <w:rFonts w:hint="eastAsia" w:ascii="仿宋" w:hAnsi="仿宋" w:eastAsia="仿宋" w:cs="仿宋"/>
                <w:kern w:val="0"/>
                <w:szCs w:val="21"/>
              </w:rPr>
              <w:t>5</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钾含量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21633-2020</w:t>
            </w:r>
          </w:p>
        </w:tc>
        <w:tc>
          <w:tcPr>
            <w:tcW w:w="1905"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8574-2010</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NY/T 2540-2014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6</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粒度（2.00mm～4.75mm）</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21633-2020</w:t>
            </w:r>
          </w:p>
        </w:tc>
        <w:tc>
          <w:tcPr>
            <w:tcW w:w="1905"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24891-2010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7</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氯离子</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21633-2020</w:t>
            </w:r>
          </w:p>
        </w:tc>
        <w:tc>
          <w:tcPr>
            <w:tcW w:w="1905"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24890-2010</w:t>
            </w:r>
          </w:p>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NY/T 1117-2010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8</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标识</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21633-2020</w:t>
            </w:r>
          </w:p>
        </w:tc>
        <w:tc>
          <w:tcPr>
            <w:tcW w:w="1905"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21633-2020</w:t>
            </w:r>
          </w:p>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 18382-2021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26"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BD4475"/>
    <w:rsid w:val="08705141"/>
    <w:rsid w:val="0A401166"/>
    <w:rsid w:val="0B123C38"/>
    <w:rsid w:val="0E9D78D8"/>
    <w:rsid w:val="0FAA5A14"/>
    <w:rsid w:val="16C52D02"/>
    <w:rsid w:val="25725A7D"/>
    <w:rsid w:val="323F5720"/>
    <w:rsid w:val="37BE7F9B"/>
    <w:rsid w:val="423D1FE7"/>
    <w:rsid w:val="4757545E"/>
    <w:rsid w:val="601F2326"/>
    <w:rsid w:val="60BD0047"/>
    <w:rsid w:val="64392943"/>
    <w:rsid w:val="715D3C37"/>
    <w:rsid w:val="745B1E70"/>
    <w:rsid w:val="776D6448"/>
    <w:rsid w:val="7BF2196F"/>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List 2"/>
    <w:basedOn w:val="1"/>
    <w:next w:val="1"/>
    <w:autoRedefine/>
    <w:qFormat/>
    <w:uiPriority w:val="0"/>
    <w:pPr>
      <w:adjustRightInd w:val="0"/>
      <w:snapToGrid w:val="0"/>
      <w:spacing w:line="360" w:lineRule="auto"/>
      <w:ind w:left="100" w:leftChars="200" w:hanging="200" w:hangingChars="200"/>
    </w:pPr>
    <w:rPr>
      <w:sz w:val="24"/>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autoRedefine/>
    <w:unhideWhenUsed/>
    <w:qFormat/>
    <w:uiPriority w:val="39"/>
  </w:style>
  <w:style w:type="table" w:styleId="8">
    <w:name w:val="Table Grid"/>
    <w:basedOn w:val="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99"/>
    <w:rPr>
      <w:rFonts w:ascii="Calibri" w:hAnsi="Calibri" w:eastAsia="宋体" w:cs="Times New Roman"/>
      <w:sz w:val="18"/>
      <w:szCs w:val="18"/>
    </w:rPr>
  </w:style>
  <w:style w:type="character" w:customStyle="1" w:styleId="11">
    <w:name w:val="页脚 字符"/>
    <w:basedOn w:val="9"/>
    <w:link w:val="4"/>
    <w:qFormat/>
    <w:uiPriority w:val="99"/>
    <w:rPr>
      <w:rFonts w:ascii="Calibri" w:hAnsi="Calibri" w:eastAsia="宋体" w:cs="Times New Roman"/>
      <w:sz w:val="18"/>
      <w:szCs w:val="18"/>
    </w:rPr>
  </w:style>
  <w:style w:type="paragraph" w:styleId="12">
    <w:name w:val="List Paragraph"/>
    <w:basedOn w:val="1"/>
    <w:qFormat/>
    <w:uiPriority w:val="34"/>
    <w:pPr>
      <w:ind w:firstLine="420" w:firstLineChars="200"/>
    </w:pPr>
  </w:style>
  <w:style w:type="paragraph" w:customStyle="1" w:styleId="13">
    <w:name w:val="_Style 3"/>
    <w:basedOn w:val="1"/>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0</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2024-03-19T14:19:07Z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22427168409745A3BA6DB799AC537DB2_13</vt:lpwstr>
  </property>
</Properties>
</file>