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老视成镜</w:t>
      </w: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老视成镜</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9</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眼镜类产品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老视成镜</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老视成镜</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10810.1-2005</w:t>
      </w:r>
      <w:r>
        <w:rPr>
          <w:rFonts w:hint="eastAsia" w:ascii="仿宋_GB2312" w:hAnsi="宋体" w:eastAsia="仿宋_GB2312"/>
          <w:sz w:val="28"/>
          <w:szCs w:val="28"/>
          <w:lang w:val="en-US" w:eastAsia="zh-CN"/>
        </w:rPr>
        <w:t xml:space="preserve"> 眼镜镜片第一部分：单光和多焦点镜片</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13511.1-2011</w:t>
      </w:r>
      <w:r>
        <w:rPr>
          <w:rFonts w:hint="eastAsia" w:ascii="仿宋_GB2312" w:hAnsi="宋体" w:eastAsia="仿宋_GB2312"/>
          <w:sz w:val="28"/>
          <w:szCs w:val="28"/>
          <w:lang w:val="en-US" w:eastAsia="zh-CN"/>
        </w:rPr>
        <w:t xml:space="preserve"> 配装眼镜第1部分：单光和多焦点</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GB/T 13511.3-2019</w:t>
      </w:r>
      <w:r>
        <w:rPr>
          <w:rFonts w:hint="eastAsia" w:ascii="仿宋_GB2312" w:hAnsi="宋体" w:eastAsia="仿宋_GB2312"/>
          <w:sz w:val="28"/>
          <w:szCs w:val="28"/>
          <w:lang w:val="en-US" w:eastAsia="zh-CN"/>
        </w:rPr>
        <w:t xml:space="preserve"> 配装眼镜 第3部分：单光老视成镜</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2副</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1副</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1副</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老视成镜</w:t>
      </w:r>
    </w:p>
    <w:tbl>
      <w:tblPr>
        <w:tblStyle w:val="8"/>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018"/>
        <w:gridCol w:w="1784"/>
        <w:gridCol w:w="2300"/>
        <w:gridCol w:w="2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802" w:type="dxa"/>
            <w:gridSpan w:val="2"/>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30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66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1018" w:type="dxa"/>
            <w:vMerge w:val="restart"/>
            <w:vAlign w:val="center"/>
          </w:tcPr>
          <w:p>
            <w:pPr>
              <w:adjustRightInd/>
              <w:snapToGrid/>
              <w:spacing w:line="240" w:lineRule="auto"/>
              <w:jc w:val="center"/>
              <w:rPr>
                <w:rFonts w:hint="eastAsia" w:ascii="仿宋" w:hAnsi="仿宋" w:eastAsia="仿宋" w:cs="仿宋"/>
                <w:bCs/>
                <w:iCs/>
                <w:kern w:val="0"/>
                <w:szCs w:val="21"/>
              </w:rPr>
            </w:pPr>
            <w:r>
              <w:rPr>
                <w:rFonts w:hint="eastAsia" w:ascii="仿宋" w:hAnsi="仿宋" w:eastAsia="仿宋" w:cs="仿宋"/>
                <w:sz w:val="22"/>
                <w:szCs w:val="22"/>
              </w:rPr>
              <w:t>镜片顶焦度</w:t>
            </w:r>
          </w:p>
        </w:tc>
        <w:tc>
          <w:tcPr>
            <w:tcW w:w="1784" w:type="dxa"/>
            <w:vAlign w:val="center"/>
          </w:tcPr>
          <w:p>
            <w:pPr>
              <w:adjustRightInd/>
              <w:snapToGrid/>
              <w:spacing w:line="240" w:lineRule="auto"/>
              <w:jc w:val="center"/>
              <w:rPr>
                <w:rFonts w:hint="eastAsia" w:ascii="仿宋" w:hAnsi="仿宋" w:eastAsia="仿宋" w:cs="仿宋"/>
                <w:sz w:val="22"/>
                <w:szCs w:val="22"/>
              </w:rPr>
            </w:pPr>
            <w:r>
              <w:rPr>
                <w:rFonts w:hint="eastAsia" w:ascii="仿宋" w:hAnsi="仿宋" w:eastAsia="仿宋" w:cs="仿宋"/>
                <w:sz w:val="22"/>
                <w:szCs w:val="22"/>
              </w:rPr>
              <w:t>球镜顶焦度偏差</w:t>
            </w:r>
            <w:r>
              <w:rPr>
                <w:rFonts w:hint="eastAsia" w:ascii="仿宋" w:hAnsi="仿宋" w:eastAsia="仿宋" w:cs="仿宋"/>
                <w:color w:val="000000"/>
                <w:sz w:val="22"/>
                <w:szCs w:val="22"/>
              </w:rPr>
              <w:t>（主子午面一）</w:t>
            </w:r>
          </w:p>
        </w:tc>
        <w:tc>
          <w:tcPr>
            <w:tcW w:w="2300" w:type="dxa"/>
            <w:vMerge w:val="restart"/>
            <w:vAlign w:val="center"/>
          </w:tcPr>
          <w:p>
            <w:pPr>
              <w:widowControl/>
              <w:adjustRightInd w:val="0"/>
              <w:snapToGrid w:val="0"/>
              <w:jc w:val="center"/>
              <w:rPr>
                <w:rFonts w:hint="eastAsia" w:ascii="仿宋" w:hAnsi="仿宋" w:eastAsia="仿宋" w:cs="仿宋"/>
                <w:bCs/>
                <w:kern w:val="0"/>
                <w:szCs w:val="21"/>
                <w:lang w:eastAsia="zh-CN"/>
              </w:rPr>
            </w:pPr>
            <w:r>
              <w:rPr>
                <w:rFonts w:hint="eastAsia" w:ascii="仿宋" w:hAnsi="仿宋" w:eastAsia="仿宋" w:cs="仿宋"/>
                <w:bCs/>
                <w:kern w:val="0"/>
                <w:szCs w:val="21"/>
                <w:lang w:eastAsia="zh-CN"/>
              </w:rPr>
              <w:t>GB 13511.1-2011</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13511.3-2019</w:t>
            </w:r>
          </w:p>
        </w:tc>
        <w:tc>
          <w:tcPr>
            <w:tcW w:w="266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1018" w:type="dxa"/>
            <w:vMerge w:val="continue"/>
            <w:vAlign w:val="center"/>
          </w:tcPr>
          <w:p>
            <w:pPr>
              <w:adjustRightInd/>
              <w:snapToGrid/>
              <w:spacing w:line="240" w:lineRule="auto"/>
              <w:jc w:val="center"/>
              <w:rPr>
                <w:rFonts w:hint="eastAsia" w:ascii="仿宋" w:hAnsi="仿宋" w:eastAsia="仿宋" w:cs="仿宋"/>
                <w:bCs/>
                <w:iCs/>
                <w:kern w:val="0"/>
                <w:szCs w:val="21"/>
              </w:rPr>
            </w:pPr>
          </w:p>
        </w:tc>
        <w:tc>
          <w:tcPr>
            <w:tcW w:w="1784" w:type="dxa"/>
            <w:vAlign w:val="center"/>
          </w:tcPr>
          <w:p>
            <w:pPr>
              <w:adjustRightInd/>
              <w:snapToGrid/>
              <w:spacing w:line="240" w:lineRule="auto"/>
              <w:jc w:val="center"/>
              <w:rPr>
                <w:rFonts w:hint="eastAsia" w:ascii="仿宋" w:hAnsi="仿宋" w:eastAsia="仿宋" w:cs="仿宋"/>
                <w:bCs/>
                <w:iCs/>
                <w:kern w:val="0"/>
                <w:szCs w:val="21"/>
              </w:rPr>
            </w:pPr>
            <w:r>
              <w:rPr>
                <w:rFonts w:hint="eastAsia" w:ascii="仿宋" w:hAnsi="仿宋" w:eastAsia="仿宋" w:cs="仿宋"/>
                <w:sz w:val="22"/>
                <w:szCs w:val="22"/>
              </w:rPr>
              <w:t>球镜顶焦度偏差</w:t>
            </w:r>
            <w:r>
              <w:rPr>
                <w:rFonts w:hint="eastAsia" w:ascii="仿宋" w:hAnsi="仿宋" w:eastAsia="仿宋" w:cs="仿宋"/>
                <w:color w:val="000000"/>
                <w:sz w:val="22"/>
                <w:szCs w:val="22"/>
              </w:rPr>
              <w:t>（主子午面二）</w:t>
            </w:r>
          </w:p>
        </w:tc>
        <w:tc>
          <w:tcPr>
            <w:tcW w:w="2300" w:type="dxa"/>
            <w:vMerge w:val="continue"/>
            <w:vAlign w:val="center"/>
          </w:tcPr>
          <w:p>
            <w:pPr>
              <w:widowControl/>
              <w:adjustRightInd w:val="0"/>
              <w:snapToGrid w:val="0"/>
              <w:jc w:val="center"/>
              <w:rPr>
                <w:rFonts w:hint="eastAsia" w:ascii="仿宋" w:hAnsi="仿宋" w:eastAsia="仿宋" w:cs="仿宋"/>
                <w:bCs/>
                <w:kern w:val="0"/>
                <w:szCs w:val="21"/>
              </w:rPr>
            </w:pPr>
          </w:p>
        </w:tc>
        <w:tc>
          <w:tcPr>
            <w:tcW w:w="266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1018" w:type="dxa"/>
            <w:vMerge w:val="continue"/>
            <w:vAlign w:val="center"/>
          </w:tcPr>
          <w:p>
            <w:pPr>
              <w:adjustRightInd/>
              <w:snapToGrid/>
              <w:spacing w:line="240" w:lineRule="auto"/>
              <w:jc w:val="center"/>
              <w:rPr>
                <w:rFonts w:hint="eastAsia" w:ascii="仿宋" w:hAnsi="仿宋" w:eastAsia="仿宋" w:cs="仿宋"/>
                <w:bCs/>
                <w:iCs/>
                <w:kern w:val="0"/>
                <w:szCs w:val="21"/>
              </w:rPr>
            </w:pPr>
          </w:p>
        </w:tc>
        <w:tc>
          <w:tcPr>
            <w:tcW w:w="1784" w:type="dxa"/>
            <w:vAlign w:val="center"/>
          </w:tcPr>
          <w:p>
            <w:pPr>
              <w:adjustRightInd/>
              <w:snapToGrid/>
              <w:spacing w:line="240" w:lineRule="auto"/>
              <w:jc w:val="center"/>
              <w:rPr>
                <w:rFonts w:hint="eastAsia" w:ascii="仿宋" w:hAnsi="仿宋" w:eastAsia="仿宋" w:cs="仿宋"/>
                <w:bCs/>
                <w:iCs/>
                <w:kern w:val="0"/>
                <w:szCs w:val="21"/>
              </w:rPr>
            </w:pPr>
            <w:r>
              <w:rPr>
                <w:rFonts w:hint="eastAsia" w:ascii="仿宋" w:hAnsi="仿宋" w:eastAsia="仿宋" w:cs="仿宋"/>
                <w:sz w:val="22"/>
                <w:szCs w:val="22"/>
              </w:rPr>
              <w:t>柱镜顶焦度偏差</w:t>
            </w:r>
          </w:p>
        </w:tc>
        <w:tc>
          <w:tcPr>
            <w:tcW w:w="2300" w:type="dxa"/>
            <w:vMerge w:val="continue"/>
            <w:vAlign w:val="center"/>
          </w:tcPr>
          <w:p>
            <w:pPr>
              <w:widowControl/>
              <w:adjustRightInd w:val="0"/>
              <w:snapToGrid w:val="0"/>
              <w:jc w:val="center"/>
              <w:rPr>
                <w:rFonts w:hint="eastAsia" w:ascii="仿宋" w:hAnsi="仿宋" w:eastAsia="仿宋" w:cs="仿宋"/>
                <w:bCs/>
                <w:kern w:val="0"/>
                <w:szCs w:val="21"/>
              </w:rPr>
            </w:pPr>
          </w:p>
        </w:tc>
        <w:tc>
          <w:tcPr>
            <w:tcW w:w="266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802" w:type="dxa"/>
            <w:gridSpan w:val="2"/>
            <w:vAlign w:val="center"/>
          </w:tcPr>
          <w:p>
            <w:pPr>
              <w:adjustRightInd/>
              <w:snapToGrid w:val="0"/>
              <w:spacing w:line="240" w:lineRule="auto"/>
              <w:jc w:val="center"/>
              <w:rPr>
                <w:rFonts w:hint="eastAsia" w:ascii="仿宋" w:hAnsi="仿宋" w:eastAsia="仿宋" w:cs="仿宋"/>
                <w:bCs/>
                <w:iCs/>
                <w:kern w:val="0"/>
                <w:szCs w:val="21"/>
              </w:rPr>
            </w:pPr>
            <w:r>
              <w:rPr>
                <w:rFonts w:hint="eastAsia" w:ascii="仿宋" w:hAnsi="仿宋" w:eastAsia="仿宋" w:cs="仿宋"/>
                <w:color w:val="000000"/>
                <w:sz w:val="22"/>
                <w:szCs w:val="22"/>
              </w:rPr>
              <w:t>光透射比</w:t>
            </w:r>
          </w:p>
        </w:tc>
        <w:tc>
          <w:tcPr>
            <w:tcW w:w="2300" w:type="dxa"/>
            <w:vMerge w:val="continue"/>
            <w:vAlign w:val="center"/>
          </w:tcPr>
          <w:p>
            <w:pPr>
              <w:widowControl/>
              <w:adjustRightInd w:val="0"/>
              <w:snapToGrid w:val="0"/>
              <w:jc w:val="center"/>
              <w:rPr>
                <w:rFonts w:hint="eastAsia" w:ascii="仿宋" w:hAnsi="仿宋" w:eastAsia="仿宋" w:cs="仿宋"/>
                <w:bCs/>
                <w:kern w:val="0"/>
                <w:szCs w:val="21"/>
              </w:rPr>
            </w:pPr>
          </w:p>
        </w:tc>
        <w:tc>
          <w:tcPr>
            <w:tcW w:w="2668" w:type="dxa"/>
            <w:vAlign w:val="center"/>
          </w:tcPr>
          <w:p>
            <w:pPr>
              <w:widowControl/>
              <w:adjustRightInd w:val="0"/>
              <w:snapToGrid w:val="0"/>
              <w:jc w:val="center"/>
              <w:rPr>
                <w:rFonts w:hint="eastAsia" w:ascii="仿宋" w:hAnsi="仿宋" w:eastAsia="仿宋" w:cs="仿宋"/>
                <w:bCs/>
                <w:kern w:val="0"/>
                <w:szCs w:val="21"/>
                <w:lang w:eastAsia="zh-CN"/>
              </w:rPr>
            </w:pPr>
            <w:r>
              <w:rPr>
                <w:rFonts w:hint="eastAsia" w:ascii="仿宋" w:hAnsi="仿宋" w:eastAsia="仿宋" w:cs="仿宋"/>
                <w:bCs/>
                <w:kern w:val="0"/>
                <w:szCs w:val="21"/>
                <w:lang w:eastAsia="zh-CN"/>
              </w:rPr>
              <w:t>GB 13511.1-2011</w:t>
            </w:r>
            <w:r>
              <w:rPr>
                <w:rFonts w:hint="eastAsia" w:ascii="仿宋" w:hAnsi="仿宋" w:eastAsia="仿宋" w:cs="仿宋"/>
                <w:bCs/>
                <w:kern w:val="0"/>
                <w:szCs w:val="21"/>
                <w:lang w:eastAsia="zh-CN"/>
              </w:rPr>
              <w:br w:type="textWrapping"/>
            </w:r>
            <w:r>
              <w:rPr>
                <w:rFonts w:hint="eastAsia" w:ascii="仿宋" w:hAnsi="仿宋" w:eastAsia="仿宋" w:cs="仿宋"/>
                <w:bCs/>
                <w:kern w:val="0"/>
                <w:szCs w:val="21"/>
                <w:lang w:eastAsia="zh-CN"/>
              </w:rPr>
              <w:t>GB 10810.3-2006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eastAsia="zh-CN"/>
              </w:rPr>
              <w:t>QB/T 2506-2017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802" w:type="dxa"/>
            <w:gridSpan w:val="2"/>
            <w:vAlign w:val="center"/>
          </w:tcPr>
          <w:p>
            <w:pPr>
              <w:adjustRightInd/>
              <w:snapToGrid/>
              <w:spacing w:line="240" w:lineRule="auto"/>
              <w:jc w:val="center"/>
              <w:rPr>
                <w:rFonts w:hint="eastAsia" w:ascii="仿宋" w:hAnsi="仿宋" w:eastAsia="仿宋" w:cs="仿宋"/>
                <w:bCs/>
                <w:iCs/>
                <w:kern w:val="0"/>
                <w:szCs w:val="21"/>
              </w:rPr>
            </w:pPr>
            <w:r>
              <w:rPr>
                <w:rFonts w:hint="eastAsia" w:ascii="仿宋" w:hAnsi="仿宋" w:eastAsia="仿宋" w:cs="仿宋"/>
                <w:sz w:val="22"/>
                <w:szCs w:val="22"/>
              </w:rPr>
              <w:t>光学中心水平偏差</w:t>
            </w:r>
          </w:p>
        </w:tc>
        <w:tc>
          <w:tcPr>
            <w:tcW w:w="2300" w:type="dxa"/>
            <w:vMerge w:val="continue"/>
            <w:vAlign w:val="center"/>
          </w:tcPr>
          <w:p>
            <w:pPr>
              <w:widowControl/>
              <w:adjustRightInd w:val="0"/>
              <w:snapToGrid w:val="0"/>
              <w:jc w:val="center"/>
              <w:rPr>
                <w:rFonts w:hint="eastAsia" w:ascii="仿宋" w:hAnsi="仿宋" w:eastAsia="仿宋" w:cs="仿宋"/>
                <w:bCs/>
                <w:kern w:val="0"/>
                <w:szCs w:val="21"/>
              </w:rPr>
            </w:pPr>
          </w:p>
        </w:tc>
        <w:tc>
          <w:tcPr>
            <w:tcW w:w="266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eastAsia="zh-CN"/>
              </w:rPr>
              <w:t>GB 13511.1-2011</w:t>
            </w:r>
            <w:r>
              <w:rPr>
                <w:rFonts w:hint="eastAsia" w:ascii="仿宋" w:hAnsi="仿宋" w:eastAsia="仿宋" w:cs="仿宋"/>
                <w:bCs/>
                <w:kern w:val="0"/>
                <w:szCs w:val="21"/>
                <w:lang w:eastAsia="zh-CN"/>
              </w:rPr>
              <w:br w:type="textWrapping"/>
            </w:r>
            <w:r>
              <w:rPr>
                <w:rFonts w:hint="eastAsia" w:ascii="仿宋" w:hAnsi="仿宋" w:eastAsia="仿宋" w:cs="仿宋"/>
                <w:bCs/>
                <w:kern w:val="0"/>
                <w:szCs w:val="21"/>
                <w:lang w:eastAsia="zh-CN"/>
              </w:rPr>
              <w:t>GB/T 13511.3-2019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802" w:type="dxa"/>
            <w:gridSpan w:val="2"/>
            <w:vAlign w:val="center"/>
          </w:tcPr>
          <w:p>
            <w:pPr>
              <w:adjustRightInd/>
              <w:snapToGrid/>
              <w:spacing w:line="240" w:lineRule="auto"/>
              <w:jc w:val="center"/>
              <w:rPr>
                <w:rFonts w:hint="eastAsia" w:ascii="仿宋" w:hAnsi="仿宋" w:eastAsia="仿宋" w:cs="仿宋"/>
                <w:bCs/>
                <w:iCs/>
                <w:kern w:val="0"/>
                <w:szCs w:val="21"/>
              </w:rPr>
            </w:pPr>
            <w:r>
              <w:rPr>
                <w:rFonts w:hint="eastAsia" w:ascii="仿宋" w:hAnsi="仿宋" w:eastAsia="仿宋" w:cs="仿宋"/>
                <w:sz w:val="22"/>
                <w:szCs w:val="22"/>
              </w:rPr>
              <w:t>光学中心单侧水平偏差</w:t>
            </w:r>
          </w:p>
        </w:tc>
        <w:tc>
          <w:tcPr>
            <w:tcW w:w="2300"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66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color w:val="000000" w:themeColor="text1"/>
                <w:szCs w:val="21"/>
                <w:lang w:eastAsia="zh-CN"/>
                <w14:textFill>
                  <w14:solidFill>
                    <w14:schemeClr w14:val="tx1"/>
                  </w14:solidFill>
                </w14:textFill>
              </w:rPr>
              <w:t>GB 13511.1-2011</w:t>
            </w:r>
            <w:r>
              <w:rPr>
                <w:rFonts w:hint="eastAsia" w:ascii="仿宋" w:hAnsi="仿宋" w:eastAsia="仿宋" w:cs="仿宋"/>
                <w:color w:val="000000" w:themeColor="text1"/>
                <w:szCs w:val="21"/>
                <w:lang w:eastAsia="zh-CN"/>
                <w14:textFill>
                  <w14:solidFill>
                    <w14:schemeClr w14:val="tx1"/>
                  </w14:solidFill>
                </w14:textFill>
              </w:rPr>
              <w:br w:type="textWrapping"/>
            </w:r>
            <w:r>
              <w:rPr>
                <w:rFonts w:hint="eastAsia" w:ascii="仿宋" w:hAnsi="仿宋" w:eastAsia="仿宋" w:cs="仿宋"/>
                <w:color w:val="000000" w:themeColor="text1"/>
                <w:szCs w:val="21"/>
                <w:lang w:eastAsia="zh-CN"/>
                <w14:textFill>
                  <w14:solidFill>
                    <w14:schemeClr w14:val="tx1"/>
                  </w14:solidFill>
                </w14:textFill>
              </w:rPr>
              <w:t>GB/T 13511.3-2019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802" w:type="dxa"/>
            <w:gridSpan w:val="2"/>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sz w:val="22"/>
                <w:szCs w:val="22"/>
              </w:rPr>
              <w:t>光学中心垂直互差</w:t>
            </w:r>
          </w:p>
        </w:tc>
        <w:tc>
          <w:tcPr>
            <w:tcW w:w="2300"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66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color w:val="000000" w:themeColor="text1"/>
                <w:szCs w:val="21"/>
                <w:lang w:eastAsia="zh-CN"/>
                <w14:textFill>
                  <w14:solidFill>
                    <w14:schemeClr w14:val="tx1"/>
                  </w14:solidFill>
                </w14:textFill>
              </w:rPr>
              <w:t>GB 13511.1-2011</w:t>
            </w:r>
            <w:r>
              <w:rPr>
                <w:rFonts w:hint="eastAsia" w:ascii="仿宋" w:hAnsi="仿宋" w:eastAsia="仿宋" w:cs="仿宋"/>
                <w:color w:val="000000" w:themeColor="text1"/>
                <w:szCs w:val="21"/>
                <w:lang w:eastAsia="zh-CN"/>
                <w14:textFill>
                  <w14:solidFill>
                    <w14:schemeClr w14:val="tx1"/>
                  </w14:solidFill>
                </w14:textFill>
              </w:rPr>
              <w:br w:type="textWrapping"/>
            </w:r>
            <w:r>
              <w:rPr>
                <w:rFonts w:hint="eastAsia" w:ascii="仿宋" w:hAnsi="仿宋" w:eastAsia="仿宋" w:cs="仿宋"/>
                <w:color w:val="000000" w:themeColor="text1"/>
                <w:szCs w:val="21"/>
                <w:lang w:eastAsia="zh-CN"/>
                <w14:textFill>
                  <w14:solidFill>
                    <w14:schemeClr w14:val="tx1"/>
                  </w14:solidFill>
                </w14:textFill>
              </w:rPr>
              <w:t>GB/T 13511.3-2019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802" w:type="dxa"/>
            <w:gridSpan w:val="2"/>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color w:val="000000"/>
                <w:sz w:val="22"/>
                <w:szCs w:val="22"/>
              </w:rPr>
              <w:t>两镜片顶焦度互差</w:t>
            </w:r>
          </w:p>
        </w:tc>
        <w:tc>
          <w:tcPr>
            <w:tcW w:w="2300" w:type="dxa"/>
            <w:vMerge w:val="continue"/>
            <w:vAlign w:val="center"/>
          </w:tcPr>
          <w:p>
            <w:pPr>
              <w:widowControl/>
              <w:adjustRightInd w:val="0"/>
              <w:snapToGrid w:val="0"/>
              <w:jc w:val="center"/>
              <w:rPr>
                <w:rFonts w:hint="eastAsia" w:ascii="仿宋" w:hAnsi="仿宋" w:eastAsia="仿宋" w:cs="仿宋"/>
                <w:bCs/>
                <w:iCs/>
                <w:kern w:val="0"/>
                <w:szCs w:val="21"/>
                <w:lang w:val="en-US" w:eastAsia="zh-CN"/>
              </w:rPr>
            </w:pPr>
          </w:p>
        </w:tc>
        <w:tc>
          <w:tcPr>
            <w:tcW w:w="266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color w:val="000000" w:themeColor="text1"/>
                <w:szCs w:val="21"/>
                <w:lang w:eastAsia="zh-CN"/>
                <w14:textFill>
                  <w14:solidFill>
                    <w14:schemeClr w14:val="tx1"/>
                  </w14:solidFill>
                </w14:textFill>
              </w:rPr>
              <w:t>GB 13511.1-2011</w:t>
            </w:r>
            <w:r>
              <w:rPr>
                <w:rFonts w:hint="eastAsia" w:ascii="仿宋" w:hAnsi="仿宋" w:eastAsia="仿宋" w:cs="仿宋"/>
                <w:color w:val="000000" w:themeColor="text1"/>
                <w:szCs w:val="21"/>
                <w:lang w:eastAsia="zh-CN"/>
                <w14:textFill>
                  <w14:solidFill>
                    <w14:schemeClr w14:val="tx1"/>
                  </w14:solidFill>
                </w14:textFill>
              </w:rPr>
              <w:br w:type="textWrapping"/>
            </w:r>
            <w:r>
              <w:rPr>
                <w:rFonts w:hint="eastAsia" w:ascii="仿宋" w:hAnsi="仿宋" w:eastAsia="仿宋" w:cs="仿宋"/>
                <w:color w:val="000000" w:themeColor="text1"/>
                <w:szCs w:val="21"/>
                <w:lang w:eastAsia="zh-CN"/>
                <w14:textFill>
                  <w14:solidFill>
                    <w14:schemeClr w14:val="tx1"/>
                  </w14:solidFill>
                </w14:textFill>
              </w:rPr>
              <w:t>GB/T 13511.3-2019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802" w:type="dxa"/>
            <w:gridSpan w:val="2"/>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color w:val="000000"/>
                <w:sz w:val="22"/>
                <w:szCs w:val="22"/>
              </w:rPr>
              <w:t>装配质量</w:t>
            </w:r>
          </w:p>
        </w:tc>
        <w:tc>
          <w:tcPr>
            <w:tcW w:w="2300"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66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color w:val="000000" w:themeColor="text1"/>
                <w:szCs w:val="21"/>
                <w:lang w:eastAsia="zh-CN"/>
                <w14:textFill>
                  <w14:solidFill>
                    <w14:schemeClr w14:val="tx1"/>
                  </w14:solidFill>
                </w14:textFill>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9" w:type="dxa"/>
            <w:gridSpan w:val="5"/>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E4E1FC7"/>
    <w:rsid w:val="223A7050"/>
    <w:rsid w:val="24AA2336"/>
    <w:rsid w:val="25725A7D"/>
    <w:rsid w:val="29B155F7"/>
    <w:rsid w:val="323F5720"/>
    <w:rsid w:val="34FF53FE"/>
    <w:rsid w:val="39D67DCD"/>
    <w:rsid w:val="423D1FE7"/>
    <w:rsid w:val="46610A04"/>
    <w:rsid w:val="466E7D19"/>
    <w:rsid w:val="4757545E"/>
    <w:rsid w:val="568E7490"/>
    <w:rsid w:val="60BD0047"/>
    <w:rsid w:val="64392943"/>
    <w:rsid w:val="715D3C37"/>
    <w:rsid w:val="717C64BF"/>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4</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2024-03-19T13:45:35Z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93E2907B19DE4F169EBEEBF1458114C6_13</vt:lpwstr>
  </property>
</Properties>
</file>