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电动自行车充电器</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电动自行车充电器</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车辆及相关产品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电动自行车充电器</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电动自行车用充电器、电动自行车用密封铅酸蓄电池充电器、电动自行车用蓄电池充电器</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42296-2022</w:t>
      </w:r>
      <w:r>
        <w:rPr>
          <w:rFonts w:hint="eastAsia" w:ascii="仿宋_GB2312" w:hAnsi="宋体" w:eastAsia="仿宋_GB2312"/>
          <w:sz w:val="28"/>
          <w:szCs w:val="28"/>
          <w:lang w:val="en-US" w:eastAsia="zh-CN"/>
        </w:rPr>
        <w:t xml:space="preserve"> 电动自行车用充电器安全技术要求</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QB/T 2947.1-2008</w:t>
      </w:r>
      <w:r>
        <w:rPr>
          <w:rFonts w:hint="eastAsia" w:ascii="仿宋_GB2312" w:hAnsi="宋体" w:eastAsia="仿宋_GB2312"/>
          <w:sz w:val="28"/>
          <w:szCs w:val="28"/>
          <w:highlight w:val="none"/>
          <w:lang w:val="en-US" w:eastAsia="zh-CN"/>
        </w:rPr>
        <w:t xml:space="preserve"> 电动自行车用蓄电池及充电器 第1部分：密封铅酸蓄电池及充电器</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GB/T 36944-2018</w:t>
      </w:r>
      <w:r>
        <w:rPr>
          <w:rFonts w:hint="eastAsia" w:ascii="仿宋_GB2312" w:hAnsi="宋体" w:eastAsia="仿宋_GB2312"/>
          <w:sz w:val="28"/>
          <w:szCs w:val="28"/>
          <w:highlight w:val="none"/>
          <w:lang w:val="en-US" w:eastAsia="zh-CN"/>
        </w:rPr>
        <w:t xml:space="preserve"> 电动自行车用充电器技术要求</w:t>
      </w:r>
    </w:p>
    <w:p>
      <w:pPr>
        <w:adjustRightInd w:val="0"/>
        <w:snapToGrid w:val="0"/>
        <w:spacing w:line="594" w:lineRule="exact"/>
        <w:ind w:firstLine="560" w:firstLineChars="200"/>
        <w:rPr>
          <w:rFonts w:hint="eastAsia" w:ascii="仿宋_GB2312" w:hAnsi="宋体" w:eastAsia="仿宋_GB2312" w:cs="Times New Roman"/>
          <w:sz w:val="28"/>
          <w:szCs w:val="28"/>
          <w:highlight w:val="none"/>
        </w:rPr>
      </w:pPr>
      <w:r>
        <w:rPr>
          <w:rFonts w:hint="eastAsia" w:ascii="仿宋_GB2312" w:hAnsi="宋体" w:eastAsia="仿宋_GB2312" w:cs="Times New Roman"/>
          <w:sz w:val="28"/>
          <w:szCs w:val="28"/>
          <w:highlight w:val="none"/>
          <w:lang w:val="en-US" w:eastAsia="zh-CN"/>
        </w:rPr>
        <w:t>T/TCDZ 0001-2019 电动自行车用蓄电池充电器</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4个</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2个</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2个</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i w:val="0"/>
          <w:iCs w:val="0"/>
          <w:color w:val="000000"/>
          <w:kern w:val="0"/>
          <w:sz w:val="22"/>
          <w:szCs w:val="22"/>
          <w:u w:val="none"/>
          <w:lang w:val="en-US" w:eastAsia="zh-CN" w:bidi="ar"/>
        </w:rPr>
        <w:t>电动自行车用充电器</w:t>
      </w:r>
    </w:p>
    <w:tbl>
      <w:tblPr>
        <w:tblStyle w:val="8"/>
        <w:tblW w:w="8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2307"/>
        <w:gridCol w:w="2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30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59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结构</w:t>
            </w:r>
          </w:p>
        </w:tc>
        <w:tc>
          <w:tcPr>
            <w:tcW w:w="2307"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42296-2022</w:t>
            </w:r>
          </w:p>
        </w:tc>
        <w:tc>
          <w:tcPr>
            <w:tcW w:w="259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内部布线</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工作温度下的泄漏电流</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42296-2022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电气强度</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42296-2022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电气间隙</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爬电距离</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固体绝缘</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防触电保护</w:t>
            </w:r>
          </w:p>
        </w:tc>
        <w:tc>
          <w:tcPr>
            <w:tcW w:w="2307" w:type="dxa"/>
            <w:vMerge w:val="continue"/>
            <w:vAlign w:val="center"/>
          </w:tcPr>
          <w:p>
            <w:pPr>
              <w:widowControl/>
              <w:adjustRightInd w:val="0"/>
              <w:snapToGrid w:val="0"/>
              <w:jc w:val="center"/>
              <w:rPr>
                <w:rFonts w:hint="eastAsia" w:ascii="仿宋" w:hAnsi="仿宋" w:eastAsia="仿宋" w:cs="仿宋"/>
                <w:bCs/>
                <w:kern w:val="0"/>
                <w:szCs w:val="21"/>
                <w:lang w:val="en-US" w:eastAsia="zh-CN"/>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结构</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电源软线及输出线</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接地措施</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温升</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标志、警示语和说明书</w:t>
            </w:r>
          </w:p>
        </w:tc>
        <w:tc>
          <w:tcPr>
            <w:tcW w:w="2307" w:type="dxa"/>
            <w:vMerge w:val="continue"/>
            <w:vAlign w:val="center"/>
          </w:tcPr>
          <w:p>
            <w:pPr>
              <w:widowControl/>
              <w:adjustRightInd w:val="0"/>
              <w:snapToGrid w:val="0"/>
              <w:jc w:val="center"/>
              <w:rPr>
                <w:rFonts w:hint="eastAsia" w:ascii="仿宋" w:hAnsi="仿宋" w:eastAsia="仿宋" w:cs="仿宋"/>
                <w:bCs/>
                <w:kern w:val="0"/>
                <w:szCs w:val="21"/>
              </w:rPr>
            </w:pPr>
          </w:p>
        </w:tc>
        <w:tc>
          <w:tcPr>
            <w:tcW w:w="259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42296-2022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i w:val="0"/>
          <w:iCs w:val="0"/>
          <w:color w:val="000000"/>
          <w:kern w:val="0"/>
          <w:sz w:val="22"/>
          <w:szCs w:val="22"/>
          <w:u w:val="none"/>
          <w:lang w:val="en-US" w:eastAsia="zh-CN" w:bidi="ar"/>
        </w:rPr>
        <w:t>电动自行车用密封铅酸蓄电池充电器</w:t>
      </w:r>
    </w:p>
    <w:tbl>
      <w:tblPr>
        <w:tblStyle w:val="8"/>
        <w:tblW w:w="8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2270"/>
        <w:gridCol w:w="2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27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504"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充电器对触及带电部件的防护</w:t>
            </w:r>
          </w:p>
        </w:tc>
        <w:tc>
          <w:tcPr>
            <w:tcW w:w="2270"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QB/T 2947.1-2008</w:t>
            </w: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充电器输入功率和电流、空载直流输出电压</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充电器发热</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充电器工作温度下的泄漏电流和电气强度</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充电器过载保护</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充电器机械强度</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充电器布线</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充电器输入、输出线及插头</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充电器安全标志</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充电器说明书</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w:t>
            </w:r>
          </w:p>
        </w:tc>
        <w:tc>
          <w:tcPr>
            <w:tcW w:w="227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0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QB/T 2947.1-2008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8"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i w:val="0"/>
          <w:iCs w:val="0"/>
          <w:color w:val="000000"/>
          <w:kern w:val="0"/>
          <w:sz w:val="22"/>
          <w:szCs w:val="22"/>
          <w:u w:val="none"/>
          <w:lang w:val="en-US" w:eastAsia="zh-CN" w:bidi="ar"/>
        </w:rPr>
        <w:t>电动自行车用充电器</w:t>
      </w:r>
    </w:p>
    <w:tbl>
      <w:tblPr>
        <w:tblStyle w:val="8"/>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525"/>
        <w:gridCol w:w="2420"/>
        <w:gridCol w:w="2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42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534"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结构</w:t>
            </w:r>
          </w:p>
        </w:tc>
        <w:tc>
          <w:tcPr>
            <w:tcW w:w="2420"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36944-2018</w:t>
            </w: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内部布线</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电源软线</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元件</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泄漏电流</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电气强度</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爬电距离</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电气间隙</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防触电保护</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温升</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短路</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5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接地有效性</w:t>
            </w:r>
          </w:p>
        </w:tc>
        <w:tc>
          <w:tcPr>
            <w:tcW w:w="242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534"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38"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i w:val="0"/>
          <w:iCs w:val="0"/>
          <w:color w:val="000000"/>
          <w:kern w:val="0"/>
          <w:sz w:val="22"/>
          <w:szCs w:val="22"/>
          <w:u w:val="none"/>
          <w:lang w:val="en-US" w:eastAsia="zh-CN" w:bidi="ar"/>
        </w:rPr>
        <w:t>电动自行车用蓄电池充电器</w:t>
      </w:r>
    </w:p>
    <w:tbl>
      <w:tblPr>
        <w:tblStyle w:val="8"/>
        <w:tblW w:w="8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482"/>
        <w:gridCol w:w="2500"/>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50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46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标志和说明</w:t>
            </w:r>
          </w:p>
        </w:tc>
        <w:tc>
          <w:tcPr>
            <w:tcW w:w="2500"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T/TCDZ 0001-2019</w:t>
            </w: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T/TCDZ 0001-2019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输入功率和电流</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对触及带电部件的防护</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T/TCDZ 0001-2019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发热</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泄漏电流和电气强度</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非正常工作</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机械强度</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T/TCDZ 0001-2019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结构</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内部布线</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元件</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T/TCDZ 0001-2019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电源连接和外部软线</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接地措施</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爬电距离、电气间隙</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248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耐热和耐燃</w:t>
            </w:r>
          </w:p>
        </w:tc>
        <w:tc>
          <w:tcPr>
            <w:tcW w:w="250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5169.21-2017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0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bookmarkStart w:id="0" w:name="_GoBack"/>
      <w:bookmarkEnd w:id="0"/>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8705141"/>
    <w:rsid w:val="0A401166"/>
    <w:rsid w:val="0B123C38"/>
    <w:rsid w:val="0E9D78D8"/>
    <w:rsid w:val="0FAA5A14"/>
    <w:rsid w:val="1B535AE1"/>
    <w:rsid w:val="1E4E1FC7"/>
    <w:rsid w:val="24AA2336"/>
    <w:rsid w:val="25725A7D"/>
    <w:rsid w:val="26E61C61"/>
    <w:rsid w:val="29B155F7"/>
    <w:rsid w:val="2DBF4E1C"/>
    <w:rsid w:val="2E8E5505"/>
    <w:rsid w:val="323F5720"/>
    <w:rsid w:val="34FF53FE"/>
    <w:rsid w:val="423D1FE7"/>
    <w:rsid w:val="46610A04"/>
    <w:rsid w:val="466E7D19"/>
    <w:rsid w:val="4757545E"/>
    <w:rsid w:val="48A37CB9"/>
    <w:rsid w:val="4A0C3A08"/>
    <w:rsid w:val="568E7490"/>
    <w:rsid w:val="602A3154"/>
    <w:rsid w:val="60BD0047"/>
    <w:rsid w:val="64392943"/>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2</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2024-03-19T14:04:26Z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58075117355E4C3EAC24CA653ED3BBBA_13</vt:lpwstr>
  </property>
</Properties>
</file>