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仿宋_GB2312" w:hAnsi="宋体" w:eastAsia="仿宋_GB2312" w:cs="黑体"/>
          <w:b/>
          <w:bCs w:val="0"/>
          <w:spacing w:val="20"/>
          <w:w w:val="105"/>
          <w:sz w:val="32"/>
          <w:szCs w:val="32"/>
          <w:lang w:val="en-US" w:eastAsia="zh-CN"/>
        </w:rPr>
      </w:pPr>
      <w:r>
        <w:rPr>
          <w:rFonts w:hint="eastAsia" w:ascii="仿宋_GB2312" w:hAnsi="宋体" w:eastAsia="仿宋_GB2312" w:cs="黑体"/>
          <w:b/>
          <w:bCs w:val="0"/>
          <w:spacing w:val="20"/>
          <w:w w:val="105"/>
          <w:sz w:val="32"/>
          <w:szCs w:val="32"/>
          <w:lang w:val="en-US" w:eastAsia="zh-CN"/>
        </w:rPr>
        <w:t>2024年兴隆台区消防器材</w:t>
      </w:r>
    </w:p>
    <w:p>
      <w:pPr>
        <w:jc w:val="center"/>
        <w:rPr>
          <w:rFonts w:hint="eastAsia" w:ascii="仿宋_GB2312" w:hAnsi="宋体" w:eastAsia="仿宋_GB2312" w:cs="黑体"/>
          <w:b/>
          <w:bCs w:val="0"/>
          <w:spacing w:val="20"/>
          <w:w w:val="105"/>
          <w:sz w:val="32"/>
          <w:szCs w:val="32"/>
        </w:rPr>
      </w:pPr>
      <w:r>
        <w:rPr>
          <w:rFonts w:hint="eastAsia" w:ascii="仿宋_GB2312" w:hAnsi="宋体" w:eastAsia="仿宋_GB2312" w:cs="黑体"/>
          <w:b/>
          <w:bCs w:val="0"/>
          <w:spacing w:val="20"/>
          <w:w w:val="105"/>
          <w:sz w:val="32"/>
          <w:szCs w:val="32"/>
        </w:rPr>
        <w:t>产品质量监督抽查实施细则</w:t>
      </w:r>
    </w:p>
    <w:p>
      <w:pPr>
        <w:jc w:val="center"/>
        <w:rPr>
          <w:rFonts w:hint="eastAsia" w:ascii="仿宋_GB2312" w:hAnsi="宋体" w:eastAsia="仿宋_GB2312" w:cs="黑体"/>
          <w:b w:val="0"/>
          <w:bCs/>
          <w:spacing w:val="20"/>
          <w:w w:val="105"/>
          <w:sz w:val="36"/>
          <w:szCs w:val="36"/>
        </w:rPr>
      </w:pP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hint="eastAsia" w:ascii="仿宋_GB2312" w:hAnsi="宋体" w:eastAsia="仿宋_GB2312"/>
          <w:b/>
          <w:bCs/>
          <w:sz w:val="28"/>
          <w:szCs w:val="28"/>
        </w:rPr>
      </w:pPr>
      <w:r>
        <w:rPr>
          <w:rFonts w:hint="eastAsia" w:ascii="仿宋_GB2312" w:hAnsi="宋体" w:eastAsia="仿宋_GB2312"/>
          <w:b/>
          <w:bCs/>
          <w:sz w:val="28"/>
          <w:szCs w:val="28"/>
        </w:rPr>
        <w:t>1适用范围</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本细则适用于</w:t>
      </w:r>
      <w:r>
        <w:rPr>
          <w:rFonts w:hint="eastAsia" w:ascii="仿宋_GB2312" w:hAnsi="宋体" w:eastAsia="仿宋_GB2312"/>
          <w:sz w:val="28"/>
          <w:szCs w:val="28"/>
          <w:lang w:val="en-US" w:eastAsia="zh-CN"/>
        </w:rPr>
        <w:t>2024年兴隆台区消防器材</w:t>
      </w:r>
      <w:r>
        <w:rPr>
          <w:rFonts w:hint="eastAsia" w:ascii="仿宋_GB2312" w:hAnsi="宋体" w:eastAsia="仿宋_GB2312"/>
          <w:sz w:val="28"/>
          <w:szCs w:val="28"/>
        </w:rPr>
        <w:t>产品质量</w:t>
      </w:r>
      <w:r>
        <w:rPr>
          <w:rFonts w:hint="eastAsia" w:ascii="仿宋_GB2312" w:hAnsi="宋体" w:eastAsia="仿宋_GB2312"/>
          <w:sz w:val="28"/>
          <w:szCs w:val="28"/>
          <w:lang w:val="en-US" w:eastAsia="zh-CN"/>
        </w:rPr>
        <w:t>市</w:t>
      </w:r>
      <w:r>
        <w:rPr>
          <w:rFonts w:hint="eastAsia" w:ascii="仿宋_GB2312" w:hAnsi="宋体" w:eastAsia="仿宋_GB2312"/>
          <w:sz w:val="28"/>
          <w:szCs w:val="28"/>
        </w:rPr>
        <w:t>级监督抽查，针对特殊情况的专项抽查可参照执行。</w:t>
      </w:r>
      <w:r>
        <w:rPr>
          <w:rFonts w:hint="eastAsia" w:ascii="仿宋_GB2312" w:hAnsi="Calibri" w:eastAsia="仿宋_GB2312" w:cs="Times New Roman"/>
          <w:sz w:val="28"/>
          <w:szCs w:val="28"/>
        </w:rPr>
        <w:t>本细则内容包括产品分类、术语和定义、生产企业规模划分、检验依据、抽样、检验要求、判定原则、异议处理</w:t>
      </w:r>
      <w:r>
        <w:rPr>
          <w:rFonts w:hint="eastAsia" w:ascii="仿宋_GB2312" w:eastAsia="仿宋_GB2312" w:cs="Times New Roman"/>
          <w:sz w:val="28"/>
          <w:szCs w:val="28"/>
          <w:lang w:val="en-US" w:eastAsia="zh-CN"/>
        </w:rPr>
        <w:t>及附则</w:t>
      </w:r>
      <w:r>
        <w:rPr>
          <w:rFonts w:hint="eastAsia" w:ascii="仿宋_GB2312" w:hAnsi="Calibri" w:eastAsia="仿宋_GB2312" w:cs="Times New Roman"/>
          <w:sz w:val="28"/>
          <w:szCs w:val="28"/>
        </w:rPr>
        <w:t>。</w:t>
      </w: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hint="eastAsia" w:ascii="仿宋_GB2312" w:hAnsi="宋体" w:eastAsia="仿宋_GB2312"/>
          <w:b/>
          <w:bCs/>
          <w:sz w:val="28"/>
          <w:szCs w:val="28"/>
        </w:rPr>
      </w:pPr>
      <w:r>
        <w:rPr>
          <w:rFonts w:hint="eastAsia" w:ascii="仿宋_GB2312" w:hAnsi="宋体" w:eastAsia="仿宋_GB2312"/>
          <w:b/>
          <w:bCs/>
          <w:sz w:val="28"/>
          <w:szCs w:val="28"/>
        </w:rPr>
        <w:t>2 产品分类、术语和定义</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2.1 产品分类及代码，见表1。</w:t>
      </w:r>
    </w:p>
    <w:p>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表1  产品分类及代码</w:t>
      </w:r>
    </w:p>
    <w:tbl>
      <w:tblPr>
        <w:tblStyle w:val="5"/>
        <w:tblW w:w="9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3"/>
        <w:gridCol w:w="1740"/>
        <w:gridCol w:w="1860"/>
        <w:gridCol w:w="2025"/>
        <w:gridCol w:w="2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产品分类</w:t>
            </w:r>
          </w:p>
        </w:tc>
        <w:tc>
          <w:tcPr>
            <w:tcW w:w="174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一级分类</w:t>
            </w:r>
          </w:p>
        </w:tc>
        <w:tc>
          <w:tcPr>
            <w:tcW w:w="186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二级分类</w:t>
            </w:r>
          </w:p>
        </w:tc>
        <w:tc>
          <w:tcPr>
            <w:tcW w:w="2025"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产品编码</w:t>
            </w:r>
            <w:r>
              <w:rPr>
                <w:rFonts w:hint="eastAsia" w:ascii="仿宋" w:hAnsi="仿宋" w:eastAsia="仿宋" w:cs="仿宋"/>
                <w:sz w:val="24"/>
                <w:szCs w:val="24"/>
                <w:lang w:eastAsia="zh-CN"/>
              </w:rPr>
              <w:t>及名称</w:t>
            </w:r>
          </w:p>
        </w:tc>
        <w:tc>
          <w:tcPr>
            <w:tcW w:w="2141" w:type="dxa"/>
            <w:noWrap w:val="0"/>
            <w:vAlign w:val="center"/>
          </w:tcPr>
          <w:p>
            <w:pPr>
              <w:snapToGrid w:val="0"/>
              <w:spacing w:line="360" w:lineRule="exact"/>
              <w:jc w:val="center"/>
              <w:rPr>
                <w:rFonts w:hint="eastAsia" w:ascii="仿宋" w:hAnsi="仿宋" w:eastAsia="仿宋" w:cs="仿宋"/>
                <w:sz w:val="24"/>
                <w:szCs w:val="24"/>
                <w:lang w:eastAsia="zh-CN"/>
              </w:rPr>
            </w:pPr>
            <w:r>
              <w:rPr>
                <w:rFonts w:hint="eastAsia" w:ascii="仿宋" w:hAnsi="仿宋" w:eastAsia="仿宋" w:cs="仿宋"/>
                <w:sz w:val="24"/>
                <w:szCs w:val="24"/>
              </w:rPr>
              <w:t>属性编码</w:t>
            </w:r>
            <w:r>
              <w:rPr>
                <w:rFonts w:hint="eastAsia" w:ascii="仿宋" w:hAnsi="仿宋" w:eastAsia="仿宋" w:cs="仿宋"/>
                <w:sz w:val="24"/>
                <w:szCs w:val="24"/>
                <w:lang w:eastAsia="zh-CN"/>
              </w:rPr>
              <w:t>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分类代码</w:t>
            </w:r>
          </w:p>
        </w:tc>
        <w:tc>
          <w:tcPr>
            <w:tcW w:w="1740" w:type="dxa"/>
            <w:noWrap w:val="0"/>
            <w:vAlign w:val="center"/>
          </w:tcPr>
          <w:p>
            <w:pPr>
              <w:snapToGrid w:val="0"/>
              <w:spacing w:line="3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0</w:t>
            </w:r>
            <w:r>
              <w:rPr>
                <w:rFonts w:hint="eastAsia" w:ascii="仿宋" w:hAnsi="仿宋" w:cs="仿宋"/>
                <w:sz w:val="24"/>
                <w:szCs w:val="24"/>
                <w:lang w:val="en-US" w:eastAsia="zh-CN"/>
              </w:rPr>
              <w:t>6</w:t>
            </w:r>
          </w:p>
        </w:tc>
        <w:tc>
          <w:tcPr>
            <w:tcW w:w="1860" w:type="dxa"/>
            <w:noWrap w:val="0"/>
            <w:vAlign w:val="center"/>
          </w:tcPr>
          <w:p>
            <w:pPr>
              <w:snapToGrid w:val="0"/>
              <w:spacing w:line="3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07</w:t>
            </w:r>
          </w:p>
        </w:tc>
        <w:tc>
          <w:tcPr>
            <w:tcW w:w="2025" w:type="dxa"/>
            <w:noWrap w:val="0"/>
            <w:vAlign w:val="center"/>
          </w:tcPr>
          <w:p>
            <w:pPr>
              <w:snapToGrid w:val="0"/>
              <w:spacing w:line="3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2141" w:type="dxa"/>
            <w:noWrap w:val="0"/>
            <w:vAlign w:val="center"/>
          </w:tcPr>
          <w:p>
            <w:pPr>
              <w:snapToGrid w:val="0"/>
              <w:spacing w:line="3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w:t>
            </w:r>
            <w:r>
              <w:rPr>
                <w:rFonts w:hint="eastAsia" w:ascii="仿宋" w:hAnsi="仿宋" w:cs="仿宋"/>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分类名称</w:t>
            </w:r>
          </w:p>
        </w:tc>
        <w:tc>
          <w:tcPr>
            <w:tcW w:w="174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机械及安防</w:t>
            </w:r>
          </w:p>
        </w:tc>
        <w:tc>
          <w:tcPr>
            <w:tcW w:w="186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消防器材</w:t>
            </w:r>
          </w:p>
        </w:tc>
        <w:tc>
          <w:tcPr>
            <w:tcW w:w="2025"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手提式灭火器</w:t>
            </w:r>
          </w:p>
        </w:tc>
        <w:tc>
          <w:tcPr>
            <w:tcW w:w="2141" w:type="dxa"/>
            <w:noWrap w:val="0"/>
            <w:vAlign w:val="center"/>
          </w:tcPr>
          <w:p>
            <w:pPr>
              <w:snapToGrid w:val="0"/>
              <w:spacing w:line="3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手提式干粉灭火器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分类代码</w:t>
            </w:r>
          </w:p>
        </w:tc>
        <w:tc>
          <w:tcPr>
            <w:tcW w:w="174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0</w:t>
            </w:r>
            <w:r>
              <w:rPr>
                <w:rFonts w:hint="eastAsia" w:ascii="仿宋" w:hAnsi="仿宋" w:cs="仿宋"/>
                <w:sz w:val="24"/>
                <w:szCs w:val="24"/>
                <w:lang w:val="en-US" w:eastAsia="zh-CN"/>
              </w:rPr>
              <w:t>6</w:t>
            </w:r>
          </w:p>
        </w:tc>
        <w:tc>
          <w:tcPr>
            <w:tcW w:w="186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07</w:t>
            </w:r>
          </w:p>
        </w:tc>
        <w:tc>
          <w:tcPr>
            <w:tcW w:w="2025" w:type="dxa"/>
            <w:noWrap w:val="0"/>
            <w:vAlign w:val="center"/>
          </w:tcPr>
          <w:p>
            <w:pPr>
              <w:snapToGrid w:val="0"/>
              <w:spacing w:line="3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18</w:t>
            </w:r>
          </w:p>
        </w:tc>
        <w:tc>
          <w:tcPr>
            <w:tcW w:w="2141" w:type="dxa"/>
            <w:noWrap w:val="0"/>
            <w:vAlign w:val="center"/>
          </w:tcPr>
          <w:p>
            <w:pPr>
              <w:snapToGrid w:val="0"/>
              <w:spacing w:line="3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分类名称</w:t>
            </w:r>
          </w:p>
        </w:tc>
        <w:tc>
          <w:tcPr>
            <w:tcW w:w="174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机械及安防</w:t>
            </w:r>
          </w:p>
        </w:tc>
        <w:tc>
          <w:tcPr>
            <w:tcW w:w="186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消防器材</w:t>
            </w:r>
          </w:p>
        </w:tc>
        <w:tc>
          <w:tcPr>
            <w:tcW w:w="2025"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消防水带</w:t>
            </w:r>
          </w:p>
        </w:tc>
        <w:tc>
          <w:tcPr>
            <w:tcW w:w="2141" w:type="dxa"/>
            <w:noWrap w:val="0"/>
            <w:vAlign w:val="center"/>
          </w:tcPr>
          <w:p>
            <w:pPr>
              <w:snapToGrid w:val="0"/>
              <w:spacing w:line="3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分类代码</w:t>
            </w:r>
          </w:p>
        </w:tc>
        <w:tc>
          <w:tcPr>
            <w:tcW w:w="174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0</w:t>
            </w:r>
            <w:r>
              <w:rPr>
                <w:rFonts w:hint="eastAsia" w:ascii="仿宋" w:hAnsi="仿宋" w:cs="仿宋"/>
                <w:sz w:val="24"/>
                <w:szCs w:val="24"/>
                <w:lang w:val="en-US" w:eastAsia="zh-CN"/>
              </w:rPr>
              <w:t>6</w:t>
            </w:r>
          </w:p>
        </w:tc>
        <w:tc>
          <w:tcPr>
            <w:tcW w:w="186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07</w:t>
            </w:r>
          </w:p>
        </w:tc>
        <w:tc>
          <w:tcPr>
            <w:tcW w:w="2025" w:type="dxa"/>
            <w:noWrap w:val="0"/>
            <w:vAlign w:val="center"/>
          </w:tcPr>
          <w:p>
            <w:pPr>
              <w:snapToGrid w:val="0"/>
              <w:spacing w:line="360" w:lineRule="exact"/>
              <w:jc w:val="center"/>
              <w:rPr>
                <w:rFonts w:hint="default" w:ascii="仿宋" w:hAnsi="仿宋" w:eastAsia="仿宋" w:cs="仿宋"/>
                <w:sz w:val="24"/>
                <w:szCs w:val="24"/>
                <w:lang w:val="en-US"/>
              </w:rPr>
            </w:pPr>
            <w:r>
              <w:rPr>
                <w:rFonts w:hint="eastAsia" w:ascii="仿宋" w:hAnsi="仿宋" w:eastAsia="仿宋" w:cs="仿宋"/>
                <w:sz w:val="24"/>
                <w:szCs w:val="24"/>
                <w:lang w:val="en-US" w:eastAsia="zh-CN"/>
              </w:rPr>
              <w:t>19</w:t>
            </w:r>
          </w:p>
        </w:tc>
        <w:tc>
          <w:tcPr>
            <w:tcW w:w="2141" w:type="dxa"/>
            <w:noWrap w:val="0"/>
            <w:vAlign w:val="center"/>
          </w:tcPr>
          <w:p>
            <w:pPr>
              <w:snapToGrid w:val="0"/>
              <w:spacing w:line="3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分类名称</w:t>
            </w:r>
          </w:p>
        </w:tc>
        <w:tc>
          <w:tcPr>
            <w:tcW w:w="174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机械及安防</w:t>
            </w:r>
          </w:p>
        </w:tc>
        <w:tc>
          <w:tcPr>
            <w:tcW w:w="186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消防器材</w:t>
            </w:r>
          </w:p>
        </w:tc>
        <w:tc>
          <w:tcPr>
            <w:tcW w:w="2025"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消防应急灯具</w:t>
            </w:r>
          </w:p>
        </w:tc>
        <w:tc>
          <w:tcPr>
            <w:tcW w:w="2141" w:type="dxa"/>
            <w:noWrap w:val="0"/>
            <w:vAlign w:val="center"/>
          </w:tcPr>
          <w:p>
            <w:pPr>
              <w:snapToGrid w:val="0"/>
              <w:spacing w:line="3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分类代码</w:t>
            </w:r>
          </w:p>
        </w:tc>
        <w:tc>
          <w:tcPr>
            <w:tcW w:w="174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0</w:t>
            </w:r>
            <w:r>
              <w:rPr>
                <w:rFonts w:hint="eastAsia" w:ascii="仿宋" w:hAnsi="仿宋" w:cs="仿宋"/>
                <w:sz w:val="24"/>
                <w:szCs w:val="24"/>
                <w:lang w:val="en-US" w:eastAsia="zh-CN"/>
              </w:rPr>
              <w:t>6</w:t>
            </w:r>
          </w:p>
        </w:tc>
        <w:tc>
          <w:tcPr>
            <w:tcW w:w="186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07</w:t>
            </w:r>
          </w:p>
        </w:tc>
        <w:tc>
          <w:tcPr>
            <w:tcW w:w="2025" w:type="dxa"/>
            <w:noWrap w:val="0"/>
            <w:vAlign w:val="center"/>
          </w:tcPr>
          <w:p>
            <w:pPr>
              <w:snapToGrid w:val="0"/>
              <w:spacing w:line="360" w:lineRule="exact"/>
              <w:jc w:val="center"/>
              <w:rPr>
                <w:rFonts w:hint="default" w:ascii="仿宋" w:hAnsi="仿宋" w:eastAsia="仿宋" w:cs="仿宋"/>
                <w:sz w:val="24"/>
                <w:szCs w:val="24"/>
                <w:lang w:val="en-US"/>
              </w:rPr>
            </w:pPr>
            <w:r>
              <w:rPr>
                <w:rFonts w:hint="eastAsia" w:ascii="仿宋" w:hAnsi="仿宋" w:eastAsia="仿宋" w:cs="仿宋"/>
                <w:sz w:val="24"/>
                <w:szCs w:val="24"/>
                <w:lang w:val="en-US" w:eastAsia="zh-CN"/>
              </w:rPr>
              <w:t>23</w:t>
            </w:r>
          </w:p>
        </w:tc>
        <w:tc>
          <w:tcPr>
            <w:tcW w:w="2141" w:type="dxa"/>
            <w:noWrap w:val="0"/>
            <w:vAlign w:val="center"/>
          </w:tcPr>
          <w:p>
            <w:pPr>
              <w:snapToGrid w:val="0"/>
              <w:spacing w:line="3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分类名称</w:t>
            </w:r>
          </w:p>
        </w:tc>
        <w:tc>
          <w:tcPr>
            <w:tcW w:w="174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机械及安防</w:t>
            </w:r>
          </w:p>
        </w:tc>
        <w:tc>
          <w:tcPr>
            <w:tcW w:w="186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消防器材</w:t>
            </w:r>
          </w:p>
        </w:tc>
        <w:tc>
          <w:tcPr>
            <w:tcW w:w="2025"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过滤式消防自救呼吸器</w:t>
            </w:r>
          </w:p>
        </w:tc>
        <w:tc>
          <w:tcPr>
            <w:tcW w:w="2141" w:type="dxa"/>
            <w:noWrap w:val="0"/>
            <w:vAlign w:val="center"/>
          </w:tcPr>
          <w:p>
            <w:pPr>
              <w:snapToGrid w:val="0"/>
              <w:spacing w:line="3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w:t>
            </w:r>
          </w:p>
        </w:tc>
      </w:tr>
    </w:tbl>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2.2产品种类</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
          <w:sz w:val="28"/>
          <w:szCs w:val="28"/>
          <w:lang w:val="en-US" w:eastAsia="zh-CN"/>
        </w:rPr>
      </w:pPr>
      <w:r>
        <w:rPr>
          <w:rFonts w:hint="eastAsia" w:ascii="仿宋_GB2312" w:hAnsi="宋体" w:eastAsia="仿宋_GB2312"/>
          <w:sz w:val="28"/>
          <w:szCs w:val="28"/>
          <w:lang w:val="en-US" w:eastAsia="zh-CN"/>
        </w:rPr>
        <w:t>此次监督抽查涉及的产品有：手提式干粉灭火器、消防水带、</w:t>
      </w:r>
      <w:r>
        <w:rPr>
          <w:rFonts w:hint="eastAsia" w:ascii="仿宋" w:hAnsi="仿宋" w:eastAsia="仿宋" w:cs="仿宋"/>
          <w:sz w:val="28"/>
          <w:szCs w:val="28"/>
        </w:rPr>
        <w:t>消防应急灯具</w:t>
      </w:r>
      <w:r>
        <w:rPr>
          <w:rFonts w:hint="eastAsia" w:ascii="仿宋" w:hAnsi="仿宋" w:eastAsia="仿宋" w:cs="仿宋"/>
          <w:sz w:val="28"/>
          <w:szCs w:val="28"/>
          <w:lang w:eastAsia="zh-CN"/>
        </w:rPr>
        <w:t>、</w:t>
      </w:r>
      <w:r>
        <w:rPr>
          <w:rFonts w:hint="eastAsia" w:ascii="仿宋" w:hAnsi="仿宋" w:eastAsia="仿宋" w:cs="仿宋"/>
          <w:sz w:val="28"/>
          <w:szCs w:val="28"/>
        </w:rPr>
        <w:t>过滤式消防自救呼吸器</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2.3术语和定义</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2" w:firstLineChars="200"/>
        <w:textAlignment w:val="auto"/>
        <w:rPr>
          <w:rFonts w:hint="eastAsia" w:ascii="仿宋_GB2312" w:hAnsi="宋体" w:eastAsia="仿宋_GB2312"/>
          <w:b/>
          <w:bCs/>
          <w:sz w:val="28"/>
          <w:szCs w:val="28"/>
        </w:rPr>
      </w:pPr>
      <w:r>
        <w:rPr>
          <w:rFonts w:hint="eastAsia" w:ascii="仿宋_GB2312" w:hAnsi="宋体" w:eastAsia="仿宋_GB2312"/>
          <w:b/>
          <w:bCs/>
          <w:sz w:val="28"/>
          <w:szCs w:val="28"/>
        </w:rPr>
        <w:t xml:space="preserve">3 </w:t>
      </w:r>
      <w:r>
        <w:rPr>
          <w:rFonts w:hint="eastAsia" w:ascii="仿宋_GB2312" w:hAnsi="宋体" w:eastAsia="仿宋_GB2312"/>
          <w:b/>
          <w:bCs/>
          <w:sz w:val="28"/>
          <w:szCs w:val="28"/>
          <w:lang w:val="en-US" w:eastAsia="zh-CN"/>
        </w:rPr>
        <w:t>企业</w:t>
      </w:r>
      <w:r>
        <w:rPr>
          <w:rFonts w:hint="eastAsia" w:ascii="仿宋_GB2312" w:hAnsi="宋体" w:eastAsia="仿宋_GB2312"/>
          <w:b/>
          <w:bCs/>
          <w:sz w:val="28"/>
          <w:szCs w:val="28"/>
        </w:rPr>
        <w:t>规模划分</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根据国家统计局印发的相关管理办法，确定</w:t>
      </w:r>
      <w:r>
        <w:rPr>
          <w:rFonts w:hint="eastAsia" w:ascii="仿宋_GB2312" w:hAnsi="宋体" w:eastAsia="仿宋_GB2312"/>
          <w:sz w:val="28"/>
          <w:szCs w:val="28"/>
          <w:lang w:val="en-US" w:eastAsia="zh-CN"/>
        </w:rPr>
        <w:t>生产</w:t>
      </w:r>
      <w:r>
        <w:rPr>
          <w:rFonts w:hint="eastAsia" w:ascii="仿宋_GB2312" w:hAnsi="宋体" w:eastAsia="仿宋_GB2312"/>
          <w:sz w:val="28"/>
          <w:szCs w:val="28"/>
        </w:rPr>
        <w:t>企业规模。</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2" w:firstLineChars="200"/>
        <w:textAlignment w:val="auto"/>
        <w:rPr>
          <w:rFonts w:hint="eastAsia" w:ascii="仿宋_GB2312" w:hAnsi="宋体" w:eastAsia="仿宋_GB2312"/>
          <w:b/>
          <w:bCs/>
          <w:sz w:val="28"/>
          <w:szCs w:val="28"/>
        </w:rPr>
      </w:pPr>
      <w:r>
        <w:rPr>
          <w:rFonts w:hint="eastAsia" w:ascii="仿宋_GB2312" w:hAnsi="宋体" w:eastAsia="仿宋_GB2312"/>
          <w:b/>
          <w:bCs/>
          <w:sz w:val="28"/>
          <w:szCs w:val="28"/>
        </w:rPr>
        <w:t>4 检验依据</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GB4351.1-2005 《手提式灭火器第1部分:性能和结构要求》</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GB</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4066-2017</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《干粉灭火剂》</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default" w:ascii="仿宋_GB2312" w:hAnsi="宋体" w:eastAsia="仿宋_GB2312"/>
          <w:sz w:val="28"/>
          <w:szCs w:val="28"/>
          <w:lang w:val="en-US" w:eastAsia="zh-CN"/>
        </w:rPr>
      </w:pPr>
      <w:r>
        <w:rPr>
          <w:rFonts w:hint="eastAsia" w:ascii="仿宋_GB2312" w:hAnsi="宋体" w:eastAsia="仿宋_GB2312"/>
          <w:sz w:val="28"/>
          <w:szCs w:val="28"/>
        </w:rPr>
        <w:t>GB 6246-2011</w:t>
      </w:r>
      <w:r>
        <w:rPr>
          <w:rFonts w:hint="eastAsia" w:ascii="仿宋_GB2312" w:hAnsi="宋体" w:eastAsia="仿宋_GB2312"/>
          <w:sz w:val="28"/>
          <w:szCs w:val="28"/>
          <w:lang w:val="en-US" w:eastAsia="zh-CN"/>
        </w:rPr>
        <w:t xml:space="preserve">  《消防水带》</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GB 17945-2010</w:t>
      </w:r>
      <w:r>
        <w:rPr>
          <w:rFonts w:hint="eastAsia" w:ascii="仿宋_GB2312" w:hAnsi="宋体" w:eastAsia="仿宋_GB2312"/>
          <w:sz w:val="28"/>
          <w:szCs w:val="28"/>
          <w:lang w:val="en-US" w:eastAsia="zh-CN"/>
        </w:rPr>
        <w:t xml:space="preserve"> 《消防应急照明和疏散指示系统》</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lang w:eastAsia="zh-CN"/>
        </w:rPr>
      </w:pPr>
      <w:r>
        <w:rPr>
          <w:rFonts w:hint="eastAsia" w:ascii="仿宋_GB2312" w:hAnsi="宋体" w:eastAsia="仿宋_GB2312"/>
          <w:sz w:val="28"/>
          <w:szCs w:val="28"/>
        </w:rPr>
        <w:t>GB 21976.7-2012</w:t>
      </w:r>
      <w:r>
        <w:rPr>
          <w:rFonts w:hint="eastAsia" w:ascii="仿宋_GB2312" w:hAnsi="宋体" w:eastAsia="仿宋_GB2312"/>
          <w:sz w:val="28"/>
          <w:szCs w:val="28"/>
          <w:lang w:eastAsia="zh-CN"/>
        </w:rPr>
        <w:t>《建筑火灾逃生避难器材第7部分：过滤式消防自救呼吸器》</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相关的法律法规、部门规章和规范</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经公示现行有效的企业标准、团体标准和地方标准及产品明示质量要求</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2" w:firstLineChars="200"/>
        <w:textAlignment w:val="auto"/>
        <w:rPr>
          <w:rFonts w:hint="eastAsia" w:ascii="仿宋_GB2312" w:hAnsi="宋体" w:eastAsia="仿宋_GB2312"/>
          <w:b/>
          <w:bCs/>
          <w:sz w:val="28"/>
          <w:szCs w:val="28"/>
        </w:rPr>
      </w:pPr>
      <w:r>
        <w:rPr>
          <w:rFonts w:hint="eastAsia" w:ascii="仿宋_GB2312" w:hAnsi="宋体" w:eastAsia="仿宋_GB2312"/>
          <w:b/>
          <w:bCs/>
          <w:sz w:val="28"/>
          <w:szCs w:val="28"/>
        </w:rPr>
        <w:t>5 抽样</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5.1 抽样型号规格</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抽取样品应为同一型号规格、同一批次的产品。优先抽取企业产量较大的产品。</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5.2 抽样方法、基数及数量</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5.2.1抽样方法</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在企业成品仓库内或者市场待销产品中随机抽取近期生产的同一规格型号、同一批次，并有产品质量检验合格证明或者以其他形式表明合格的产品。</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5.2.2抽样基数</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在市场</w:t>
      </w:r>
      <w:r>
        <w:rPr>
          <w:rFonts w:hint="eastAsia" w:ascii="仿宋_GB2312" w:hAnsi="宋体" w:eastAsia="仿宋_GB2312"/>
          <w:sz w:val="28"/>
          <w:szCs w:val="28"/>
          <w:lang w:val="en-US" w:eastAsia="zh-CN"/>
        </w:rPr>
        <w:t>流通领域</w:t>
      </w:r>
      <w:r>
        <w:rPr>
          <w:rFonts w:hint="eastAsia" w:ascii="仿宋_GB2312" w:hAnsi="宋体" w:eastAsia="仿宋_GB2312"/>
          <w:sz w:val="28"/>
          <w:szCs w:val="28"/>
        </w:rPr>
        <w:t>抽样时，抽样基数满足抽样数量即可。</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5.2.3 抽样数量</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jc w:val="center"/>
        <w:textAlignment w:val="auto"/>
        <w:rPr>
          <w:rFonts w:hint="eastAsia" w:ascii="仿宋" w:hAnsi="仿宋" w:eastAsia="仿宋" w:cs="仿宋"/>
          <w:sz w:val="28"/>
          <w:szCs w:val="28"/>
        </w:rPr>
      </w:pPr>
      <w:r>
        <w:rPr>
          <w:rFonts w:hint="eastAsia" w:ascii="仿宋" w:hAnsi="仿宋" w:eastAsia="仿宋" w:cs="仿宋"/>
          <w:sz w:val="28"/>
          <w:szCs w:val="28"/>
        </w:rPr>
        <w:t>表2 抽样数量</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1843"/>
        <w:gridCol w:w="1843"/>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trPr>
        <w:tc>
          <w:tcPr>
            <w:tcW w:w="3085"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产品</w:t>
            </w:r>
          </w:p>
        </w:tc>
        <w:tc>
          <w:tcPr>
            <w:tcW w:w="1843"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抽样数量</w:t>
            </w:r>
          </w:p>
        </w:tc>
        <w:tc>
          <w:tcPr>
            <w:tcW w:w="1843"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检样教量</w:t>
            </w:r>
          </w:p>
        </w:tc>
        <w:tc>
          <w:tcPr>
            <w:tcW w:w="1751"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备样数量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3085"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 w:hAnsi="仿宋" w:eastAsia="仿宋" w:cs="仿宋"/>
                <w:sz w:val="24"/>
                <w:szCs w:val="24"/>
              </w:rPr>
            </w:pPr>
            <w:r>
              <w:rPr>
                <w:rFonts w:hint="eastAsia" w:ascii="仿宋_GB2312" w:hAnsi="宋体" w:eastAsia="仿宋_GB2312"/>
                <w:sz w:val="24"/>
                <w:szCs w:val="24"/>
                <w:lang w:val="en-US" w:eastAsia="zh-CN"/>
              </w:rPr>
              <w:t>手提式干粉灭火器</w:t>
            </w:r>
          </w:p>
        </w:tc>
        <w:tc>
          <w:tcPr>
            <w:tcW w:w="1843"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6具</w:t>
            </w:r>
          </w:p>
        </w:tc>
        <w:tc>
          <w:tcPr>
            <w:tcW w:w="1843"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3具</w:t>
            </w:r>
          </w:p>
        </w:tc>
        <w:tc>
          <w:tcPr>
            <w:tcW w:w="1751"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085"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 w:hAnsi="仿宋" w:eastAsia="仿宋" w:cs="仿宋"/>
                <w:sz w:val="24"/>
                <w:szCs w:val="24"/>
              </w:rPr>
            </w:pPr>
            <w:r>
              <w:rPr>
                <w:rFonts w:hint="eastAsia" w:ascii="仿宋_GB2312" w:hAnsi="宋体" w:eastAsia="仿宋_GB2312"/>
                <w:sz w:val="24"/>
                <w:szCs w:val="24"/>
                <w:lang w:val="en-US" w:eastAsia="zh-CN"/>
              </w:rPr>
              <w:t>消防水带</w:t>
            </w:r>
          </w:p>
        </w:tc>
        <w:tc>
          <w:tcPr>
            <w:tcW w:w="1843"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3盘</w:t>
            </w:r>
          </w:p>
        </w:tc>
        <w:tc>
          <w:tcPr>
            <w:tcW w:w="1843"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2盘</w:t>
            </w:r>
          </w:p>
        </w:tc>
        <w:tc>
          <w:tcPr>
            <w:tcW w:w="1751"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085"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消防应急灯具</w:t>
            </w:r>
          </w:p>
        </w:tc>
        <w:tc>
          <w:tcPr>
            <w:tcW w:w="1843"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4副</w:t>
            </w:r>
          </w:p>
        </w:tc>
        <w:tc>
          <w:tcPr>
            <w:tcW w:w="1843"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2副</w:t>
            </w:r>
          </w:p>
        </w:tc>
        <w:tc>
          <w:tcPr>
            <w:tcW w:w="1751"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085"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过滤式消防自救呼吸器</w:t>
            </w:r>
          </w:p>
        </w:tc>
        <w:tc>
          <w:tcPr>
            <w:tcW w:w="1843"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4副</w:t>
            </w:r>
          </w:p>
        </w:tc>
        <w:tc>
          <w:tcPr>
            <w:tcW w:w="1843"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 w:hAnsi="仿宋" w:eastAsia="仿宋" w:cs="仿宋"/>
                <w:color w:val="000000"/>
                <w:sz w:val="24"/>
                <w:szCs w:val="24"/>
              </w:rPr>
            </w:pPr>
            <w:r>
              <w:rPr>
                <w:rFonts w:hint="eastAsia" w:ascii="仿宋" w:hAnsi="仿宋" w:eastAsia="仿宋" w:cs="仿宋"/>
                <w:sz w:val="24"/>
                <w:szCs w:val="24"/>
                <w:lang w:val="en-US" w:eastAsia="zh-CN"/>
              </w:rPr>
              <w:t>2副</w:t>
            </w:r>
          </w:p>
        </w:tc>
        <w:tc>
          <w:tcPr>
            <w:tcW w:w="1751" w:type="dxa"/>
            <w:vAlign w:val="center"/>
          </w:tcPr>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 w:hAnsi="仿宋" w:eastAsia="仿宋" w:cs="仿宋"/>
                <w:color w:val="000000"/>
                <w:sz w:val="24"/>
                <w:szCs w:val="24"/>
              </w:rPr>
            </w:pPr>
            <w:r>
              <w:rPr>
                <w:rFonts w:hint="eastAsia" w:ascii="仿宋" w:hAnsi="仿宋" w:eastAsia="仿宋" w:cs="仿宋"/>
                <w:sz w:val="24"/>
                <w:szCs w:val="24"/>
                <w:lang w:val="en-US" w:eastAsia="zh-CN"/>
              </w:rPr>
              <w:t>2副</w:t>
            </w:r>
          </w:p>
        </w:tc>
      </w:tr>
    </w:tbl>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5.3 样品处置</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样品在运输、存储过程中应保障样品拆封前的签封状态，且运输途中不得超出手提式灭火器的使用温度范围。</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snapToGrid w:val="0"/>
        <w:spacing w:beforeAutospacing="0" w:afterAutospacing="0" w:line="540" w:lineRule="exact"/>
        <w:ind w:firstLine="560" w:firstLineChars="200"/>
        <w:jc w:val="left"/>
        <w:textAlignment w:val="auto"/>
        <w:rPr>
          <w:rFonts w:hint="eastAsia"/>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r>
        <w:rPr>
          <w:rFonts w:hint="eastAsia" w:ascii="仿宋_GB2312" w:hAnsi="仿宋" w:eastAsia="仿宋_GB2312" w:cs="仿宋"/>
          <w:sz w:val="28"/>
          <w:szCs w:val="28"/>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5.5样品获取方式</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eastAsia="仿宋_GB2312"/>
          <w:sz w:val="28"/>
          <w:szCs w:val="28"/>
        </w:rPr>
      </w:pPr>
      <w:r>
        <w:rPr>
          <w:rFonts w:hint="eastAsia" w:ascii="仿宋_GB2312" w:hAnsi="仿宋" w:eastAsia="仿宋_GB2312" w:cs="仿宋"/>
          <w:sz w:val="28"/>
          <w:szCs w:val="28"/>
        </w:rPr>
        <w:t>监督抽查所需的</w:t>
      </w:r>
      <w:r>
        <w:rPr>
          <w:rFonts w:hint="eastAsia" w:ascii="仿宋_GB2312" w:hAnsi="仿宋" w:eastAsia="仿宋_GB2312" w:cs="仿宋"/>
          <w:sz w:val="28"/>
          <w:szCs w:val="28"/>
          <w:lang w:val="en-US" w:eastAsia="zh-CN"/>
        </w:rPr>
        <w:t>检验</w:t>
      </w:r>
      <w:r>
        <w:rPr>
          <w:rFonts w:hint="eastAsia" w:ascii="仿宋_GB2312" w:hAnsi="仿宋" w:eastAsia="仿宋_GB2312" w:cs="仿宋"/>
          <w:sz w:val="28"/>
          <w:szCs w:val="28"/>
        </w:rPr>
        <w:t>样品要在受检单位以购买方式获取</w:t>
      </w:r>
      <w:r>
        <w:rPr>
          <w:rFonts w:hint="eastAsia" w:ascii="仿宋_GB2312" w:hAnsi="仿宋" w:eastAsia="仿宋_GB2312" w:cs="仿宋"/>
          <w:sz w:val="28"/>
          <w:szCs w:val="28"/>
          <w:lang w:eastAsia="zh-CN"/>
        </w:rPr>
        <w:t>，</w:t>
      </w:r>
      <w:r>
        <w:rPr>
          <w:rFonts w:hint="eastAsia" w:ascii="仿宋" w:hAnsi="仿宋" w:eastAsia="仿宋" w:cs="仿宋"/>
          <w:sz w:val="28"/>
          <w:szCs w:val="28"/>
          <w:lang w:eastAsia="zh-CN"/>
        </w:rPr>
        <w:t>受检单位开具发票</w:t>
      </w:r>
      <w:r>
        <w:rPr>
          <w:rFonts w:hint="eastAsia" w:ascii="仿宋_GB2312" w:hAnsi="仿宋" w:eastAsia="仿宋_GB2312" w:cs="仿宋"/>
          <w:sz w:val="28"/>
          <w:szCs w:val="28"/>
        </w:rPr>
        <w:t>。</w:t>
      </w:r>
      <w:r>
        <w:rPr>
          <w:rFonts w:hint="eastAsia" w:ascii="仿宋_GB2312" w:eastAsia="仿宋_GB2312"/>
          <w:sz w:val="28"/>
          <w:szCs w:val="28"/>
        </w:rPr>
        <w:t>备用样品由</w:t>
      </w:r>
      <w:r>
        <w:rPr>
          <w:rFonts w:hint="eastAsia" w:ascii="仿宋_GB2312" w:hAnsi="仿宋" w:eastAsia="仿宋_GB2312" w:cs="仿宋"/>
          <w:sz w:val="28"/>
          <w:szCs w:val="28"/>
        </w:rPr>
        <w:t>受检单位</w:t>
      </w:r>
      <w:r>
        <w:rPr>
          <w:rFonts w:hint="eastAsia" w:ascii="仿宋_GB2312" w:eastAsia="仿宋_GB2312"/>
          <w:sz w:val="28"/>
          <w:szCs w:val="28"/>
        </w:rPr>
        <w:t>先行无偿提供。</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5.6抽样注意事项</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 xml:space="preserve">抽样时，抽样人员应当认真核实营业执照等被抽查企业的相关信息，确认企业不存在不得抽样的情形。遇有下列情况之一且能提供有效证明的，不得抽样： </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2" w:firstLineChars="200"/>
        <w:textAlignment w:val="auto"/>
        <w:rPr>
          <w:rFonts w:hint="eastAsia" w:ascii="仿宋_GB2312" w:hAnsi="宋体" w:eastAsia="仿宋_GB2312"/>
          <w:b/>
          <w:bCs/>
          <w:sz w:val="28"/>
          <w:szCs w:val="28"/>
        </w:rPr>
      </w:pPr>
      <w:r>
        <w:rPr>
          <w:rFonts w:hint="eastAsia" w:ascii="仿宋_GB2312" w:hAnsi="宋体" w:eastAsia="仿宋_GB2312"/>
          <w:b/>
          <w:bCs/>
          <w:sz w:val="28"/>
          <w:szCs w:val="28"/>
        </w:rPr>
        <w:t>6 检验要求</w:t>
      </w:r>
    </w:p>
    <w:p>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6.1 检验项目</w:t>
      </w:r>
    </w:p>
    <w:p>
      <w:pPr>
        <w:keepNext w:val="0"/>
        <w:keepLines w:val="0"/>
        <w:pageBreakBefore w:val="0"/>
        <w:widowControl w:val="0"/>
        <w:kinsoku/>
        <w:wordWrap/>
        <w:overflowPunct/>
        <w:topLinePunct w:val="0"/>
        <w:autoSpaceDE/>
        <w:autoSpaceDN/>
        <w:bidi w:val="0"/>
        <w:spacing w:beforeAutospacing="0" w:afterAutospacing="0" w:line="540" w:lineRule="exact"/>
        <w:contextualSpacing/>
        <w:jc w:val="center"/>
        <w:textAlignment w:val="auto"/>
        <w:rPr>
          <w:rFonts w:hint="eastAsia" w:ascii="仿宋" w:hAnsi="仿宋" w:eastAsia="仿宋" w:cs="仿宋"/>
          <w:b/>
          <w:sz w:val="28"/>
          <w:szCs w:val="28"/>
        </w:rPr>
      </w:pPr>
      <w:r>
        <w:rPr>
          <w:rFonts w:hint="eastAsia" w:ascii="仿宋" w:hAnsi="仿宋" w:eastAsia="仿宋" w:cs="仿宋"/>
          <w:color w:val="000000" w:themeColor="text1"/>
          <w:sz w:val="28"/>
          <w:szCs w:val="28"/>
        </w:rPr>
        <w:t>表</w:t>
      </w:r>
      <w:r>
        <w:rPr>
          <w:rFonts w:hint="eastAsia" w:ascii="仿宋" w:hAnsi="仿宋" w:eastAsia="仿宋" w:cs="仿宋"/>
          <w:color w:val="000000" w:themeColor="text1"/>
          <w:sz w:val="28"/>
          <w:szCs w:val="28"/>
          <w:lang w:val="en-US" w:eastAsia="zh-CN"/>
        </w:rPr>
        <w:t>3</w:t>
      </w:r>
      <w:r>
        <w:rPr>
          <w:rFonts w:hint="eastAsia" w:ascii="仿宋" w:hAnsi="仿宋" w:eastAsia="仿宋" w:cs="仿宋"/>
          <w:color w:val="000000" w:themeColor="text1"/>
          <w:sz w:val="28"/>
          <w:szCs w:val="28"/>
        </w:rPr>
        <w:t xml:space="preserve">  </w:t>
      </w:r>
      <w:r>
        <w:rPr>
          <w:rFonts w:hint="eastAsia" w:ascii="仿宋" w:hAnsi="仿宋" w:eastAsia="仿宋" w:cs="仿宋"/>
          <w:color w:val="000000" w:themeColor="text1"/>
          <w:sz w:val="28"/>
          <w:szCs w:val="28"/>
          <w:lang w:val="en-US" w:eastAsia="zh-CN"/>
        </w:rPr>
        <w:t>手提式干粉</w:t>
      </w:r>
      <w:r>
        <w:rPr>
          <w:rFonts w:hint="eastAsia" w:ascii="仿宋" w:hAnsi="仿宋" w:eastAsia="仿宋" w:cs="仿宋"/>
          <w:color w:val="000000" w:themeColor="text1"/>
          <w:sz w:val="28"/>
          <w:szCs w:val="28"/>
        </w:rPr>
        <w:t>灭火器产品检验项目</w:t>
      </w:r>
    </w:p>
    <w:tbl>
      <w:tblPr>
        <w:tblStyle w:val="6"/>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3337"/>
        <w:gridCol w:w="2159"/>
        <w:gridCol w:w="2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b w:val="0"/>
                <w:bCs/>
                <w:iCs/>
                <w:kern w:val="0"/>
                <w:sz w:val="24"/>
                <w:szCs w:val="24"/>
              </w:rPr>
            </w:pPr>
            <w:r>
              <w:rPr>
                <w:rFonts w:hint="eastAsia" w:ascii="仿宋" w:hAnsi="仿宋" w:eastAsia="仿宋" w:cs="仿宋"/>
                <w:b w:val="0"/>
                <w:bCs/>
                <w:iCs/>
                <w:kern w:val="0"/>
                <w:sz w:val="24"/>
                <w:szCs w:val="24"/>
              </w:rPr>
              <w:t>序号</w:t>
            </w:r>
          </w:p>
        </w:tc>
        <w:tc>
          <w:tcPr>
            <w:tcW w:w="3337"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122" w:leftChars="58"/>
              <w:jc w:val="center"/>
              <w:textAlignment w:val="auto"/>
              <w:rPr>
                <w:rFonts w:hint="eastAsia" w:ascii="仿宋" w:hAnsi="仿宋" w:eastAsia="仿宋" w:cs="仿宋"/>
                <w:b w:val="0"/>
                <w:bCs/>
                <w:iCs/>
                <w:kern w:val="0"/>
                <w:sz w:val="24"/>
                <w:szCs w:val="24"/>
              </w:rPr>
            </w:pPr>
            <w:r>
              <w:rPr>
                <w:rFonts w:hint="eastAsia" w:ascii="仿宋" w:hAnsi="仿宋" w:eastAsia="仿宋" w:cs="仿宋"/>
                <w:b w:val="0"/>
                <w:bCs/>
                <w:iCs/>
                <w:kern w:val="0"/>
                <w:sz w:val="24"/>
                <w:szCs w:val="24"/>
              </w:rPr>
              <w:t>检验项目</w:t>
            </w:r>
          </w:p>
        </w:tc>
        <w:tc>
          <w:tcPr>
            <w:tcW w:w="2159" w:type="dxa"/>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b w:val="0"/>
                <w:bCs/>
                <w:iCs/>
                <w:kern w:val="0"/>
                <w:sz w:val="24"/>
                <w:szCs w:val="24"/>
              </w:rPr>
            </w:pPr>
            <w:r>
              <w:rPr>
                <w:rFonts w:hint="eastAsia" w:ascii="仿宋" w:hAnsi="仿宋" w:eastAsia="仿宋" w:cs="仿宋"/>
                <w:b w:val="0"/>
                <w:bCs/>
                <w:kern w:val="0"/>
                <w:sz w:val="24"/>
                <w:szCs w:val="24"/>
              </w:rPr>
              <w:t>依据标准</w:t>
            </w:r>
          </w:p>
        </w:tc>
        <w:tc>
          <w:tcPr>
            <w:tcW w:w="2364" w:type="dxa"/>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b w:val="0"/>
                <w:bCs/>
                <w:iCs/>
                <w:kern w:val="0"/>
                <w:sz w:val="24"/>
                <w:szCs w:val="24"/>
              </w:rPr>
            </w:pPr>
            <w:r>
              <w:rPr>
                <w:rFonts w:hint="eastAsia" w:ascii="仿宋" w:hAnsi="仿宋" w:eastAsia="仿宋" w:cs="仿宋"/>
                <w:b w:val="0"/>
                <w:bCs/>
                <w:iCs/>
                <w:kern w:val="0"/>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1</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color w:val="auto"/>
                <w:sz w:val="24"/>
                <w:szCs w:val="24"/>
              </w:rPr>
              <w:t>20℃喷射性能</w:t>
            </w:r>
          </w:p>
        </w:tc>
        <w:tc>
          <w:tcPr>
            <w:tcW w:w="2159" w:type="dxa"/>
            <w:vAlign w:val="center"/>
          </w:tcPr>
          <w:p>
            <w:pPr>
              <w:keepNext w:val="0"/>
              <w:keepLines w:val="0"/>
              <w:pageBreakBefore w:val="0"/>
              <w:kinsoku/>
              <w:wordWrap/>
              <w:overflowPunct/>
              <w:topLinePunct w:val="0"/>
              <w:autoSpaceDE/>
              <w:autoSpaceDN/>
              <w:bidi w:val="0"/>
              <w:spacing w:before="100" w:beforeAutospacing="1" w:after="100" w:afterAutospacing="1" w:line="240" w:lineRule="auto"/>
              <w:contextualSpacing/>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GB4351.1-2005</w:t>
            </w:r>
          </w:p>
        </w:tc>
        <w:tc>
          <w:tcPr>
            <w:tcW w:w="2364" w:type="dxa"/>
            <w:vAlign w:val="center"/>
          </w:tcPr>
          <w:p>
            <w:pPr>
              <w:keepNext w:val="0"/>
              <w:keepLines w:val="0"/>
              <w:pageBreakBefore w:val="0"/>
              <w:kinsoku/>
              <w:wordWrap/>
              <w:overflowPunct/>
              <w:topLinePunct w:val="0"/>
              <w:autoSpaceDE/>
              <w:autoSpaceDN/>
              <w:bidi w:val="0"/>
              <w:spacing w:before="100" w:beforeAutospacing="1" w:after="100" w:afterAutospacing="1" w:line="240" w:lineRule="auto"/>
              <w:contextualSpacing/>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2</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color w:val="auto"/>
                <w:sz w:val="24"/>
                <w:szCs w:val="24"/>
              </w:rPr>
              <w:t>灭火器总质量</w:t>
            </w:r>
          </w:p>
        </w:tc>
        <w:tc>
          <w:tcPr>
            <w:tcW w:w="2159" w:type="dxa"/>
            <w:vAlign w:val="center"/>
          </w:tcPr>
          <w:p>
            <w:pPr>
              <w:keepNext w:val="0"/>
              <w:keepLines w:val="0"/>
              <w:pageBreakBefore w:val="0"/>
              <w:kinsoku/>
              <w:wordWrap/>
              <w:overflowPunct/>
              <w:topLinePunct w:val="0"/>
              <w:autoSpaceDE/>
              <w:autoSpaceDN/>
              <w:bidi w:val="0"/>
              <w:spacing w:before="100" w:beforeAutospacing="1" w:after="100" w:afterAutospacing="1" w:line="240" w:lineRule="auto"/>
              <w:contextualSpacing/>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GB4351.1-2005</w:t>
            </w:r>
          </w:p>
        </w:tc>
        <w:tc>
          <w:tcPr>
            <w:tcW w:w="2364" w:type="dxa"/>
            <w:vAlign w:val="center"/>
          </w:tcPr>
          <w:p>
            <w:pPr>
              <w:keepNext w:val="0"/>
              <w:keepLines w:val="0"/>
              <w:pageBreakBefore w:val="0"/>
              <w:kinsoku/>
              <w:wordWrap/>
              <w:overflowPunct/>
              <w:topLinePunct w:val="0"/>
              <w:autoSpaceDE/>
              <w:autoSpaceDN/>
              <w:bidi w:val="0"/>
              <w:spacing w:before="100" w:beforeAutospacing="1" w:after="100" w:afterAutospacing="1" w:line="240" w:lineRule="auto"/>
              <w:contextualSpacing/>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3</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color w:val="auto"/>
                <w:sz w:val="24"/>
                <w:szCs w:val="24"/>
              </w:rPr>
              <w:t>灭火剂充装量</w:t>
            </w:r>
          </w:p>
        </w:tc>
        <w:tc>
          <w:tcPr>
            <w:tcW w:w="2159" w:type="dxa"/>
            <w:vAlign w:val="center"/>
          </w:tcPr>
          <w:p>
            <w:pPr>
              <w:keepNext w:val="0"/>
              <w:keepLines w:val="0"/>
              <w:pageBreakBefore w:val="0"/>
              <w:kinsoku/>
              <w:wordWrap/>
              <w:overflowPunct/>
              <w:topLinePunct w:val="0"/>
              <w:autoSpaceDE/>
              <w:autoSpaceDN/>
              <w:bidi w:val="0"/>
              <w:spacing w:before="100" w:beforeAutospacing="1" w:after="100" w:afterAutospacing="1" w:line="240" w:lineRule="auto"/>
              <w:contextualSpacing/>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GB4351.1-2005</w:t>
            </w:r>
          </w:p>
        </w:tc>
        <w:tc>
          <w:tcPr>
            <w:tcW w:w="2364" w:type="dxa"/>
            <w:vAlign w:val="center"/>
          </w:tcPr>
          <w:p>
            <w:pPr>
              <w:keepNext w:val="0"/>
              <w:keepLines w:val="0"/>
              <w:pageBreakBefore w:val="0"/>
              <w:kinsoku/>
              <w:wordWrap/>
              <w:overflowPunct/>
              <w:topLinePunct w:val="0"/>
              <w:autoSpaceDE/>
              <w:autoSpaceDN/>
              <w:bidi w:val="0"/>
              <w:spacing w:before="100" w:beforeAutospacing="1" w:after="100" w:afterAutospacing="1" w:line="240" w:lineRule="auto"/>
              <w:contextualSpacing/>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4</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color w:val="auto"/>
                <w:sz w:val="24"/>
                <w:szCs w:val="24"/>
              </w:rPr>
              <w:t>筒体水压试验</w:t>
            </w:r>
          </w:p>
        </w:tc>
        <w:tc>
          <w:tcPr>
            <w:tcW w:w="2159" w:type="dxa"/>
            <w:vAlign w:val="center"/>
          </w:tcPr>
          <w:p>
            <w:pPr>
              <w:keepNext w:val="0"/>
              <w:keepLines w:val="0"/>
              <w:pageBreakBefore w:val="0"/>
              <w:kinsoku/>
              <w:wordWrap/>
              <w:overflowPunct/>
              <w:topLinePunct w:val="0"/>
              <w:autoSpaceDE/>
              <w:autoSpaceDN/>
              <w:bidi w:val="0"/>
              <w:spacing w:before="100" w:beforeAutospacing="1" w:after="100" w:afterAutospacing="1" w:line="240" w:lineRule="auto"/>
              <w:contextualSpacing/>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GB4351.1-2005</w:t>
            </w:r>
          </w:p>
        </w:tc>
        <w:tc>
          <w:tcPr>
            <w:tcW w:w="2364" w:type="dxa"/>
            <w:vAlign w:val="center"/>
          </w:tcPr>
          <w:p>
            <w:pPr>
              <w:keepNext w:val="0"/>
              <w:keepLines w:val="0"/>
              <w:pageBreakBefore w:val="0"/>
              <w:kinsoku/>
              <w:wordWrap/>
              <w:overflowPunct/>
              <w:topLinePunct w:val="0"/>
              <w:autoSpaceDE/>
              <w:autoSpaceDN/>
              <w:bidi w:val="0"/>
              <w:spacing w:before="100" w:beforeAutospacing="1" w:after="100" w:afterAutospacing="1" w:line="240" w:lineRule="auto"/>
              <w:contextualSpacing/>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5</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color w:val="auto"/>
                <w:sz w:val="24"/>
                <w:szCs w:val="24"/>
              </w:rPr>
              <w:t>筒体爆破试验</w:t>
            </w:r>
          </w:p>
        </w:tc>
        <w:tc>
          <w:tcPr>
            <w:tcW w:w="2159" w:type="dxa"/>
            <w:vAlign w:val="center"/>
          </w:tcPr>
          <w:p>
            <w:pPr>
              <w:keepNext w:val="0"/>
              <w:keepLines w:val="0"/>
              <w:pageBreakBefore w:val="0"/>
              <w:kinsoku/>
              <w:wordWrap/>
              <w:overflowPunct/>
              <w:topLinePunct w:val="0"/>
              <w:autoSpaceDE/>
              <w:autoSpaceDN/>
              <w:bidi w:val="0"/>
              <w:spacing w:before="100" w:beforeAutospacing="1" w:after="100" w:afterAutospacing="1" w:line="240" w:lineRule="auto"/>
              <w:contextualSpacing/>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GB4351.1-2005</w:t>
            </w:r>
          </w:p>
        </w:tc>
        <w:tc>
          <w:tcPr>
            <w:tcW w:w="2364" w:type="dxa"/>
            <w:vAlign w:val="center"/>
          </w:tcPr>
          <w:p>
            <w:pPr>
              <w:keepNext w:val="0"/>
              <w:keepLines w:val="0"/>
              <w:pageBreakBefore w:val="0"/>
              <w:kinsoku/>
              <w:wordWrap/>
              <w:overflowPunct/>
              <w:topLinePunct w:val="0"/>
              <w:autoSpaceDE/>
              <w:autoSpaceDN/>
              <w:bidi w:val="0"/>
              <w:spacing w:before="100" w:beforeAutospacing="1" w:after="100" w:afterAutospacing="1" w:line="240" w:lineRule="auto"/>
              <w:contextualSpacing/>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6</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color w:val="auto"/>
                <w:sz w:val="24"/>
                <w:szCs w:val="24"/>
              </w:rPr>
              <w:t>操作力试验</w:t>
            </w:r>
          </w:p>
        </w:tc>
        <w:tc>
          <w:tcPr>
            <w:tcW w:w="2159" w:type="dxa"/>
            <w:vAlign w:val="center"/>
          </w:tcPr>
          <w:p>
            <w:pPr>
              <w:keepNext w:val="0"/>
              <w:keepLines w:val="0"/>
              <w:pageBreakBefore w:val="0"/>
              <w:kinsoku/>
              <w:wordWrap/>
              <w:overflowPunct/>
              <w:topLinePunct w:val="0"/>
              <w:autoSpaceDE/>
              <w:autoSpaceDN/>
              <w:bidi w:val="0"/>
              <w:spacing w:before="100" w:beforeAutospacing="1" w:after="100" w:afterAutospacing="1" w:line="240" w:lineRule="auto"/>
              <w:contextualSpacing/>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GB4351.1-2005</w:t>
            </w:r>
          </w:p>
        </w:tc>
        <w:tc>
          <w:tcPr>
            <w:tcW w:w="2364" w:type="dxa"/>
            <w:vAlign w:val="center"/>
          </w:tcPr>
          <w:p>
            <w:pPr>
              <w:keepNext w:val="0"/>
              <w:keepLines w:val="0"/>
              <w:pageBreakBefore w:val="0"/>
              <w:kinsoku/>
              <w:wordWrap/>
              <w:overflowPunct/>
              <w:topLinePunct w:val="0"/>
              <w:autoSpaceDE/>
              <w:autoSpaceDN/>
              <w:bidi w:val="0"/>
              <w:spacing w:before="100" w:beforeAutospacing="1" w:after="100" w:afterAutospacing="1" w:line="240" w:lineRule="auto"/>
              <w:contextualSpacing/>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7</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color w:val="auto"/>
                <w:sz w:val="24"/>
                <w:szCs w:val="24"/>
              </w:rPr>
              <w:t>灭火剂磷酸二氢铵含量</w:t>
            </w:r>
          </w:p>
        </w:tc>
        <w:tc>
          <w:tcPr>
            <w:tcW w:w="2159" w:type="dxa"/>
            <w:vAlign w:val="center"/>
          </w:tcPr>
          <w:p>
            <w:pPr>
              <w:keepNext w:val="0"/>
              <w:keepLines w:val="0"/>
              <w:pageBreakBefore w:val="0"/>
              <w:kinsoku/>
              <w:wordWrap/>
              <w:overflowPunct/>
              <w:topLinePunct w:val="0"/>
              <w:autoSpaceDE/>
              <w:autoSpaceDN/>
              <w:bidi w:val="0"/>
              <w:spacing w:before="100" w:beforeAutospacing="1" w:after="100" w:afterAutospacing="1" w:line="240" w:lineRule="auto"/>
              <w:contextualSpacing/>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GB4351.1-2005</w:t>
            </w:r>
          </w:p>
        </w:tc>
        <w:tc>
          <w:tcPr>
            <w:tcW w:w="2364" w:type="dxa"/>
            <w:vAlign w:val="center"/>
          </w:tcPr>
          <w:p>
            <w:pPr>
              <w:keepNext w:val="0"/>
              <w:keepLines w:val="0"/>
              <w:pageBreakBefore w:val="0"/>
              <w:kinsoku/>
              <w:wordWrap/>
              <w:overflowPunct/>
              <w:topLinePunct w:val="0"/>
              <w:autoSpaceDE/>
              <w:autoSpaceDN/>
              <w:bidi w:val="0"/>
              <w:spacing w:before="100" w:beforeAutospacing="1" w:after="100" w:afterAutospacing="1" w:line="240" w:lineRule="auto"/>
              <w:contextualSpacing/>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GB4066-2017</w:t>
            </w:r>
          </w:p>
        </w:tc>
      </w:tr>
    </w:tbl>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仿宋_GB2312" w:hAnsi="宋体" w:eastAsia="仿宋_GB2312"/>
          <w:sz w:val="24"/>
          <w:szCs w:val="24"/>
        </w:rPr>
      </w:pPr>
    </w:p>
    <w:p>
      <w:pPr>
        <w:keepNext w:val="0"/>
        <w:keepLines w:val="0"/>
        <w:pageBreakBefore w:val="0"/>
        <w:widowControl w:val="0"/>
        <w:kinsoku/>
        <w:wordWrap/>
        <w:overflowPunct/>
        <w:topLinePunct w:val="0"/>
        <w:autoSpaceDE/>
        <w:autoSpaceDN/>
        <w:bidi w:val="0"/>
        <w:spacing w:beforeAutospacing="0" w:afterAutospacing="0" w:line="540" w:lineRule="exact"/>
        <w:contextualSpacing/>
        <w:jc w:val="center"/>
        <w:textAlignment w:val="auto"/>
        <w:rPr>
          <w:rFonts w:hint="eastAsia" w:ascii="仿宋" w:hAnsi="仿宋" w:eastAsia="仿宋" w:cs="仿宋"/>
          <w:b/>
          <w:sz w:val="28"/>
          <w:szCs w:val="28"/>
        </w:rPr>
      </w:pPr>
      <w:r>
        <w:rPr>
          <w:rFonts w:hint="eastAsia" w:ascii="仿宋" w:hAnsi="仿宋" w:eastAsia="仿宋" w:cs="仿宋"/>
          <w:color w:val="000000" w:themeColor="text1"/>
          <w:sz w:val="28"/>
          <w:szCs w:val="28"/>
        </w:rPr>
        <w:t>表</w:t>
      </w:r>
      <w:r>
        <w:rPr>
          <w:rFonts w:hint="eastAsia" w:ascii="仿宋" w:hAnsi="仿宋" w:eastAsia="仿宋" w:cs="仿宋"/>
          <w:color w:val="000000" w:themeColor="text1"/>
          <w:sz w:val="28"/>
          <w:szCs w:val="28"/>
          <w:lang w:val="en-US" w:eastAsia="zh-CN"/>
        </w:rPr>
        <w:t>4</w:t>
      </w:r>
      <w:r>
        <w:rPr>
          <w:rFonts w:hint="eastAsia" w:ascii="仿宋" w:hAnsi="仿宋" w:eastAsia="仿宋" w:cs="仿宋"/>
          <w:color w:val="000000" w:themeColor="text1"/>
          <w:sz w:val="28"/>
          <w:szCs w:val="28"/>
        </w:rPr>
        <w:t xml:space="preserve">  </w:t>
      </w:r>
      <w:r>
        <w:rPr>
          <w:rFonts w:hint="eastAsia" w:ascii="仿宋" w:hAnsi="仿宋" w:eastAsia="仿宋" w:cs="仿宋"/>
          <w:color w:val="000000" w:themeColor="text1"/>
          <w:sz w:val="28"/>
          <w:szCs w:val="28"/>
          <w:lang w:val="en-US" w:eastAsia="zh-CN"/>
        </w:rPr>
        <w:t>消防水带</w:t>
      </w:r>
      <w:r>
        <w:rPr>
          <w:rFonts w:hint="eastAsia" w:ascii="仿宋" w:hAnsi="仿宋" w:eastAsia="仿宋" w:cs="仿宋"/>
          <w:color w:val="000000" w:themeColor="text1"/>
          <w:sz w:val="28"/>
          <w:szCs w:val="28"/>
        </w:rPr>
        <w:t>产品检验项目</w:t>
      </w:r>
    </w:p>
    <w:tbl>
      <w:tblPr>
        <w:tblStyle w:val="6"/>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3337"/>
        <w:gridCol w:w="2159"/>
        <w:gridCol w:w="2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b w:val="0"/>
                <w:bCs/>
                <w:iCs/>
                <w:kern w:val="0"/>
                <w:sz w:val="24"/>
                <w:szCs w:val="24"/>
              </w:rPr>
            </w:pPr>
            <w:r>
              <w:rPr>
                <w:rFonts w:hint="eastAsia" w:ascii="仿宋" w:hAnsi="仿宋" w:eastAsia="仿宋" w:cs="仿宋"/>
                <w:b w:val="0"/>
                <w:bCs/>
                <w:iCs/>
                <w:kern w:val="0"/>
                <w:sz w:val="24"/>
                <w:szCs w:val="24"/>
              </w:rPr>
              <w:t>序号</w:t>
            </w:r>
          </w:p>
        </w:tc>
        <w:tc>
          <w:tcPr>
            <w:tcW w:w="3337"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122" w:leftChars="58"/>
              <w:jc w:val="center"/>
              <w:textAlignment w:val="auto"/>
              <w:rPr>
                <w:rFonts w:hint="eastAsia" w:ascii="仿宋" w:hAnsi="仿宋" w:eastAsia="仿宋" w:cs="仿宋"/>
                <w:b w:val="0"/>
                <w:bCs/>
                <w:iCs/>
                <w:kern w:val="0"/>
                <w:sz w:val="24"/>
                <w:szCs w:val="24"/>
              </w:rPr>
            </w:pPr>
            <w:r>
              <w:rPr>
                <w:rFonts w:hint="eastAsia" w:ascii="仿宋" w:hAnsi="仿宋" w:eastAsia="仿宋" w:cs="仿宋"/>
                <w:b w:val="0"/>
                <w:bCs/>
                <w:iCs/>
                <w:kern w:val="0"/>
                <w:sz w:val="24"/>
                <w:szCs w:val="24"/>
              </w:rPr>
              <w:t>检验项目</w:t>
            </w:r>
          </w:p>
        </w:tc>
        <w:tc>
          <w:tcPr>
            <w:tcW w:w="2159" w:type="dxa"/>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b w:val="0"/>
                <w:bCs/>
                <w:iCs/>
                <w:kern w:val="0"/>
                <w:sz w:val="24"/>
                <w:szCs w:val="24"/>
              </w:rPr>
            </w:pPr>
            <w:r>
              <w:rPr>
                <w:rFonts w:hint="eastAsia" w:ascii="仿宋" w:hAnsi="仿宋" w:eastAsia="仿宋" w:cs="仿宋"/>
                <w:b w:val="0"/>
                <w:bCs/>
                <w:kern w:val="0"/>
                <w:sz w:val="24"/>
                <w:szCs w:val="24"/>
              </w:rPr>
              <w:t>依据标准</w:t>
            </w:r>
          </w:p>
        </w:tc>
        <w:tc>
          <w:tcPr>
            <w:tcW w:w="2364" w:type="dxa"/>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b w:val="0"/>
                <w:bCs/>
                <w:iCs/>
                <w:kern w:val="0"/>
                <w:sz w:val="24"/>
                <w:szCs w:val="24"/>
              </w:rPr>
            </w:pPr>
            <w:r>
              <w:rPr>
                <w:rFonts w:hint="eastAsia" w:ascii="仿宋" w:hAnsi="仿宋" w:eastAsia="仿宋" w:cs="仿宋"/>
                <w:b w:val="0"/>
                <w:bCs/>
                <w:iCs/>
                <w:kern w:val="0"/>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1</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外观质量</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2</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内径</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3</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长度</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4</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设计工作压力、试验压力及最小爆破压力</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5</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单位长度质量</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6</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延伸率和膨胀率及扭转方向</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7</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可弯曲性</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8</w:t>
            </w:r>
          </w:p>
        </w:tc>
        <w:tc>
          <w:tcPr>
            <w:tcW w:w="3337" w:type="dxa"/>
            <w:vAlign w:val="center"/>
          </w:tcPr>
          <w:p>
            <w:pPr>
              <w:keepNext w:val="0"/>
              <w:keepLines w:val="0"/>
              <w:widowControl/>
              <w:suppressLineNumbers w:val="0"/>
              <w:jc w:val="center"/>
              <w:textAlignment w:val="center"/>
              <w:rPr>
                <w:rFonts w:hint="eastAsia" w:ascii="仿宋" w:hAnsi="仿宋" w:eastAsia="仿宋" w:cs="仿宋"/>
                <w:color w:val="auto"/>
                <w:sz w:val="24"/>
                <w:szCs w:val="24"/>
              </w:rPr>
            </w:pPr>
            <w:r>
              <w:rPr>
                <w:rFonts w:hint="eastAsia" w:ascii="仿宋" w:hAnsi="仿宋" w:eastAsia="仿宋" w:cs="仿宋"/>
                <w:i w:val="0"/>
                <w:iCs w:val="0"/>
                <w:color w:val="000000"/>
                <w:kern w:val="0"/>
                <w:sz w:val="24"/>
                <w:szCs w:val="24"/>
                <w:u w:val="none"/>
                <w:lang w:val="en-US" w:eastAsia="zh-CN" w:bidi="ar"/>
              </w:rPr>
              <w:t>耐低温性能</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9</w:t>
            </w:r>
          </w:p>
        </w:tc>
        <w:tc>
          <w:tcPr>
            <w:tcW w:w="3337" w:type="dxa"/>
            <w:vAlign w:val="center"/>
          </w:tcPr>
          <w:p>
            <w:pPr>
              <w:keepNext w:val="0"/>
              <w:keepLines w:val="0"/>
              <w:widowControl/>
              <w:suppressLineNumbers w:val="0"/>
              <w:jc w:val="center"/>
              <w:textAlignment w:val="center"/>
              <w:rPr>
                <w:rFonts w:hint="eastAsia" w:ascii="仿宋" w:hAnsi="仿宋" w:eastAsia="仿宋" w:cs="仿宋"/>
                <w:color w:val="auto"/>
                <w:sz w:val="24"/>
                <w:szCs w:val="24"/>
              </w:rPr>
            </w:pPr>
            <w:r>
              <w:rPr>
                <w:rFonts w:hint="eastAsia" w:ascii="仿宋" w:hAnsi="仿宋" w:eastAsia="仿宋" w:cs="仿宋"/>
                <w:i w:val="0"/>
                <w:iCs w:val="0"/>
                <w:color w:val="000000"/>
                <w:kern w:val="0"/>
                <w:sz w:val="24"/>
                <w:szCs w:val="24"/>
                <w:u w:val="none"/>
                <w:lang w:val="en-US" w:eastAsia="zh-CN" w:bidi="ar"/>
              </w:rPr>
              <w:t>附着强度</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GB/T 532-2008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10</w:t>
            </w:r>
          </w:p>
        </w:tc>
        <w:tc>
          <w:tcPr>
            <w:tcW w:w="3337" w:type="dxa"/>
            <w:vAlign w:val="center"/>
          </w:tcPr>
          <w:p>
            <w:pPr>
              <w:keepNext w:val="0"/>
              <w:keepLines w:val="0"/>
              <w:widowControl/>
              <w:suppressLineNumbers w:val="0"/>
              <w:jc w:val="center"/>
              <w:textAlignment w:val="center"/>
              <w:rPr>
                <w:rFonts w:hint="eastAsia" w:ascii="仿宋" w:hAnsi="仿宋" w:eastAsia="仿宋" w:cs="仿宋"/>
                <w:color w:val="auto"/>
                <w:sz w:val="24"/>
                <w:szCs w:val="24"/>
              </w:rPr>
            </w:pPr>
            <w:r>
              <w:rPr>
                <w:rFonts w:hint="eastAsia" w:ascii="仿宋" w:hAnsi="仿宋" w:eastAsia="仿宋" w:cs="仿宋"/>
                <w:i w:val="0"/>
                <w:iCs w:val="0"/>
                <w:color w:val="000000"/>
                <w:kern w:val="0"/>
                <w:sz w:val="24"/>
                <w:szCs w:val="24"/>
                <w:u w:val="none"/>
                <w:lang w:val="en-US" w:eastAsia="zh-CN" w:bidi="ar"/>
              </w:rPr>
              <w:t>耐磨性能</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6246-2011</w:t>
            </w:r>
          </w:p>
        </w:tc>
      </w:tr>
    </w:tbl>
    <w:p>
      <w:pPr>
        <w:keepNext w:val="0"/>
        <w:keepLines w:val="0"/>
        <w:pageBreakBefore w:val="0"/>
        <w:widowControl w:val="0"/>
        <w:kinsoku/>
        <w:wordWrap/>
        <w:overflowPunct/>
        <w:topLinePunct w:val="0"/>
        <w:autoSpaceDE/>
        <w:autoSpaceDN/>
        <w:bidi w:val="0"/>
        <w:spacing w:beforeAutospacing="0" w:afterAutospacing="0" w:line="540" w:lineRule="exact"/>
        <w:contextualSpacing/>
        <w:jc w:val="both"/>
        <w:textAlignment w:val="auto"/>
        <w:rPr>
          <w:rFonts w:hint="eastAsia" w:ascii="仿宋" w:hAnsi="仿宋" w:eastAsia="仿宋" w:cs="仿宋"/>
          <w:color w:val="000000" w:themeColor="text1"/>
          <w:sz w:val="24"/>
          <w:szCs w:val="24"/>
        </w:rPr>
      </w:pPr>
    </w:p>
    <w:p>
      <w:pPr>
        <w:keepNext w:val="0"/>
        <w:keepLines w:val="0"/>
        <w:pageBreakBefore w:val="0"/>
        <w:widowControl w:val="0"/>
        <w:kinsoku/>
        <w:wordWrap/>
        <w:overflowPunct/>
        <w:topLinePunct w:val="0"/>
        <w:autoSpaceDE/>
        <w:autoSpaceDN/>
        <w:bidi w:val="0"/>
        <w:spacing w:beforeAutospacing="0" w:afterAutospacing="0" w:line="540" w:lineRule="exact"/>
        <w:contextualSpacing/>
        <w:jc w:val="center"/>
        <w:textAlignment w:val="auto"/>
        <w:rPr>
          <w:rFonts w:hint="eastAsia" w:ascii="仿宋" w:hAnsi="仿宋" w:eastAsia="仿宋" w:cs="仿宋"/>
          <w:b/>
          <w:sz w:val="28"/>
          <w:szCs w:val="28"/>
        </w:rPr>
      </w:pPr>
      <w:r>
        <w:rPr>
          <w:rFonts w:hint="eastAsia" w:ascii="仿宋" w:hAnsi="仿宋" w:eastAsia="仿宋" w:cs="仿宋"/>
          <w:color w:val="000000" w:themeColor="text1"/>
          <w:sz w:val="28"/>
          <w:szCs w:val="28"/>
        </w:rPr>
        <w:t>表</w:t>
      </w:r>
      <w:r>
        <w:rPr>
          <w:rFonts w:hint="eastAsia" w:ascii="仿宋" w:hAnsi="仿宋" w:eastAsia="仿宋" w:cs="仿宋"/>
          <w:color w:val="000000" w:themeColor="text1"/>
          <w:sz w:val="28"/>
          <w:szCs w:val="28"/>
          <w:lang w:val="en-US" w:eastAsia="zh-CN"/>
        </w:rPr>
        <w:t>5</w:t>
      </w:r>
      <w:r>
        <w:rPr>
          <w:rFonts w:hint="eastAsia" w:ascii="仿宋" w:hAnsi="仿宋" w:eastAsia="仿宋" w:cs="仿宋"/>
          <w:color w:val="000000" w:themeColor="text1"/>
          <w:sz w:val="28"/>
          <w:szCs w:val="28"/>
        </w:rPr>
        <w:t xml:space="preserve">  </w:t>
      </w:r>
      <w:r>
        <w:rPr>
          <w:rFonts w:hint="eastAsia" w:ascii="仿宋" w:hAnsi="仿宋" w:eastAsia="仿宋" w:cs="仿宋"/>
          <w:color w:val="000000" w:themeColor="text1"/>
          <w:sz w:val="28"/>
          <w:szCs w:val="28"/>
          <w:lang w:val="en-US" w:eastAsia="zh-CN"/>
        </w:rPr>
        <w:t>消防应急灯具</w:t>
      </w:r>
      <w:r>
        <w:rPr>
          <w:rFonts w:hint="eastAsia" w:ascii="仿宋" w:hAnsi="仿宋" w:eastAsia="仿宋" w:cs="仿宋"/>
          <w:color w:val="000000" w:themeColor="text1"/>
          <w:sz w:val="28"/>
          <w:szCs w:val="28"/>
        </w:rPr>
        <w:t>产品检验项目</w:t>
      </w:r>
    </w:p>
    <w:tbl>
      <w:tblPr>
        <w:tblStyle w:val="6"/>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3337"/>
        <w:gridCol w:w="2159"/>
        <w:gridCol w:w="2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b w:val="0"/>
                <w:bCs/>
                <w:iCs/>
                <w:kern w:val="0"/>
                <w:sz w:val="24"/>
                <w:szCs w:val="24"/>
              </w:rPr>
            </w:pPr>
            <w:r>
              <w:rPr>
                <w:rFonts w:hint="eastAsia" w:ascii="仿宋" w:hAnsi="仿宋" w:eastAsia="仿宋" w:cs="仿宋"/>
                <w:b w:val="0"/>
                <w:bCs/>
                <w:iCs/>
                <w:kern w:val="0"/>
                <w:sz w:val="24"/>
                <w:szCs w:val="24"/>
              </w:rPr>
              <w:t>序号</w:t>
            </w:r>
          </w:p>
        </w:tc>
        <w:tc>
          <w:tcPr>
            <w:tcW w:w="3337"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122" w:leftChars="58"/>
              <w:jc w:val="center"/>
              <w:textAlignment w:val="auto"/>
              <w:rPr>
                <w:rFonts w:hint="eastAsia" w:ascii="仿宋" w:hAnsi="仿宋" w:eastAsia="仿宋" w:cs="仿宋"/>
                <w:b w:val="0"/>
                <w:bCs/>
                <w:iCs/>
                <w:kern w:val="0"/>
                <w:sz w:val="24"/>
                <w:szCs w:val="24"/>
              </w:rPr>
            </w:pPr>
            <w:r>
              <w:rPr>
                <w:rFonts w:hint="eastAsia" w:ascii="仿宋" w:hAnsi="仿宋" w:eastAsia="仿宋" w:cs="仿宋"/>
                <w:b w:val="0"/>
                <w:bCs/>
                <w:iCs/>
                <w:kern w:val="0"/>
                <w:sz w:val="24"/>
                <w:szCs w:val="24"/>
              </w:rPr>
              <w:t>检验项目</w:t>
            </w:r>
          </w:p>
        </w:tc>
        <w:tc>
          <w:tcPr>
            <w:tcW w:w="2159" w:type="dxa"/>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b w:val="0"/>
                <w:bCs/>
                <w:iCs/>
                <w:kern w:val="0"/>
                <w:sz w:val="24"/>
                <w:szCs w:val="24"/>
              </w:rPr>
            </w:pPr>
            <w:r>
              <w:rPr>
                <w:rFonts w:hint="eastAsia" w:ascii="仿宋" w:hAnsi="仿宋" w:eastAsia="仿宋" w:cs="仿宋"/>
                <w:b w:val="0"/>
                <w:bCs/>
                <w:kern w:val="0"/>
                <w:sz w:val="24"/>
                <w:szCs w:val="24"/>
              </w:rPr>
              <w:t>依据标准</w:t>
            </w:r>
          </w:p>
        </w:tc>
        <w:tc>
          <w:tcPr>
            <w:tcW w:w="2364" w:type="dxa"/>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b w:val="0"/>
                <w:bCs/>
                <w:iCs/>
                <w:kern w:val="0"/>
                <w:sz w:val="24"/>
                <w:szCs w:val="24"/>
              </w:rPr>
            </w:pPr>
            <w:r>
              <w:rPr>
                <w:rFonts w:hint="eastAsia" w:ascii="仿宋" w:hAnsi="仿宋" w:eastAsia="仿宋" w:cs="仿宋"/>
                <w:b w:val="0"/>
                <w:bCs/>
                <w:iCs/>
                <w:kern w:val="0"/>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1</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结构</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2</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爬电距离和电气间隙</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7000.1-2015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3</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试验前检查</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4</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基本功能试验</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5</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充、放电试验</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6</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重复转换试验</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7</w:t>
            </w:r>
          </w:p>
        </w:tc>
        <w:tc>
          <w:tcPr>
            <w:tcW w:w="3337"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电压波动试验</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8</w:t>
            </w:r>
          </w:p>
        </w:tc>
        <w:tc>
          <w:tcPr>
            <w:tcW w:w="3337" w:type="dxa"/>
            <w:vAlign w:val="center"/>
          </w:tcPr>
          <w:p>
            <w:pPr>
              <w:keepNext w:val="0"/>
              <w:keepLines w:val="0"/>
              <w:widowControl/>
              <w:suppressLineNumbers w:val="0"/>
              <w:jc w:val="center"/>
              <w:textAlignment w:val="center"/>
              <w:rPr>
                <w:rFonts w:hint="eastAsia" w:ascii="仿宋" w:hAnsi="仿宋" w:eastAsia="仿宋" w:cs="仿宋"/>
                <w:color w:val="auto"/>
                <w:sz w:val="24"/>
                <w:szCs w:val="24"/>
              </w:rPr>
            </w:pPr>
            <w:r>
              <w:rPr>
                <w:rFonts w:hint="eastAsia" w:ascii="仿宋" w:hAnsi="仿宋" w:eastAsia="仿宋" w:cs="仿宋"/>
                <w:i w:val="0"/>
                <w:iCs w:val="0"/>
                <w:color w:val="000000"/>
                <w:kern w:val="0"/>
                <w:sz w:val="24"/>
                <w:szCs w:val="24"/>
                <w:u w:val="none"/>
                <w:lang w:val="en-US" w:eastAsia="zh-CN" w:bidi="ar"/>
              </w:rPr>
              <w:t>转换电压试验</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9</w:t>
            </w:r>
          </w:p>
        </w:tc>
        <w:tc>
          <w:tcPr>
            <w:tcW w:w="3337" w:type="dxa"/>
            <w:vAlign w:val="center"/>
          </w:tcPr>
          <w:p>
            <w:pPr>
              <w:keepNext w:val="0"/>
              <w:keepLines w:val="0"/>
              <w:widowControl/>
              <w:suppressLineNumbers w:val="0"/>
              <w:jc w:val="center"/>
              <w:textAlignment w:val="center"/>
              <w:rPr>
                <w:rFonts w:hint="eastAsia" w:ascii="仿宋" w:hAnsi="仿宋" w:eastAsia="仿宋" w:cs="仿宋"/>
                <w:color w:val="auto"/>
                <w:sz w:val="24"/>
                <w:szCs w:val="24"/>
              </w:rPr>
            </w:pPr>
            <w:r>
              <w:rPr>
                <w:rFonts w:hint="eastAsia" w:ascii="仿宋" w:hAnsi="仿宋" w:eastAsia="仿宋" w:cs="仿宋"/>
                <w:i w:val="0"/>
                <w:iCs w:val="0"/>
                <w:color w:val="000000"/>
                <w:kern w:val="0"/>
                <w:sz w:val="24"/>
                <w:szCs w:val="24"/>
                <w:u w:val="none"/>
                <w:lang w:val="en-US" w:eastAsia="zh-CN" w:bidi="ar"/>
              </w:rPr>
              <w:t>绝缘电阻试验</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10</w:t>
            </w:r>
          </w:p>
        </w:tc>
        <w:tc>
          <w:tcPr>
            <w:tcW w:w="333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接地电阻试验</w:t>
            </w:r>
          </w:p>
        </w:tc>
        <w:tc>
          <w:tcPr>
            <w:tcW w:w="215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GB 17945-2010</w:t>
            </w:r>
          </w:p>
        </w:tc>
        <w:tc>
          <w:tcPr>
            <w:tcW w:w="2364"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widowControl/>
              <w:suppressLineNumbers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11</w:t>
            </w:r>
          </w:p>
        </w:tc>
        <w:tc>
          <w:tcPr>
            <w:tcW w:w="3337" w:type="dxa"/>
            <w:vAlign w:val="center"/>
          </w:tcPr>
          <w:p>
            <w:pPr>
              <w:keepNext w:val="0"/>
              <w:keepLines w:val="0"/>
              <w:widowControl/>
              <w:suppressLineNumbers w:val="0"/>
              <w:jc w:val="center"/>
              <w:textAlignment w:val="center"/>
              <w:rPr>
                <w:rFonts w:hint="eastAsia" w:ascii="仿宋" w:hAnsi="仿宋" w:eastAsia="仿宋" w:cs="仿宋"/>
                <w:color w:val="auto"/>
                <w:sz w:val="24"/>
                <w:szCs w:val="24"/>
              </w:rPr>
            </w:pPr>
            <w:r>
              <w:rPr>
                <w:rFonts w:hint="eastAsia" w:ascii="仿宋" w:hAnsi="仿宋" w:eastAsia="仿宋" w:cs="仿宋"/>
                <w:i w:val="0"/>
                <w:iCs w:val="0"/>
                <w:color w:val="000000"/>
                <w:kern w:val="0"/>
                <w:sz w:val="24"/>
                <w:szCs w:val="24"/>
                <w:u w:val="none"/>
                <w:lang w:val="en-US" w:eastAsia="zh-CN" w:bidi="ar"/>
              </w:rPr>
              <w:t>耐压试验</w:t>
            </w:r>
          </w:p>
        </w:tc>
        <w:tc>
          <w:tcPr>
            <w:tcW w:w="2159"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c>
          <w:tcPr>
            <w:tcW w:w="2364" w:type="dxa"/>
            <w:vAlign w:val="center"/>
          </w:tcPr>
          <w:p>
            <w:pPr>
              <w:keepNext w:val="0"/>
              <w:keepLines w:val="0"/>
              <w:widowControl/>
              <w:suppressLineNumbers w:val="0"/>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000000"/>
                <w:kern w:val="0"/>
                <w:sz w:val="24"/>
                <w:szCs w:val="24"/>
                <w:u w:val="none"/>
                <w:lang w:val="en-US" w:eastAsia="zh-CN" w:bidi="ar"/>
              </w:rPr>
              <w:t>GB 17945-2010</w:t>
            </w:r>
          </w:p>
        </w:tc>
      </w:tr>
    </w:tbl>
    <w:p>
      <w:pPr>
        <w:keepNext w:val="0"/>
        <w:keepLines w:val="0"/>
        <w:pageBreakBefore w:val="0"/>
        <w:widowControl w:val="0"/>
        <w:kinsoku/>
        <w:wordWrap/>
        <w:overflowPunct/>
        <w:topLinePunct w:val="0"/>
        <w:autoSpaceDE/>
        <w:autoSpaceDN/>
        <w:bidi w:val="0"/>
        <w:spacing w:beforeAutospacing="0" w:afterAutospacing="0" w:line="540" w:lineRule="exact"/>
        <w:contextualSpacing/>
        <w:jc w:val="center"/>
        <w:textAlignment w:val="auto"/>
        <w:rPr>
          <w:rFonts w:hint="eastAsia" w:ascii="仿宋" w:hAnsi="仿宋" w:eastAsia="仿宋" w:cs="仿宋"/>
          <w:color w:val="000000" w:themeColor="text1"/>
          <w:sz w:val="28"/>
          <w:szCs w:val="28"/>
        </w:rPr>
      </w:pPr>
    </w:p>
    <w:p>
      <w:pPr>
        <w:keepNext w:val="0"/>
        <w:keepLines w:val="0"/>
        <w:pageBreakBefore w:val="0"/>
        <w:widowControl w:val="0"/>
        <w:kinsoku/>
        <w:wordWrap/>
        <w:overflowPunct/>
        <w:topLinePunct w:val="0"/>
        <w:autoSpaceDE/>
        <w:autoSpaceDN/>
        <w:bidi w:val="0"/>
        <w:spacing w:beforeAutospacing="0" w:afterAutospacing="0" w:line="540" w:lineRule="exact"/>
        <w:contextualSpacing/>
        <w:jc w:val="center"/>
        <w:textAlignment w:val="auto"/>
        <w:rPr>
          <w:rFonts w:hint="eastAsia" w:ascii="仿宋" w:hAnsi="仿宋" w:eastAsia="仿宋" w:cs="仿宋"/>
          <w:b/>
          <w:sz w:val="28"/>
          <w:szCs w:val="28"/>
        </w:rPr>
      </w:pPr>
      <w:r>
        <w:rPr>
          <w:rFonts w:hint="eastAsia" w:ascii="仿宋" w:hAnsi="仿宋" w:eastAsia="仿宋" w:cs="仿宋"/>
          <w:color w:val="000000" w:themeColor="text1"/>
          <w:sz w:val="28"/>
          <w:szCs w:val="28"/>
        </w:rPr>
        <w:t>表</w:t>
      </w:r>
      <w:r>
        <w:rPr>
          <w:rFonts w:hint="eastAsia" w:ascii="仿宋" w:hAnsi="仿宋" w:eastAsia="仿宋" w:cs="仿宋"/>
          <w:color w:val="000000" w:themeColor="text1"/>
          <w:sz w:val="28"/>
          <w:szCs w:val="28"/>
          <w:lang w:val="en-US" w:eastAsia="zh-CN"/>
        </w:rPr>
        <w:t>6</w:t>
      </w:r>
      <w:r>
        <w:rPr>
          <w:rFonts w:hint="eastAsia" w:ascii="仿宋" w:hAnsi="仿宋" w:eastAsia="仿宋" w:cs="仿宋"/>
          <w:color w:val="000000" w:themeColor="text1"/>
          <w:sz w:val="28"/>
          <w:szCs w:val="28"/>
        </w:rPr>
        <w:t xml:space="preserve"> </w:t>
      </w:r>
      <w:r>
        <w:rPr>
          <w:rFonts w:hint="eastAsia" w:ascii="仿宋" w:hAnsi="仿宋" w:eastAsia="仿宋" w:cs="仿宋"/>
          <w:color w:val="000000" w:themeColor="text1"/>
          <w:sz w:val="28"/>
          <w:szCs w:val="28"/>
          <w:lang w:val="en-US" w:eastAsia="zh-CN"/>
        </w:rPr>
        <w:t>过滤式消防自救呼吸器</w:t>
      </w:r>
      <w:r>
        <w:rPr>
          <w:rFonts w:hint="eastAsia" w:ascii="仿宋" w:hAnsi="仿宋" w:eastAsia="仿宋" w:cs="仿宋"/>
          <w:color w:val="000000" w:themeColor="text1"/>
          <w:sz w:val="28"/>
          <w:szCs w:val="28"/>
        </w:rPr>
        <w:t>产品检验项目</w:t>
      </w:r>
    </w:p>
    <w:tbl>
      <w:tblPr>
        <w:tblStyle w:val="6"/>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3337"/>
        <w:gridCol w:w="2159"/>
        <w:gridCol w:w="2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b w:val="0"/>
                <w:bCs/>
                <w:iCs/>
                <w:kern w:val="0"/>
                <w:sz w:val="24"/>
                <w:szCs w:val="24"/>
              </w:rPr>
            </w:pPr>
            <w:r>
              <w:rPr>
                <w:rFonts w:hint="eastAsia" w:ascii="仿宋" w:hAnsi="仿宋" w:eastAsia="仿宋" w:cs="仿宋"/>
                <w:b w:val="0"/>
                <w:bCs/>
                <w:iCs/>
                <w:kern w:val="0"/>
                <w:sz w:val="24"/>
                <w:szCs w:val="24"/>
              </w:rPr>
              <w:t>序号</w:t>
            </w:r>
          </w:p>
        </w:tc>
        <w:tc>
          <w:tcPr>
            <w:tcW w:w="3337"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122" w:leftChars="58"/>
              <w:jc w:val="center"/>
              <w:textAlignment w:val="auto"/>
              <w:rPr>
                <w:rFonts w:hint="eastAsia" w:ascii="仿宋" w:hAnsi="仿宋" w:eastAsia="仿宋" w:cs="仿宋"/>
                <w:b w:val="0"/>
                <w:bCs/>
                <w:iCs/>
                <w:kern w:val="0"/>
                <w:sz w:val="24"/>
                <w:szCs w:val="24"/>
              </w:rPr>
            </w:pPr>
            <w:r>
              <w:rPr>
                <w:rFonts w:hint="eastAsia" w:ascii="仿宋" w:hAnsi="仿宋" w:eastAsia="仿宋" w:cs="仿宋"/>
                <w:b w:val="0"/>
                <w:bCs/>
                <w:iCs/>
                <w:kern w:val="0"/>
                <w:sz w:val="24"/>
                <w:szCs w:val="24"/>
              </w:rPr>
              <w:t>检验项目</w:t>
            </w:r>
          </w:p>
        </w:tc>
        <w:tc>
          <w:tcPr>
            <w:tcW w:w="2159" w:type="dxa"/>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b w:val="0"/>
                <w:bCs/>
                <w:iCs/>
                <w:kern w:val="0"/>
                <w:sz w:val="24"/>
                <w:szCs w:val="24"/>
              </w:rPr>
            </w:pPr>
            <w:r>
              <w:rPr>
                <w:rFonts w:hint="eastAsia" w:ascii="仿宋" w:hAnsi="仿宋" w:eastAsia="仿宋" w:cs="仿宋"/>
                <w:b w:val="0"/>
                <w:bCs/>
                <w:kern w:val="0"/>
                <w:sz w:val="24"/>
                <w:szCs w:val="24"/>
              </w:rPr>
              <w:t>依据标准</w:t>
            </w:r>
          </w:p>
        </w:tc>
        <w:tc>
          <w:tcPr>
            <w:tcW w:w="2364" w:type="dxa"/>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b w:val="0"/>
                <w:bCs/>
                <w:iCs/>
                <w:kern w:val="0"/>
                <w:sz w:val="24"/>
                <w:szCs w:val="24"/>
              </w:rPr>
            </w:pPr>
            <w:r>
              <w:rPr>
                <w:rFonts w:hint="eastAsia" w:ascii="仿宋" w:hAnsi="仿宋" w:eastAsia="仿宋" w:cs="仿宋"/>
                <w:b w:val="0"/>
                <w:bCs/>
                <w:iCs/>
                <w:kern w:val="0"/>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pageBreakBefore w:val="0"/>
              <w:widowControl/>
              <w:suppressLineNumbers w:val="0"/>
              <w:kinsoku/>
              <w:wordWrap/>
              <w:overflowPunct/>
              <w:topLinePunct w:val="0"/>
              <w:autoSpaceDE/>
              <w:autoSpaceDN/>
              <w:bidi w:val="0"/>
              <w:spacing w:line="440" w:lineRule="exact"/>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1</w:t>
            </w:r>
          </w:p>
        </w:tc>
        <w:tc>
          <w:tcPr>
            <w:tcW w:w="3337"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val="en-US" w:eastAsia="zh-CN" w:bidi="ar"/>
              </w:rPr>
              <w:t>结构</w:t>
            </w:r>
          </w:p>
        </w:tc>
        <w:tc>
          <w:tcPr>
            <w:tcW w:w="2159"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21976.7-2012</w:t>
            </w:r>
          </w:p>
        </w:tc>
        <w:tc>
          <w:tcPr>
            <w:tcW w:w="2364"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pageBreakBefore w:val="0"/>
              <w:widowControl/>
              <w:suppressLineNumbers w:val="0"/>
              <w:kinsoku/>
              <w:wordWrap/>
              <w:overflowPunct/>
              <w:topLinePunct w:val="0"/>
              <w:autoSpaceDE/>
              <w:autoSpaceDN/>
              <w:bidi w:val="0"/>
              <w:spacing w:line="440" w:lineRule="exact"/>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2</w:t>
            </w:r>
          </w:p>
        </w:tc>
        <w:tc>
          <w:tcPr>
            <w:tcW w:w="3337"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金属材料表面质量</w:t>
            </w:r>
          </w:p>
        </w:tc>
        <w:tc>
          <w:tcPr>
            <w:tcW w:w="2159"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21976.7-2012</w:t>
            </w:r>
          </w:p>
        </w:tc>
        <w:tc>
          <w:tcPr>
            <w:tcW w:w="2364"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pageBreakBefore w:val="0"/>
              <w:widowControl/>
              <w:suppressLineNumbers w:val="0"/>
              <w:kinsoku/>
              <w:wordWrap/>
              <w:overflowPunct/>
              <w:topLinePunct w:val="0"/>
              <w:autoSpaceDE/>
              <w:autoSpaceDN/>
              <w:bidi w:val="0"/>
              <w:spacing w:line="440" w:lineRule="exact"/>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3</w:t>
            </w:r>
          </w:p>
        </w:tc>
        <w:tc>
          <w:tcPr>
            <w:tcW w:w="3337"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橡胶材料老化性能</w:t>
            </w:r>
          </w:p>
        </w:tc>
        <w:tc>
          <w:tcPr>
            <w:tcW w:w="2159"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21976.7-2012</w:t>
            </w:r>
          </w:p>
        </w:tc>
        <w:tc>
          <w:tcPr>
            <w:tcW w:w="2364"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pageBreakBefore w:val="0"/>
              <w:widowControl/>
              <w:suppressLineNumbers w:val="0"/>
              <w:kinsoku/>
              <w:wordWrap/>
              <w:overflowPunct/>
              <w:topLinePunct w:val="0"/>
              <w:autoSpaceDE/>
              <w:autoSpaceDN/>
              <w:bidi w:val="0"/>
              <w:spacing w:line="440" w:lineRule="exact"/>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4</w:t>
            </w:r>
          </w:p>
        </w:tc>
        <w:tc>
          <w:tcPr>
            <w:tcW w:w="3337"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材料阻燃性能</w:t>
            </w:r>
          </w:p>
        </w:tc>
        <w:tc>
          <w:tcPr>
            <w:tcW w:w="2159"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21976.7-2012</w:t>
            </w:r>
          </w:p>
        </w:tc>
        <w:tc>
          <w:tcPr>
            <w:tcW w:w="2364"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2626-2006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pageBreakBefore w:val="0"/>
              <w:widowControl/>
              <w:suppressLineNumbers w:val="0"/>
              <w:kinsoku/>
              <w:wordWrap/>
              <w:overflowPunct/>
              <w:topLinePunct w:val="0"/>
              <w:autoSpaceDE/>
              <w:autoSpaceDN/>
              <w:bidi w:val="0"/>
              <w:spacing w:line="440" w:lineRule="exact"/>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5</w:t>
            </w:r>
          </w:p>
        </w:tc>
        <w:tc>
          <w:tcPr>
            <w:tcW w:w="3337"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包装材料强度</w:t>
            </w:r>
          </w:p>
        </w:tc>
        <w:tc>
          <w:tcPr>
            <w:tcW w:w="2159"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21976.7-2012</w:t>
            </w:r>
          </w:p>
        </w:tc>
        <w:tc>
          <w:tcPr>
            <w:tcW w:w="2364"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pageBreakBefore w:val="0"/>
              <w:widowControl/>
              <w:suppressLineNumbers w:val="0"/>
              <w:kinsoku/>
              <w:wordWrap/>
              <w:overflowPunct/>
              <w:topLinePunct w:val="0"/>
              <w:autoSpaceDE/>
              <w:autoSpaceDN/>
              <w:bidi w:val="0"/>
              <w:spacing w:line="440" w:lineRule="exact"/>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6</w:t>
            </w:r>
          </w:p>
        </w:tc>
        <w:tc>
          <w:tcPr>
            <w:tcW w:w="3337"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视野</w:t>
            </w:r>
          </w:p>
        </w:tc>
        <w:tc>
          <w:tcPr>
            <w:tcW w:w="2159"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21976.7-2012</w:t>
            </w:r>
          </w:p>
        </w:tc>
        <w:tc>
          <w:tcPr>
            <w:tcW w:w="2364"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2890-2009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pageBreakBefore w:val="0"/>
              <w:widowControl/>
              <w:suppressLineNumbers w:val="0"/>
              <w:kinsoku/>
              <w:wordWrap/>
              <w:overflowPunct/>
              <w:topLinePunct w:val="0"/>
              <w:autoSpaceDE/>
              <w:autoSpaceDN/>
              <w:bidi w:val="0"/>
              <w:spacing w:line="440" w:lineRule="exact"/>
              <w:jc w:val="center"/>
              <w:textAlignment w:val="center"/>
              <w:rPr>
                <w:rFonts w:hint="eastAsia" w:ascii="仿宋" w:hAnsi="仿宋" w:eastAsia="仿宋" w:cs="仿宋"/>
                <w:kern w:val="0"/>
                <w:sz w:val="24"/>
                <w:szCs w:val="24"/>
              </w:rPr>
            </w:pPr>
            <w:r>
              <w:rPr>
                <w:rFonts w:hint="eastAsia" w:ascii="仿宋" w:hAnsi="仿宋" w:eastAsia="仿宋" w:cs="仿宋"/>
                <w:i w:val="0"/>
                <w:iCs w:val="0"/>
                <w:color w:val="auto"/>
                <w:kern w:val="0"/>
                <w:sz w:val="24"/>
                <w:szCs w:val="24"/>
                <w:u w:val="none"/>
                <w:lang w:val="en-US" w:eastAsia="zh-CN" w:bidi="ar"/>
              </w:rPr>
              <w:t>7</w:t>
            </w:r>
          </w:p>
        </w:tc>
        <w:tc>
          <w:tcPr>
            <w:tcW w:w="3337"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透光率</w:t>
            </w:r>
          </w:p>
        </w:tc>
        <w:tc>
          <w:tcPr>
            <w:tcW w:w="2159"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21976.7-2012</w:t>
            </w:r>
          </w:p>
        </w:tc>
        <w:tc>
          <w:tcPr>
            <w:tcW w:w="2364"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14866-2006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pageBreakBefore w:val="0"/>
              <w:widowControl/>
              <w:suppressLineNumbers w:val="0"/>
              <w:kinsoku/>
              <w:wordWrap/>
              <w:overflowPunct/>
              <w:topLinePunct w:val="0"/>
              <w:autoSpaceDE/>
              <w:autoSpaceDN/>
              <w:bidi w:val="0"/>
              <w:spacing w:line="440" w:lineRule="exact"/>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8</w:t>
            </w:r>
          </w:p>
        </w:tc>
        <w:tc>
          <w:tcPr>
            <w:tcW w:w="3337"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color w:val="auto"/>
                <w:sz w:val="24"/>
                <w:szCs w:val="24"/>
              </w:rPr>
            </w:pPr>
            <w:r>
              <w:rPr>
                <w:rFonts w:hint="eastAsia" w:ascii="仿宋" w:hAnsi="仿宋" w:eastAsia="仿宋" w:cs="仿宋"/>
                <w:color w:val="000000" w:themeColor="text1"/>
                <w:kern w:val="0"/>
                <w:sz w:val="24"/>
                <w:szCs w:val="24"/>
                <w:lang w:bidi="ar"/>
              </w:rPr>
              <w:t>连接强度</w:t>
            </w:r>
          </w:p>
        </w:tc>
        <w:tc>
          <w:tcPr>
            <w:tcW w:w="2159"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21976.7-2012</w:t>
            </w:r>
          </w:p>
        </w:tc>
        <w:tc>
          <w:tcPr>
            <w:tcW w:w="2364"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vAlign w:val="center"/>
          </w:tcPr>
          <w:p>
            <w:pPr>
              <w:keepNext w:val="0"/>
              <w:keepLines w:val="0"/>
              <w:pageBreakBefore w:val="0"/>
              <w:widowControl/>
              <w:suppressLineNumbers w:val="0"/>
              <w:kinsoku/>
              <w:wordWrap/>
              <w:overflowPunct/>
              <w:topLinePunct w:val="0"/>
              <w:autoSpaceDE/>
              <w:autoSpaceDN/>
              <w:bidi w:val="0"/>
              <w:spacing w:line="440" w:lineRule="exact"/>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9</w:t>
            </w:r>
          </w:p>
        </w:tc>
        <w:tc>
          <w:tcPr>
            <w:tcW w:w="3337"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color w:val="auto"/>
                <w:sz w:val="24"/>
                <w:szCs w:val="24"/>
              </w:rPr>
            </w:pPr>
            <w:r>
              <w:rPr>
                <w:rFonts w:hint="eastAsia" w:ascii="仿宋" w:hAnsi="仿宋" w:eastAsia="仿宋" w:cs="仿宋"/>
                <w:color w:val="000000" w:themeColor="text1"/>
                <w:kern w:val="0"/>
                <w:sz w:val="24"/>
                <w:szCs w:val="24"/>
                <w:lang w:bidi="ar"/>
              </w:rPr>
              <w:t>标志</w:t>
            </w:r>
          </w:p>
        </w:tc>
        <w:tc>
          <w:tcPr>
            <w:tcW w:w="2159"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21976.7-2012</w:t>
            </w:r>
          </w:p>
        </w:tc>
        <w:tc>
          <w:tcPr>
            <w:tcW w:w="2364" w:type="dxa"/>
            <w:vAlign w:val="bottom"/>
          </w:tcPr>
          <w:p>
            <w:pPr>
              <w:keepNext w:val="0"/>
              <w:keepLines w:val="0"/>
              <w:pageBreakBefore w:val="0"/>
              <w:widowControl/>
              <w:kinsoku/>
              <w:wordWrap/>
              <w:overflowPunct/>
              <w:topLinePunct w:val="0"/>
              <w:autoSpaceDE/>
              <w:autoSpaceDN/>
              <w:bidi w:val="0"/>
              <w:adjustRightInd w:val="0"/>
              <w:snapToGrid w:val="0"/>
              <w:spacing w:line="440" w:lineRule="exact"/>
              <w:jc w:val="center"/>
              <w:textAlignment w:val="bottom"/>
              <w:rPr>
                <w:rFonts w:hint="eastAsia" w:ascii="仿宋" w:hAnsi="仿宋" w:eastAsia="仿宋" w:cs="仿宋"/>
                <w:kern w:val="0"/>
                <w:sz w:val="24"/>
                <w:szCs w:val="24"/>
              </w:rPr>
            </w:pPr>
            <w:r>
              <w:rPr>
                <w:rFonts w:hint="eastAsia" w:ascii="仿宋" w:hAnsi="仿宋" w:eastAsia="仿宋" w:cs="仿宋"/>
                <w:color w:val="000000" w:themeColor="text1"/>
                <w:kern w:val="0"/>
                <w:sz w:val="24"/>
                <w:szCs w:val="24"/>
                <w:lang w:bidi="ar"/>
              </w:rPr>
              <w:t>GB 21976.7-2012</w:t>
            </w:r>
          </w:p>
        </w:tc>
      </w:tr>
    </w:tbl>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6.2 检验应注意的问题</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hint="eastAsia" w:ascii="仿宋_GB2312" w:hAnsi="宋体" w:eastAsia="仿宋_GB2312"/>
          <w:b/>
          <w:bCs/>
          <w:sz w:val="28"/>
          <w:szCs w:val="28"/>
        </w:rPr>
      </w:pPr>
      <w:r>
        <w:rPr>
          <w:rFonts w:hint="eastAsia" w:ascii="仿宋_GB2312" w:hAnsi="宋体" w:eastAsia="仿宋_GB2312"/>
          <w:b/>
          <w:bCs/>
          <w:sz w:val="28"/>
          <w:szCs w:val="28"/>
        </w:rPr>
        <w:t>7 判定原则</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hint="eastAsia" w:ascii="仿宋_GB2312" w:hAnsi="宋体" w:eastAsia="仿宋_GB2312"/>
          <w:b/>
          <w:bCs/>
          <w:sz w:val="28"/>
          <w:szCs w:val="28"/>
        </w:rPr>
      </w:pPr>
      <w:r>
        <w:rPr>
          <w:rFonts w:hint="eastAsia" w:ascii="仿宋_GB2312" w:hAnsi="宋体" w:eastAsia="仿宋_GB2312"/>
          <w:b/>
          <w:bCs/>
          <w:sz w:val="28"/>
          <w:szCs w:val="28"/>
        </w:rPr>
        <w:t>8 异议处理</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复检项目如有仲裁法需用仲裁法进行复检，并出具检验报告。复检结论为最终结论。</w:t>
      </w:r>
    </w:p>
    <w:p>
      <w:pPr>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ascii="仿宋" w:hAnsi="仿宋" w:eastAsia="仿宋"/>
        </w:rPr>
      </w:pPr>
      <w:bookmarkStart w:id="0" w:name="_GoBack"/>
      <w:bookmarkEnd w:id="0"/>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EwYTMyY2IzMGNjYjI2OTAzN2ZiZjQyYjU1NmQ5M2UifQ=="/>
  </w:docVars>
  <w:rsids>
    <w:rsidRoot w:val="00ED17A4"/>
    <w:rsid w:val="000B3688"/>
    <w:rsid w:val="00137A14"/>
    <w:rsid w:val="001F0471"/>
    <w:rsid w:val="0023054C"/>
    <w:rsid w:val="002D5C82"/>
    <w:rsid w:val="00306B86"/>
    <w:rsid w:val="00354872"/>
    <w:rsid w:val="003A0A4F"/>
    <w:rsid w:val="003D5C3F"/>
    <w:rsid w:val="004037DF"/>
    <w:rsid w:val="00473F47"/>
    <w:rsid w:val="004A57D4"/>
    <w:rsid w:val="004A6B42"/>
    <w:rsid w:val="004B2036"/>
    <w:rsid w:val="004F3E65"/>
    <w:rsid w:val="00512565"/>
    <w:rsid w:val="00541242"/>
    <w:rsid w:val="005A5903"/>
    <w:rsid w:val="005C0DA4"/>
    <w:rsid w:val="005C5FF2"/>
    <w:rsid w:val="005D7406"/>
    <w:rsid w:val="006252FC"/>
    <w:rsid w:val="006A6077"/>
    <w:rsid w:val="006C5591"/>
    <w:rsid w:val="007D10B7"/>
    <w:rsid w:val="00800354"/>
    <w:rsid w:val="008D61A5"/>
    <w:rsid w:val="008F7275"/>
    <w:rsid w:val="00946FB2"/>
    <w:rsid w:val="00A0137D"/>
    <w:rsid w:val="00B76969"/>
    <w:rsid w:val="00B85F31"/>
    <w:rsid w:val="00B90EF6"/>
    <w:rsid w:val="00BA0E25"/>
    <w:rsid w:val="00C75839"/>
    <w:rsid w:val="00DA76AE"/>
    <w:rsid w:val="00EB0B2B"/>
    <w:rsid w:val="00ED17A4"/>
    <w:rsid w:val="00EF30B8"/>
    <w:rsid w:val="00F9294E"/>
    <w:rsid w:val="00FA172B"/>
    <w:rsid w:val="00FA37BE"/>
    <w:rsid w:val="00FF4973"/>
    <w:rsid w:val="02BD4475"/>
    <w:rsid w:val="08705141"/>
    <w:rsid w:val="09434DEC"/>
    <w:rsid w:val="0A401166"/>
    <w:rsid w:val="0A9030AE"/>
    <w:rsid w:val="294172F0"/>
    <w:rsid w:val="2A973638"/>
    <w:rsid w:val="4757545E"/>
    <w:rsid w:val="60BD0047"/>
    <w:rsid w:val="64392943"/>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5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autoRedefine/>
    <w:qFormat/>
    <w:uiPriority w:val="99"/>
    <w:rPr>
      <w:rFonts w:ascii="Calibri" w:hAnsi="Calibri" w:eastAsia="宋体" w:cs="Times New Roman"/>
      <w:sz w:val="18"/>
      <w:szCs w:val="18"/>
    </w:rPr>
  </w:style>
  <w:style w:type="character" w:customStyle="1" w:styleId="9">
    <w:name w:val="页脚 Char"/>
    <w:basedOn w:val="7"/>
    <w:link w:val="3"/>
    <w:autoRedefine/>
    <w:qFormat/>
    <w:uiPriority w:val="99"/>
    <w:rPr>
      <w:rFonts w:ascii="Calibri" w:hAnsi="Calibri" w:eastAsia="宋体" w:cs="Times New Roman"/>
      <w:sz w:val="18"/>
      <w:szCs w:val="18"/>
    </w:rPr>
  </w:style>
  <w:style w:type="paragraph" w:styleId="1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6</Pages>
  <Words>2120</Words>
  <Characters>2424</Characters>
  <Lines>20</Lines>
  <Paragraphs>5</Paragraphs>
  <TotalTime>2</TotalTime>
  <ScaleCrop>false</ScaleCrop>
  <LinksUpToDate>false</LinksUpToDate>
  <CharactersWithSpaces>2467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朱正</cp:lastModifiedBy>
  <cp:lastPrinted>2021-06-04T10:15:00Z</cp:lastPrinted>
  <dcterms:modified xsi:type="dcterms:W3CDTF">2024-03-05T13:14:39Z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DD9C1DF26ADD4F5F93E80E077B98E5C3</vt:lpwstr>
  </property>
</Properties>
</file>