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仿宋" w:hAnsi="仿宋" w:eastAsia="仿宋" w:cs="仿宋"/>
          <w:sz w:val="36"/>
          <w:szCs w:val="36"/>
          <w:lang w:eastAsia="zh-CN"/>
        </w:rPr>
      </w:pPr>
      <w:r>
        <w:rPr>
          <w:rFonts w:hint="eastAsia" w:ascii="仿宋" w:hAnsi="仿宋" w:eastAsia="仿宋" w:cs="仿宋"/>
          <w:sz w:val="36"/>
          <w:szCs w:val="36"/>
          <w:lang w:val="en-US" w:eastAsia="zh-CN"/>
        </w:rPr>
        <w:t>2024年兴隆台区</w:t>
      </w:r>
      <w:r>
        <w:rPr>
          <w:rFonts w:hint="eastAsia" w:ascii="仿宋" w:hAnsi="仿宋" w:eastAsia="仿宋" w:cs="仿宋"/>
          <w:sz w:val="36"/>
          <w:szCs w:val="36"/>
          <w:lang w:eastAsia="zh-CN"/>
        </w:rPr>
        <w:t>润滑油</w:t>
      </w:r>
    </w:p>
    <w:p>
      <w:pPr>
        <w:spacing w:line="240" w:lineRule="auto"/>
        <w:jc w:val="center"/>
        <w:rPr>
          <w:rFonts w:hint="eastAsia" w:ascii="仿宋" w:hAnsi="仿宋" w:eastAsia="仿宋" w:cs="仿宋"/>
          <w:sz w:val="36"/>
          <w:szCs w:val="36"/>
        </w:rPr>
      </w:pPr>
      <w:r>
        <w:rPr>
          <w:rFonts w:hint="eastAsia" w:ascii="仿宋" w:hAnsi="仿宋" w:eastAsia="仿宋" w:cs="仿宋"/>
          <w:sz w:val="36"/>
          <w:szCs w:val="36"/>
        </w:rPr>
        <w:t>产品质量监督抽查实施细则</w:t>
      </w:r>
    </w:p>
    <w:p>
      <w:pPr>
        <w:spacing w:line="240" w:lineRule="auto"/>
        <w:ind w:firstLine="720" w:firstLineChars="200"/>
        <w:jc w:val="center"/>
        <w:rPr>
          <w:rFonts w:hint="eastAsia" w:ascii="仿宋" w:hAnsi="仿宋" w:eastAsia="仿宋" w:cs="仿宋"/>
          <w:sz w:val="36"/>
          <w:szCs w:val="36"/>
        </w:rPr>
      </w:pP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 适用范围</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_GB2312" w:hAnsi="仿宋" w:eastAsia="仿宋_GB2312"/>
          <w:kern w:val="0"/>
          <w:sz w:val="28"/>
          <w:szCs w:val="28"/>
        </w:rPr>
      </w:pPr>
      <w:r>
        <w:rPr>
          <w:rFonts w:hint="eastAsia" w:ascii="仿宋" w:hAnsi="仿宋" w:eastAsia="仿宋" w:cs="仿宋"/>
          <w:sz w:val="28"/>
          <w:szCs w:val="28"/>
        </w:rPr>
        <w:t>本细则适用于</w:t>
      </w:r>
      <w:r>
        <w:rPr>
          <w:rFonts w:hint="eastAsia" w:ascii="仿宋" w:hAnsi="仿宋" w:eastAsia="仿宋" w:cs="仿宋"/>
          <w:sz w:val="28"/>
          <w:szCs w:val="28"/>
          <w:lang w:val="en-US" w:eastAsia="zh-CN"/>
        </w:rPr>
        <w:t>2024你兴隆台区</w:t>
      </w:r>
      <w:r>
        <w:rPr>
          <w:rFonts w:hint="eastAsia" w:ascii="仿宋" w:hAnsi="仿宋" w:eastAsia="仿宋" w:cs="仿宋"/>
          <w:sz w:val="28"/>
          <w:szCs w:val="28"/>
          <w:lang w:eastAsia="zh-CN"/>
        </w:rPr>
        <w:t>润滑油</w:t>
      </w:r>
      <w:r>
        <w:rPr>
          <w:rFonts w:hint="eastAsia" w:ascii="仿宋" w:hAnsi="仿宋" w:eastAsia="仿宋" w:cs="仿宋"/>
          <w:sz w:val="28"/>
          <w:szCs w:val="28"/>
        </w:rPr>
        <w:t>产品质量监督抽查，</w:t>
      </w:r>
      <w:r>
        <w:rPr>
          <w:rFonts w:hint="eastAsia" w:ascii="仿宋_GB2312" w:hAnsi="仿宋" w:eastAsia="仿宋_GB2312"/>
          <w:sz w:val="28"/>
          <w:szCs w:val="28"/>
        </w:rPr>
        <w:t>针对特殊情况的专项抽查可参照执行。</w:t>
      </w:r>
      <w:r>
        <w:rPr>
          <w:rFonts w:hint="eastAsia" w:ascii="仿宋_GB2312" w:hAnsi="仿宋" w:eastAsia="仿宋_GB2312"/>
          <w:kern w:val="0"/>
          <w:sz w:val="28"/>
          <w:szCs w:val="28"/>
        </w:rPr>
        <w:t>本细则内容包括产品分类、术语和定义、</w:t>
      </w:r>
      <w:r>
        <w:rPr>
          <w:rFonts w:hint="eastAsia" w:ascii="仿宋_GB2312" w:hAnsi="仿宋" w:eastAsia="仿宋_GB2312"/>
          <w:kern w:val="0"/>
          <w:sz w:val="28"/>
          <w:szCs w:val="28"/>
          <w:lang w:eastAsia="zh-CN"/>
        </w:rPr>
        <w:t>生产</w:t>
      </w:r>
      <w:r>
        <w:rPr>
          <w:rFonts w:hint="eastAsia" w:ascii="仿宋_GB2312" w:hAnsi="仿宋" w:eastAsia="仿宋_GB2312"/>
          <w:kern w:val="0"/>
          <w:sz w:val="28"/>
          <w:szCs w:val="28"/>
        </w:rPr>
        <w:t>企业规模划分、检验依据、抽样、检验要求、判定原则、异议处理。</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 产品分类、术语和定义</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2.1 产品分类</w:t>
      </w:r>
    </w:p>
    <w:p>
      <w:pPr>
        <w:keepNext w:val="0"/>
        <w:keepLines w:val="0"/>
        <w:pageBreakBefore w:val="0"/>
        <w:widowControl w:val="0"/>
        <w:kinsoku/>
        <w:wordWrap/>
        <w:overflowPunct/>
        <w:topLinePunct w:val="0"/>
        <w:autoSpaceDE/>
        <w:autoSpaceDN/>
        <w:bidi w:val="0"/>
        <w:adjustRightInd w:val="0"/>
        <w:snapToGrid w:val="0"/>
        <w:spacing w:line="540" w:lineRule="exact"/>
        <w:ind w:firstLine="420"/>
        <w:jc w:val="center"/>
        <w:textAlignment w:val="auto"/>
        <w:rPr>
          <w:rFonts w:hint="eastAsia" w:ascii="仿宋_GB2312" w:hAnsi="仿宋_GB2312" w:eastAsia="仿宋_GB2312" w:cs="仿宋_GB2312"/>
          <w:color w:val="000000"/>
          <w:kern w:val="0"/>
          <w:sz w:val="24"/>
          <w:szCs w:val="24"/>
        </w:rPr>
      </w:pPr>
      <w:r>
        <w:rPr>
          <w:rFonts w:hint="eastAsia" w:ascii="仿宋_GB2312" w:hAnsi="仿宋_GB2312" w:eastAsia="仿宋_GB2312" w:cs="仿宋_GB2312"/>
          <w:color w:val="000000"/>
          <w:kern w:val="0"/>
          <w:sz w:val="24"/>
          <w:szCs w:val="24"/>
        </w:rPr>
        <w:t>表1  产品分类及代码</w:t>
      </w:r>
    </w:p>
    <w:tbl>
      <w:tblPr>
        <w:tblStyle w:val="7"/>
        <w:tblW w:w="92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3"/>
        <w:gridCol w:w="1740"/>
        <w:gridCol w:w="2026"/>
        <w:gridCol w:w="2146"/>
        <w:gridCol w:w="1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13"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产品分类</w:t>
            </w:r>
          </w:p>
        </w:tc>
        <w:tc>
          <w:tcPr>
            <w:tcW w:w="1740"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一级分类</w:t>
            </w:r>
          </w:p>
        </w:tc>
        <w:tc>
          <w:tcPr>
            <w:tcW w:w="2026"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二级分类</w:t>
            </w:r>
          </w:p>
        </w:tc>
        <w:tc>
          <w:tcPr>
            <w:tcW w:w="2146"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产品编码</w:t>
            </w:r>
            <w:r>
              <w:rPr>
                <w:rFonts w:hint="eastAsia" w:ascii="仿宋" w:hAnsi="仿宋" w:eastAsia="仿宋" w:cs="仿宋"/>
                <w:sz w:val="24"/>
                <w:szCs w:val="24"/>
                <w:lang w:eastAsia="zh-CN"/>
              </w:rPr>
              <w:t>及名称</w:t>
            </w:r>
          </w:p>
        </w:tc>
        <w:tc>
          <w:tcPr>
            <w:tcW w:w="1975"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rPr>
              <w:t>属性编码</w:t>
            </w:r>
            <w:r>
              <w:rPr>
                <w:rFonts w:hint="eastAsia" w:ascii="仿宋" w:hAnsi="仿宋" w:eastAsia="仿宋" w:cs="仿宋"/>
                <w:sz w:val="24"/>
                <w:szCs w:val="24"/>
                <w:lang w:eastAsia="zh-CN"/>
              </w:rPr>
              <w:t>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13"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分类代码</w:t>
            </w:r>
          </w:p>
        </w:tc>
        <w:tc>
          <w:tcPr>
            <w:tcW w:w="1740" w:type="dxa"/>
            <w:noWrap w:val="0"/>
            <w:vAlign w:val="top"/>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03</w:t>
            </w:r>
          </w:p>
        </w:tc>
        <w:tc>
          <w:tcPr>
            <w:tcW w:w="2026" w:type="dxa"/>
            <w:noWrap w:val="0"/>
            <w:vAlign w:val="top"/>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01</w:t>
            </w:r>
          </w:p>
        </w:tc>
        <w:tc>
          <w:tcPr>
            <w:tcW w:w="2146"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33</w:t>
            </w:r>
          </w:p>
        </w:tc>
        <w:tc>
          <w:tcPr>
            <w:tcW w:w="1975"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13"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分类名称</w:t>
            </w:r>
          </w:p>
        </w:tc>
        <w:tc>
          <w:tcPr>
            <w:tcW w:w="1740"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轻工产品</w:t>
            </w:r>
          </w:p>
        </w:tc>
        <w:tc>
          <w:tcPr>
            <w:tcW w:w="2026"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化工产品</w:t>
            </w:r>
          </w:p>
        </w:tc>
        <w:tc>
          <w:tcPr>
            <w:tcW w:w="2146"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润滑油（脂）</w:t>
            </w:r>
          </w:p>
        </w:tc>
        <w:tc>
          <w:tcPr>
            <w:tcW w:w="1975"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车用润滑油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13"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分类代码</w:t>
            </w:r>
          </w:p>
        </w:tc>
        <w:tc>
          <w:tcPr>
            <w:tcW w:w="1740"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06</w:t>
            </w:r>
          </w:p>
        </w:tc>
        <w:tc>
          <w:tcPr>
            <w:tcW w:w="2026"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12</w:t>
            </w:r>
          </w:p>
        </w:tc>
        <w:tc>
          <w:tcPr>
            <w:tcW w:w="2146"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16</w:t>
            </w:r>
          </w:p>
        </w:tc>
        <w:tc>
          <w:tcPr>
            <w:tcW w:w="1975"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313"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分类名称</w:t>
            </w:r>
          </w:p>
        </w:tc>
        <w:tc>
          <w:tcPr>
            <w:tcW w:w="1740"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机械及安防</w:t>
            </w:r>
          </w:p>
        </w:tc>
        <w:tc>
          <w:tcPr>
            <w:tcW w:w="2026"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车辆及相关产品</w:t>
            </w:r>
          </w:p>
        </w:tc>
        <w:tc>
          <w:tcPr>
            <w:tcW w:w="2146"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发动机润滑油</w:t>
            </w:r>
          </w:p>
        </w:tc>
        <w:tc>
          <w:tcPr>
            <w:tcW w:w="1975" w:type="dxa"/>
            <w:noWrap w:val="0"/>
            <w:vAlign w:val="center"/>
          </w:tcPr>
          <w:p>
            <w:pPr>
              <w:keepNext w:val="0"/>
              <w:keepLines w:val="0"/>
              <w:pageBreakBefore w:val="0"/>
              <w:widowControl w:val="0"/>
              <w:kinsoku/>
              <w:wordWrap/>
              <w:overflowPunct/>
              <w:topLinePunct w:val="0"/>
              <w:autoSpaceDE/>
              <w:autoSpaceDN/>
              <w:bidi w:val="0"/>
              <w:snapToGrid w:val="0"/>
              <w:spacing w:line="440" w:lineRule="exact"/>
              <w:jc w:val="center"/>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w:t>
            </w:r>
          </w:p>
        </w:tc>
      </w:tr>
    </w:tbl>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2.2 产品种类</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lang w:val="en-US" w:eastAsia="zh-CN"/>
        </w:rPr>
      </w:pPr>
      <w:r>
        <w:rPr>
          <w:rFonts w:hint="eastAsia" w:ascii="仿宋_GB2312" w:hAnsi="仿宋" w:eastAsia="仿宋_GB2312"/>
          <w:sz w:val="28"/>
          <w:szCs w:val="28"/>
        </w:rPr>
        <w:t>本细则涉及产品种类：</w:t>
      </w:r>
      <w:r>
        <w:rPr>
          <w:rFonts w:hint="eastAsia" w:ascii="仿宋" w:hAnsi="仿宋" w:eastAsia="仿宋" w:cs="仿宋"/>
          <w:sz w:val="28"/>
          <w:szCs w:val="28"/>
        </w:rPr>
        <w:t>汽油机油</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柴油机油</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 术语和定义</w:t>
      </w:r>
    </w:p>
    <w:p>
      <w:pPr>
        <w:adjustRightInd w:val="0"/>
        <w:snapToGrid w:val="0"/>
        <w:spacing w:line="594" w:lineRule="exact"/>
        <w:ind w:firstLine="560" w:firstLineChars="200"/>
        <w:rPr>
          <w:rFonts w:ascii="仿宋_GB2312" w:hAnsi="仿宋" w:eastAsia="仿宋_GB2312"/>
          <w:sz w:val="28"/>
          <w:szCs w:val="28"/>
        </w:rPr>
      </w:pPr>
      <w:r>
        <w:rPr>
          <w:rFonts w:hint="eastAsia" w:ascii="仿宋_GB2312" w:hAnsi="仿宋_GB2312" w:eastAsia="仿宋_GB2312" w:cs="仿宋_GB2312"/>
          <w:sz w:val="28"/>
          <w:szCs w:val="28"/>
        </w:rPr>
        <w:t>下列术语和定义适用于本细则</w:t>
      </w:r>
      <w:r>
        <w:rPr>
          <w:rFonts w:hint="eastAsia" w:ascii="仿宋_GB2312" w:hAnsi="仿宋" w:eastAsia="仿宋_GB2312"/>
          <w:sz w:val="28"/>
          <w:szCs w:val="28"/>
        </w:rPr>
        <w:t>。</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3.1</w:t>
      </w:r>
      <w:r>
        <w:rPr>
          <w:rFonts w:hint="eastAsia" w:ascii="仿宋" w:hAnsi="仿宋" w:eastAsia="仿宋" w:cs="仿宋"/>
          <w:sz w:val="28"/>
          <w:szCs w:val="28"/>
        </w:rPr>
        <w:t>汽油机油</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适用于在各种操作条件下使用的汽车四冲程汽油发动机，如轿车、轻型卡车、货车和客车发动机的润滑。</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3.2柴油机油</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适用于以柴油为燃料的四冲程柴油发动机，如卡车、客车和货车柴油发动机、农业用、工业用和建设用柴油发动机的润滑。</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4</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生产</w:t>
      </w:r>
      <w:r>
        <w:rPr>
          <w:rFonts w:hint="eastAsia" w:ascii="仿宋" w:hAnsi="仿宋" w:eastAsia="仿宋" w:cs="仿宋"/>
          <w:sz w:val="28"/>
          <w:szCs w:val="28"/>
        </w:rPr>
        <w:t>企业规模划分</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根据国家统计局印发的相关管理办法，确定</w:t>
      </w:r>
      <w:r>
        <w:rPr>
          <w:rFonts w:hint="eastAsia" w:ascii="仿宋" w:hAnsi="仿宋" w:eastAsia="仿宋" w:cs="仿宋"/>
          <w:sz w:val="28"/>
          <w:szCs w:val="28"/>
          <w:lang w:val="en-US" w:eastAsia="zh-CN"/>
        </w:rPr>
        <w:t>生产</w:t>
      </w:r>
      <w:r>
        <w:rPr>
          <w:rFonts w:hint="eastAsia" w:ascii="仿宋" w:hAnsi="仿宋" w:eastAsia="仿宋" w:cs="仿宋"/>
          <w:sz w:val="28"/>
          <w:szCs w:val="28"/>
        </w:rPr>
        <w:t>企业规模。</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5</w:t>
      </w:r>
      <w:r>
        <w:rPr>
          <w:rFonts w:hint="eastAsia" w:ascii="仿宋" w:hAnsi="仿宋" w:eastAsia="仿宋" w:cs="仿宋"/>
          <w:sz w:val="28"/>
          <w:szCs w:val="28"/>
        </w:rPr>
        <w:t xml:space="preserve"> 检验依据</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凡是注日期的文件，其随后所有的修改单（不包括勘误的内容）或修订版不适用于本细则。凡是不注日期的文件，其最新版本适用于本细则。</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 xml:space="preserve">GB 11121-2006 </w:t>
      </w:r>
      <w:r>
        <w:rPr>
          <w:rFonts w:hint="eastAsia" w:ascii="仿宋" w:hAnsi="仿宋" w:eastAsia="仿宋" w:cs="仿宋"/>
          <w:sz w:val="28"/>
          <w:szCs w:val="28"/>
          <w:lang w:eastAsia="zh-CN"/>
        </w:rPr>
        <w:t>汽油机油</w:t>
      </w:r>
    </w:p>
    <w:p>
      <w:pPr>
        <w:adjustRightInd w:val="0"/>
        <w:snapToGrid w:val="0"/>
        <w:spacing w:line="594" w:lineRule="exact"/>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GB 11122-2006</w:t>
      </w:r>
      <w:r>
        <w:rPr>
          <w:rFonts w:hint="eastAsia" w:ascii="仿宋_GB2312" w:hAnsi="仿宋_GB2312" w:eastAsia="仿宋_GB2312" w:cs="仿宋_GB2312"/>
          <w:sz w:val="28"/>
          <w:szCs w:val="28"/>
          <w:lang w:val="en-US" w:eastAsia="zh-CN"/>
        </w:rPr>
        <w:t xml:space="preserve"> 柴油机油</w:t>
      </w:r>
    </w:p>
    <w:p>
      <w:pPr>
        <w:adjustRightInd w:val="0"/>
        <w:snapToGrid w:val="0"/>
        <w:spacing w:line="594" w:lineRule="exact"/>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相关的法律、行政法规、部门规章、规范性文件</w:t>
      </w:r>
    </w:p>
    <w:p>
      <w:pPr>
        <w:adjustRightInd w:val="0"/>
        <w:snapToGrid w:val="0"/>
        <w:spacing w:line="594" w:lineRule="exact"/>
        <w:ind w:firstLine="560" w:firstLineChars="200"/>
        <w:rPr>
          <w:rFonts w:hint="eastAsia" w:ascii="仿宋_GB2312" w:hAnsi="仿宋" w:eastAsia="仿宋_GB2312"/>
          <w:sz w:val="28"/>
          <w:szCs w:val="28"/>
          <w:lang w:eastAsia="zh-CN"/>
        </w:rPr>
      </w:pPr>
      <w:r>
        <w:rPr>
          <w:rFonts w:hint="eastAsia" w:ascii="仿宋_GB2312" w:hAnsi="仿宋" w:eastAsia="仿宋_GB2312"/>
          <w:sz w:val="28"/>
          <w:szCs w:val="28"/>
        </w:rPr>
        <w:t>现行有效的企业标准、团体标准、地方标准及产品明示质量要求相关的法律法规、部门规章和规范</w:t>
      </w:r>
      <w:r>
        <w:rPr>
          <w:rFonts w:hint="eastAsia" w:ascii="仿宋_GB2312" w:hAnsi="仿宋" w:eastAsia="仿宋_GB2312"/>
          <w:sz w:val="28"/>
          <w:szCs w:val="28"/>
          <w:lang w:eastAsia="zh-CN"/>
        </w:rPr>
        <w:t>。</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 xml:space="preserve"> 抽样</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.1 抽样型号或规格</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抽取样品应为同一型号规格、同一批次的产品，优先抽取企业的主导产品。</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.2 抽样基数及数量</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在企业的成品区或市场待销产品中随机抽取有产品质量检验合格证明或者以其它形式表明合格（合格证、合格报告、企业相关人员确认等方式均可）的产品。</w:t>
      </w:r>
      <w:bookmarkStart w:id="0" w:name="_Hlk104125003"/>
      <w:bookmarkStart w:id="1" w:name="_Hlk104125440"/>
      <w:r>
        <w:rPr>
          <w:rFonts w:hint="eastAsia" w:ascii="仿宋" w:hAnsi="仿宋" w:eastAsia="仿宋" w:cs="仿宋"/>
          <w:sz w:val="28"/>
          <w:szCs w:val="28"/>
        </w:rPr>
        <w:t>随机数一般可使用随机数表、骰子或扑克牌等方法产生。</w:t>
      </w:r>
      <w:bookmarkEnd w:id="0"/>
      <w:r>
        <w:rPr>
          <w:rFonts w:hint="eastAsia" w:ascii="仿宋" w:hAnsi="仿宋" w:eastAsia="仿宋" w:cs="仿宋"/>
          <w:sz w:val="28"/>
          <w:szCs w:val="28"/>
        </w:rPr>
        <w:t>所抽取产品的保质期（未注明保质期的按尚在保质期内处理）应能确保整个监督抽查（包含异议处理）工作的完成。</w:t>
      </w:r>
      <w:bookmarkEnd w:id="1"/>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每批次产品抽取样品</w:t>
      </w:r>
      <w:r>
        <w:rPr>
          <w:rFonts w:hint="eastAsia" w:ascii="仿宋" w:hAnsi="仿宋" w:eastAsia="仿宋" w:cs="仿宋"/>
          <w:sz w:val="28"/>
          <w:szCs w:val="28"/>
          <w:lang w:val="en-US" w:eastAsia="zh-CN"/>
        </w:rPr>
        <w:t>4L</w:t>
      </w:r>
      <w:r>
        <w:rPr>
          <w:rFonts w:hint="eastAsia" w:ascii="仿宋" w:hAnsi="仿宋" w:eastAsia="仿宋" w:cs="仿宋"/>
          <w:sz w:val="28"/>
          <w:szCs w:val="28"/>
        </w:rPr>
        <w:t>，其中</w:t>
      </w:r>
      <w:r>
        <w:rPr>
          <w:rFonts w:hint="eastAsia" w:ascii="仿宋" w:hAnsi="仿宋" w:eastAsia="仿宋" w:cs="仿宋"/>
          <w:sz w:val="28"/>
          <w:szCs w:val="28"/>
          <w:lang w:val="en-US" w:eastAsia="zh-CN"/>
        </w:rPr>
        <w:t>2L</w:t>
      </w:r>
      <w:r>
        <w:rPr>
          <w:rFonts w:hint="eastAsia" w:ascii="仿宋" w:hAnsi="仿宋" w:eastAsia="仿宋" w:cs="仿宋"/>
          <w:sz w:val="28"/>
          <w:szCs w:val="28"/>
        </w:rPr>
        <w:t>作为检验样品，</w:t>
      </w:r>
      <w:r>
        <w:rPr>
          <w:rFonts w:hint="eastAsia" w:ascii="仿宋" w:hAnsi="仿宋" w:eastAsia="仿宋" w:cs="仿宋"/>
          <w:sz w:val="28"/>
          <w:szCs w:val="28"/>
          <w:lang w:val="en-US" w:eastAsia="zh-CN"/>
        </w:rPr>
        <w:t>2L</w:t>
      </w:r>
      <w:r>
        <w:rPr>
          <w:rFonts w:hint="eastAsia" w:ascii="仿宋" w:hAnsi="仿宋" w:eastAsia="仿宋" w:cs="仿宋"/>
          <w:sz w:val="28"/>
          <w:szCs w:val="28"/>
        </w:rPr>
        <w:t>作为备用样品。</w:t>
      </w:r>
    </w:p>
    <w:p>
      <w:pPr>
        <w:pStyle w:val="3"/>
        <w:rPr>
          <w:rFonts w:hint="eastAsia"/>
        </w:rPr>
      </w:pP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.3 样品处置</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.3.1 对抽取的样品，应分别注明“检验样品”与“备用样品”或类似字样。当场对样品的瓶口或桶口密封，为保证样品的真实性，要有相应的防拆封措施，并保证封条在运输过程中不会破损。封条上至少要有抽样日期、抽样人签字、被抽查企业代表签字及抽样单位公章等相关信息。</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.3.2 抽取的样品应按运输条件包装好，由抽样人员通过合适的途径运送至样品检验机构。运输时严防雨淋、日晒、受潮。装卸时轻搬轻放，严禁掷抛。</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.3.3 备用样品及检验结束后的样品应该贮存在阴凉、干燥、避免阳光直射的安全处。</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.3.4 备用样品由被抽样生产者、销售者先行无偿提供并保存，在整个保存期间被抽样生产者、销售者应当妥善保管封存的样品，保证备用样品签封及包装完整无损，不得隐匿、转移、变卖、损毁。</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.4 抽样单</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应按有关规定填写抽样单，记录被抽查产品及企业相关信息。</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.5 其他要求</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应对抽样的关键过程留下影像资料。在进入企业、取样、双方签字确认等环节时，影像资料要能清晰记录企业名称、营业执照名称、被抽样的产品、取样部位、抽样状态、抽样人员和企业陪同人员等。</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.6 样品获取方式</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.6.1 监督抽查所需的检验样品要在受检单位以购买方式获取。</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.6.2 当被抽样生产者、销售者对检验结论有异议需要复检时，应当向被抽样生产者、销售者支付备用样品费用。</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.7 抽样时应注意的问题</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.7.1 应由抽样技术人员在现场进行抽取，不得由企业自行抽样。抽取的样品应当是有产品质量检验合格证明或者以其他形式表明合格的产品。</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6</w:t>
      </w:r>
      <w:r>
        <w:rPr>
          <w:rFonts w:hint="eastAsia" w:ascii="仿宋" w:hAnsi="仿宋" w:eastAsia="仿宋" w:cs="仿宋"/>
          <w:sz w:val="28"/>
          <w:szCs w:val="28"/>
        </w:rPr>
        <w:t>.7.2 抽样时，抽样人员应当认真核实营业执照等被抽查企业的相关信息，确认企业不存在不得抽样的情形。遇有下列情况之一且能提供有效证明的，不得抽样：</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（1）被抽查企业无监督抽查通知书或者相关文件复印件所列产品的；</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（2）有充分证据证明拟抽查的产品是不用于销售的；</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（3）产品不涉及强制性标准要求，仅按双方约定的技术要求加工生产，且未执行任何标准的；</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（4）有充分证据证明拟抽查的产品为企业用于出口，并且出口合同对产品质量另有规定的；</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（5）产品或者标签、包装、说明书标有“试制”、“处理”或者“样品”等字样的；</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（6）企业提供上级市场监管部门6个月内同一规格型号的该种产品的监督抽查抽样单或者合格检验报告的。（专项抽查除外）</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 xml:space="preserve"> 检验要求</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.1 检验项目</w:t>
      </w:r>
    </w:p>
    <w:p>
      <w:pPr>
        <w:keepNext w:val="0"/>
        <w:keepLines w:val="0"/>
        <w:pageBreakBefore w:val="0"/>
        <w:widowControl w:val="0"/>
        <w:kinsoku/>
        <w:wordWrap/>
        <w:overflowPunct/>
        <w:topLinePunct w:val="0"/>
        <w:autoSpaceDE/>
        <w:autoSpaceDN/>
        <w:bidi w:val="0"/>
        <w:adjustRightInd/>
        <w:spacing w:line="594" w:lineRule="atLeast"/>
        <w:jc w:val="center"/>
        <w:textAlignment w:val="auto"/>
        <w:rPr>
          <w:rFonts w:hint="eastAsia" w:ascii="仿宋" w:hAnsi="仿宋" w:eastAsia="仿宋" w:cs="仿宋"/>
          <w:sz w:val="21"/>
          <w:szCs w:val="21"/>
        </w:rPr>
      </w:pPr>
      <w:r>
        <w:rPr>
          <w:rFonts w:hint="eastAsia" w:ascii="仿宋" w:hAnsi="仿宋" w:eastAsia="仿宋" w:cs="仿宋"/>
          <w:sz w:val="21"/>
          <w:szCs w:val="21"/>
        </w:rPr>
        <w:t>表2</w:t>
      </w:r>
      <w:r>
        <w:rPr>
          <w:rFonts w:hint="eastAsia" w:ascii="仿宋" w:hAnsi="仿宋" w:eastAsia="仿宋" w:cs="仿宋"/>
          <w:sz w:val="21"/>
          <w:szCs w:val="21"/>
          <w:lang w:val="en-US" w:eastAsia="zh-CN"/>
        </w:rPr>
        <w:t>-1汽油机油</w:t>
      </w:r>
      <w:r>
        <w:rPr>
          <w:rFonts w:hint="eastAsia" w:ascii="仿宋" w:hAnsi="仿宋" w:eastAsia="仿宋" w:cs="仿宋"/>
          <w:sz w:val="21"/>
          <w:szCs w:val="21"/>
        </w:rPr>
        <w:t>检验项目</w:t>
      </w:r>
    </w:p>
    <w:tbl>
      <w:tblPr>
        <w:tblStyle w:val="7"/>
        <w:tblW w:w="47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8"/>
        <w:gridCol w:w="3358"/>
        <w:gridCol w:w="2437"/>
        <w:gridCol w:w="22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95" w:type="pct"/>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序号</w:t>
            </w:r>
          </w:p>
        </w:tc>
        <w:tc>
          <w:tcPr>
            <w:tcW w:w="1929" w:type="pct"/>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检验项目</w:t>
            </w:r>
          </w:p>
        </w:tc>
        <w:tc>
          <w:tcPr>
            <w:tcW w:w="1400" w:type="pct"/>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依据标准</w:t>
            </w:r>
          </w:p>
        </w:tc>
        <w:tc>
          <w:tcPr>
            <w:tcW w:w="1274" w:type="pct"/>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95"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1</w:t>
            </w:r>
          </w:p>
        </w:tc>
        <w:tc>
          <w:tcPr>
            <w:tcW w:w="1929"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低</w:t>
            </w:r>
            <w:r>
              <w:rPr>
                <w:rFonts w:hint="eastAsia" w:ascii="仿宋" w:hAnsi="仿宋" w:eastAsia="仿宋" w:cs="仿宋"/>
                <w:sz w:val="21"/>
                <w:szCs w:val="21"/>
              </w:rPr>
              <w:t>温动力黏度</w:t>
            </w:r>
          </w:p>
        </w:tc>
        <w:tc>
          <w:tcPr>
            <w:tcW w:w="1400" w:type="pct"/>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lang w:eastAsia="zh-CN"/>
              </w:rPr>
            </w:pPr>
            <w:r>
              <w:rPr>
                <w:rFonts w:hint="eastAsia" w:ascii="仿宋" w:hAnsi="仿宋" w:eastAsia="仿宋" w:cs="仿宋"/>
                <w:sz w:val="21"/>
                <w:szCs w:val="21"/>
              </w:rPr>
              <w:t>GB 11121-2006</w:t>
            </w:r>
          </w:p>
        </w:tc>
        <w:tc>
          <w:tcPr>
            <w:tcW w:w="1274"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GB/T 6538-2022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95"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2</w:t>
            </w:r>
          </w:p>
        </w:tc>
        <w:tc>
          <w:tcPr>
            <w:tcW w:w="1929"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运动黏度（100℃）</w:t>
            </w:r>
          </w:p>
        </w:tc>
        <w:tc>
          <w:tcPr>
            <w:tcW w:w="140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p>
        </w:tc>
        <w:tc>
          <w:tcPr>
            <w:tcW w:w="1274"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GB/T 265-1988</w:t>
            </w:r>
          </w:p>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GB/T 265-1988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95"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3</w:t>
            </w:r>
          </w:p>
        </w:tc>
        <w:tc>
          <w:tcPr>
            <w:tcW w:w="1929"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黏度指数</w:t>
            </w:r>
          </w:p>
        </w:tc>
        <w:tc>
          <w:tcPr>
            <w:tcW w:w="140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p>
        </w:tc>
        <w:tc>
          <w:tcPr>
            <w:tcW w:w="1274"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GB/T 1995-1998</w:t>
            </w:r>
          </w:p>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GB/T 2541-1981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95"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4</w:t>
            </w:r>
          </w:p>
        </w:tc>
        <w:tc>
          <w:tcPr>
            <w:tcW w:w="1929"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倾点</w:t>
            </w:r>
          </w:p>
        </w:tc>
        <w:tc>
          <w:tcPr>
            <w:tcW w:w="140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p>
        </w:tc>
        <w:tc>
          <w:tcPr>
            <w:tcW w:w="1274"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GB/T 3535-2006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95"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5</w:t>
            </w:r>
          </w:p>
        </w:tc>
        <w:tc>
          <w:tcPr>
            <w:tcW w:w="1929"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水分（体积分数）</w:t>
            </w:r>
          </w:p>
        </w:tc>
        <w:tc>
          <w:tcPr>
            <w:tcW w:w="140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p>
        </w:tc>
        <w:tc>
          <w:tcPr>
            <w:tcW w:w="1274"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GB/T 260-2016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95" w:type="pct"/>
            <w:tcBorders>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6</w:t>
            </w:r>
          </w:p>
        </w:tc>
        <w:tc>
          <w:tcPr>
            <w:tcW w:w="1929"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泡沫性（泡沫倾向/泡沫稳定性）</w:t>
            </w:r>
          </w:p>
        </w:tc>
        <w:tc>
          <w:tcPr>
            <w:tcW w:w="140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p>
        </w:tc>
        <w:tc>
          <w:tcPr>
            <w:tcW w:w="1274"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GB/T 12579-2002</w:t>
            </w:r>
          </w:p>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SH/T 0722-2002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95"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7</w:t>
            </w:r>
          </w:p>
        </w:tc>
        <w:tc>
          <w:tcPr>
            <w:tcW w:w="1929"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机械杂质（质量分数）</w:t>
            </w:r>
          </w:p>
        </w:tc>
        <w:tc>
          <w:tcPr>
            <w:tcW w:w="140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p>
        </w:tc>
        <w:tc>
          <w:tcPr>
            <w:tcW w:w="1274"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GB/T 511-2010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95"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8</w:t>
            </w:r>
          </w:p>
        </w:tc>
        <w:tc>
          <w:tcPr>
            <w:tcW w:w="1929"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闪点（开口）</w:t>
            </w:r>
          </w:p>
        </w:tc>
        <w:tc>
          <w:tcPr>
            <w:tcW w:w="1400"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p>
        </w:tc>
        <w:tc>
          <w:tcPr>
            <w:tcW w:w="1274"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GB/T 3536-2008</w:t>
            </w:r>
          </w:p>
        </w:tc>
      </w:tr>
    </w:tbl>
    <w:p>
      <w:pPr>
        <w:keepNext w:val="0"/>
        <w:keepLines w:val="0"/>
        <w:pageBreakBefore w:val="0"/>
        <w:widowControl w:val="0"/>
        <w:kinsoku/>
        <w:wordWrap/>
        <w:overflowPunct/>
        <w:topLinePunct w:val="0"/>
        <w:autoSpaceDE/>
        <w:autoSpaceDN/>
        <w:bidi w:val="0"/>
        <w:adjustRightInd/>
        <w:spacing w:line="594" w:lineRule="atLeast"/>
        <w:jc w:val="center"/>
        <w:textAlignment w:val="auto"/>
        <w:rPr>
          <w:rFonts w:hint="eastAsia" w:ascii="仿宋" w:hAnsi="仿宋" w:eastAsia="仿宋" w:cs="仿宋"/>
          <w:sz w:val="21"/>
          <w:szCs w:val="21"/>
        </w:rPr>
      </w:pPr>
      <w:r>
        <w:rPr>
          <w:rFonts w:hint="eastAsia" w:ascii="仿宋" w:hAnsi="仿宋" w:eastAsia="仿宋" w:cs="仿宋"/>
          <w:sz w:val="21"/>
          <w:szCs w:val="21"/>
        </w:rPr>
        <w:t>表2</w:t>
      </w:r>
      <w:r>
        <w:rPr>
          <w:rFonts w:hint="eastAsia" w:ascii="仿宋" w:hAnsi="仿宋" w:eastAsia="仿宋" w:cs="仿宋"/>
          <w:sz w:val="21"/>
          <w:szCs w:val="21"/>
          <w:lang w:val="en-US" w:eastAsia="zh-CN"/>
        </w:rPr>
        <w:t>-2柴油机油</w:t>
      </w:r>
      <w:r>
        <w:rPr>
          <w:rFonts w:hint="eastAsia" w:ascii="仿宋" w:hAnsi="仿宋" w:eastAsia="仿宋" w:cs="仿宋"/>
          <w:sz w:val="21"/>
          <w:szCs w:val="21"/>
        </w:rPr>
        <w:t>检验项目</w:t>
      </w:r>
    </w:p>
    <w:tbl>
      <w:tblPr>
        <w:tblStyle w:val="7"/>
        <w:tblW w:w="472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9"/>
        <w:gridCol w:w="3357"/>
        <w:gridCol w:w="2437"/>
        <w:gridCol w:w="2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97" w:type="pct"/>
            <w:tcBorders>
              <w:top w:val="single" w:color="auto" w:sz="4" w:space="0"/>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序号</w:t>
            </w:r>
          </w:p>
        </w:tc>
        <w:tc>
          <w:tcPr>
            <w:tcW w:w="1934" w:type="pct"/>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检验项目</w:t>
            </w:r>
          </w:p>
        </w:tc>
        <w:tc>
          <w:tcPr>
            <w:tcW w:w="1404" w:type="pct"/>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依据标准</w:t>
            </w:r>
          </w:p>
        </w:tc>
        <w:tc>
          <w:tcPr>
            <w:tcW w:w="1264" w:type="pct"/>
            <w:tcBorders>
              <w:top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97"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1</w:t>
            </w:r>
          </w:p>
        </w:tc>
        <w:tc>
          <w:tcPr>
            <w:tcW w:w="1934"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低</w:t>
            </w:r>
            <w:r>
              <w:rPr>
                <w:rFonts w:hint="eastAsia" w:ascii="仿宋" w:hAnsi="仿宋" w:eastAsia="仿宋" w:cs="仿宋"/>
                <w:sz w:val="21"/>
                <w:szCs w:val="21"/>
              </w:rPr>
              <w:t>温动力黏度</w:t>
            </w:r>
          </w:p>
        </w:tc>
        <w:tc>
          <w:tcPr>
            <w:tcW w:w="1404" w:type="pct"/>
            <w:vMerge w:val="restar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lang w:eastAsia="zh-CN"/>
              </w:rPr>
            </w:pPr>
            <w:r>
              <w:rPr>
                <w:rFonts w:hint="eastAsia" w:ascii="仿宋" w:hAnsi="仿宋" w:eastAsia="仿宋" w:cs="仿宋"/>
                <w:sz w:val="21"/>
                <w:szCs w:val="21"/>
              </w:rPr>
              <w:t>GB 11122-2006</w:t>
            </w:r>
          </w:p>
        </w:tc>
        <w:tc>
          <w:tcPr>
            <w:tcW w:w="1264"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GB/T 6538-2022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97"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2</w:t>
            </w:r>
          </w:p>
        </w:tc>
        <w:tc>
          <w:tcPr>
            <w:tcW w:w="1934"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运动黏度（100℃）</w:t>
            </w:r>
          </w:p>
        </w:tc>
        <w:tc>
          <w:tcPr>
            <w:tcW w:w="1404"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p>
        </w:tc>
        <w:tc>
          <w:tcPr>
            <w:tcW w:w="1264"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GB/T 265-1988</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GB/T 265-1988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97"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3</w:t>
            </w:r>
          </w:p>
        </w:tc>
        <w:tc>
          <w:tcPr>
            <w:tcW w:w="1934"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黏度指数</w:t>
            </w:r>
          </w:p>
        </w:tc>
        <w:tc>
          <w:tcPr>
            <w:tcW w:w="1404"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p>
        </w:tc>
        <w:tc>
          <w:tcPr>
            <w:tcW w:w="1264"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GB/T 1995-1998</w:t>
            </w:r>
            <w:r>
              <w:rPr>
                <w:rFonts w:hint="eastAsia" w:ascii="仿宋" w:hAnsi="仿宋" w:eastAsia="仿宋" w:cs="仿宋"/>
                <w:i w:val="0"/>
                <w:iCs w:val="0"/>
                <w:color w:val="000000"/>
                <w:kern w:val="0"/>
                <w:sz w:val="21"/>
                <w:szCs w:val="21"/>
                <w:u w:val="none"/>
                <w:lang w:val="en-US" w:eastAsia="zh-CN" w:bidi="ar"/>
              </w:rPr>
              <w:br w:type="textWrapping"/>
            </w:r>
            <w:r>
              <w:rPr>
                <w:rFonts w:hint="eastAsia" w:ascii="仿宋" w:hAnsi="仿宋" w:eastAsia="仿宋" w:cs="仿宋"/>
                <w:i w:val="0"/>
                <w:iCs w:val="0"/>
                <w:color w:val="000000"/>
                <w:kern w:val="0"/>
                <w:sz w:val="21"/>
                <w:szCs w:val="21"/>
                <w:u w:val="none"/>
                <w:lang w:val="en-US" w:eastAsia="zh-CN" w:bidi="ar"/>
              </w:rPr>
              <w:t>GB/T 2541-1981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97"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4</w:t>
            </w:r>
          </w:p>
        </w:tc>
        <w:tc>
          <w:tcPr>
            <w:tcW w:w="1934"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倾点</w:t>
            </w:r>
          </w:p>
        </w:tc>
        <w:tc>
          <w:tcPr>
            <w:tcW w:w="1404"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p>
        </w:tc>
        <w:tc>
          <w:tcPr>
            <w:tcW w:w="1264"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GB/T 3535-2006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97"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5</w:t>
            </w:r>
          </w:p>
        </w:tc>
        <w:tc>
          <w:tcPr>
            <w:tcW w:w="1934"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水分（体积分数）</w:t>
            </w:r>
          </w:p>
        </w:tc>
        <w:tc>
          <w:tcPr>
            <w:tcW w:w="1404"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p>
        </w:tc>
        <w:tc>
          <w:tcPr>
            <w:tcW w:w="1264"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GB/T 260-2016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97" w:type="pct"/>
            <w:tcBorders>
              <w:left w:val="single" w:color="auto" w:sz="4" w:space="0"/>
              <w:bottom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6</w:t>
            </w:r>
          </w:p>
        </w:tc>
        <w:tc>
          <w:tcPr>
            <w:tcW w:w="1934"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泡沫性（泡沫倾向/泡沫稳定性）</w:t>
            </w:r>
          </w:p>
        </w:tc>
        <w:tc>
          <w:tcPr>
            <w:tcW w:w="1404"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p>
        </w:tc>
        <w:tc>
          <w:tcPr>
            <w:tcW w:w="1264"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bookmarkStart w:id="2" w:name="_GoBack"/>
            <w:bookmarkEnd w:id="2"/>
            <w:r>
              <w:rPr>
                <w:rFonts w:hint="eastAsia" w:ascii="仿宋" w:hAnsi="仿宋" w:eastAsia="仿宋" w:cs="仿宋"/>
                <w:i w:val="0"/>
                <w:iCs w:val="0"/>
                <w:color w:val="000000"/>
                <w:kern w:val="0"/>
                <w:sz w:val="21"/>
                <w:szCs w:val="21"/>
                <w:u w:val="none"/>
                <w:lang w:val="en-US" w:eastAsia="zh-CN" w:bidi="ar"/>
              </w:rPr>
              <w:t>GB/T 12579-2002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97"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7</w:t>
            </w:r>
          </w:p>
        </w:tc>
        <w:tc>
          <w:tcPr>
            <w:tcW w:w="1934"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机械杂质（质量分数）</w:t>
            </w:r>
          </w:p>
        </w:tc>
        <w:tc>
          <w:tcPr>
            <w:tcW w:w="1404"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p>
        </w:tc>
        <w:tc>
          <w:tcPr>
            <w:tcW w:w="1264"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GB/T 511-2010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97" w:type="pct"/>
            <w:tcBorders>
              <w:left w:val="single" w:color="auto" w:sz="4" w:space="0"/>
            </w:tcBorders>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r>
              <w:rPr>
                <w:rFonts w:hint="eastAsia" w:ascii="仿宋" w:hAnsi="仿宋" w:eastAsia="仿宋" w:cs="仿宋"/>
                <w:sz w:val="21"/>
                <w:szCs w:val="21"/>
              </w:rPr>
              <w:t>8</w:t>
            </w:r>
          </w:p>
        </w:tc>
        <w:tc>
          <w:tcPr>
            <w:tcW w:w="1934" w:type="pct"/>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闪点（开口）</w:t>
            </w:r>
          </w:p>
        </w:tc>
        <w:tc>
          <w:tcPr>
            <w:tcW w:w="1404" w:type="pct"/>
            <w:vMerge w:val="continue"/>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仿宋" w:hAnsi="仿宋" w:eastAsia="仿宋" w:cs="仿宋"/>
                <w:sz w:val="21"/>
                <w:szCs w:val="21"/>
              </w:rPr>
            </w:pPr>
          </w:p>
        </w:tc>
        <w:tc>
          <w:tcPr>
            <w:tcW w:w="1264" w:type="pct"/>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1"/>
                <w:szCs w:val="21"/>
                <w:u w:val="none"/>
                <w:lang w:val="en-US" w:eastAsia="zh-CN" w:bidi="ar"/>
              </w:rPr>
            </w:pPr>
            <w:r>
              <w:rPr>
                <w:rFonts w:hint="eastAsia" w:ascii="仿宋" w:hAnsi="仿宋" w:eastAsia="仿宋" w:cs="仿宋"/>
                <w:i w:val="0"/>
                <w:iCs w:val="0"/>
                <w:color w:val="000000"/>
                <w:kern w:val="0"/>
                <w:sz w:val="21"/>
                <w:szCs w:val="21"/>
                <w:u w:val="none"/>
                <w:lang w:val="en-US" w:eastAsia="zh-CN" w:bidi="ar"/>
              </w:rPr>
              <w:t>GB/T 3536-2008</w:t>
            </w:r>
          </w:p>
        </w:tc>
      </w:tr>
    </w:tbl>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7</w:t>
      </w:r>
      <w:r>
        <w:rPr>
          <w:rFonts w:hint="eastAsia" w:ascii="仿宋" w:hAnsi="仿宋" w:eastAsia="仿宋" w:cs="仿宋"/>
          <w:sz w:val="28"/>
          <w:szCs w:val="28"/>
        </w:rPr>
        <w:t>.2 检验应注意的问题</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若被检产品明示的质量要求高于本细则中的检验项目依据的标准要求时，应按被检产品明示的质量要求判定。</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若被检产品明示的质量要求低于本细则中的检验项目依据的强制性标准要求时，应按强制性标准要求判定。</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若被检产品明示的质量要求低于或包含细则中检验项目依据的推荐性标准要求时，应以被检产品明示的质量要求判定。</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若被检产品明示的质量要求缺少本细则中检验项目依据的强制性标准要求时，应按照强制性标准要求判定。</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若被检产品明示的质量要求缺少本细则中检验项目依据的推荐性标准要求时，该项目不参与判定，但应在检验报告备注中进行说明。</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检验过程中遇到有样品失效或者其它情况致使检验无法进行时，必须如实记录即时情况，并有充分的证实材料。</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当一个检验项目有多个检测方法时，出现可疑结果或不合格结果（即在有异议）时，应以产品标准中规定方法的测定结果为准。</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8</w:t>
      </w:r>
      <w:r>
        <w:rPr>
          <w:rFonts w:hint="eastAsia" w:ascii="仿宋" w:hAnsi="仿宋" w:eastAsia="仿宋" w:cs="仿宋"/>
          <w:sz w:val="28"/>
          <w:szCs w:val="28"/>
        </w:rPr>
        <w:t xml:space="preserve"> 判定原则</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经检验，检验项目全部合格，判定为被抽查产品所检项目未发现不合格；检验项目中任一项或一项以上不合格，判定为被抽查产品不合格。</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9</w:t>
      </w:r>
      <w:r>
        <w:rPr>
          <w:rFonts w:hint="eastAsia" w:ascii="仿宋" w:hAnsi="仿宋" w:eastAsia="仿宋" w:cs="仿宋"/>
          <w:sz w:val="28"/>
          <w:szCs w:val="28"/>
        </w:rPr>
        <w:t xml:space="preserve"> 异议处理</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对被判定为不合格产品进行异议处理时，按以下方式进行：</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9</w:t>
      </w:r>
      <w:r>
        <w:rPr>
          <w:rFonts w:hint="eastAsia" w:ascii="仿宋" w:hAnsi="仿宋" w:eastAsia="仿宋" w:cs="仿宋"/>
          <w:sz w:val="28"/>
          <w:szCs w:val="28"/>
        </w:rPr>
        <w:t>.1 核查不合格项目相关证据，能够以记录（纸质记录或电子记录或影像记录）或与不合格项目相关联的其它质量数据等检验证据证明。</w:t>
      </w:r>
    </w:p>
    <w:p>
      <w:pPr>
        <w:keepNext w:val="0"/>
        <w:keepLines w:val="0"/>
        <w:pageBreakBefore w:val="0"/>
        <w:widowControl w:val="0"/>
        <w:kinsoku/>
        <w:wordWrap/>
        <w:overflowPunct/>
        <w:topLinePunct w:val="0"/>
        <w:autoSpaceDE/>
        <w:autoSpaceDN/>
        <w:bidi w:val="0"/>
        <w:adjustRightInd/>
        <w:spacing w:line="594" w:lineRule="atLeas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9</w:t>
      </w:r>
      <w:r>
        <w:rPr>
          <w:rFonts w:hint="eastAsia" w:ascii="仿宋" w:hAnsi="仿宋" w:eastAsia="仿宋" w:cs="仿宋"/>
          <w:sz w:val="28"/>
          <w:szCs w:val="28"/>
        </w:rPr>
        <w:t>.2 对需要复检并具备检验条件的，处理企业异议的市场监督管理部门或者指定检验机构应当按原监督抽查方案对抽取的备用样品组织复检，并出具检验报告。复检结论为最终结论。</w:t>
      </w:r>
    </w:p>
    <w:sectPr>
      <w:footerReference r:id="rId3" w:type="default"/>
      <w:pgSz w:w="11906" w:h="16838"/>
      <w:pgMar w:top="1985" w:right="1474" w:bottom="1644"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hint="eastAsia" w:eastAsia="宋体"/>
                              <w:lang w:val="en-US" w:eastAsia="zh-CN"/>
                            </w:rPr>
                          </w:pPr>
                          <w:r>
                            <w:rPr>
                              <w:rFonts w:hint="eastAsia" w:ascii="宋体" w:hAnsi="宋体" w:eastAsia="宋体" w:cs="宋体"/>
                              <w:sz w:val="21"/>
                              <w:szCs w:val="21"/>
                              <w:lang w:val="en-US" w:eastAsia="zh-CN"/>
                            </w:rPr>
                            <w:t>-</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cs="宋体"/>
                              <w:sz w:val="21"/>
                              <w:szCs w:val="21"/>
                              <w:lang w:val="en-US" w:eastAsia="zh-CN"/>
                            </w:rPr>
                            <w:t>-</w:t>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pPr>
                      <w:pStyle w:val="5"/>
                      <w:rPr>
                        <w:rFonts w:hint="eastAsia" w:eastAsia="宋体"/>
                        <w:lang w:val="en-US" w:eastAsia="zh-CN"/>
                      </w:rPr>
                    </w:pPr>
                    <w:r>
                      <w:rPr>
                        <w:rFonts w:hint="eastAsia" w:ascii="宋体" w:hAnsi="宋体" w:eastAsia="宋体" w:cs="宋体"/>
                        <w:sz w:val="21"/>
                        <w:szCs w:val="21"/>
                        <w:lang w:val="en-US" w:eastAsia="zh-CN"/>
                      </w:rPr>
                      <w:t>-</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hint="eastAsia" w:ascii="宋体" w:hAnsi="宋体" w:eastAsia="宋体" w:cs="宋体"/>
                        <w:sz w:val="21"/>
                        <w:szCs w:val="21"/>
                      </w:rPr>
                      <w:t>1</w:t>
                    </w:r>
                    <w:r>
                      <w:rPr>
                        <w:rFonts w:hint="eastAsia" w:ascii="宋体" w:hAnsi="宋体" w:eastAsia="宋体" w:cs="宋体"/>
                        <w:sz w:val="21"/>
                        <w:szCs w:val="21"/>
                      </w:rPr>
                      <w:fldChar w:fldCharType="end"/>
                    </w:r>
                    <w:r>
                      <w:rPr>
                        <w:rFonts w:hint="eastAsia" w:ascii="宋体" w:hAnsi="宋体" w:cs="宋体"/>
                        <w:sz w:val="21"/>
                        <w:szCs w:val="21"/>
                        <w:lang w:val="en-US" w:eastAsia="zh-CN"/>
                      </w:rP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EwYTMyY2IzMGNjYjI2OTAzN2ZiZjQyYjU1NmQ5M2UifQ=="/>
  </w:docVars>
  <w:rsids>
    <w:rsidRoot w:val="00B97FE6"/>
    <w:rsid w:val="000202D3"/>
    <w:rsid w:val="00037557"/>
    <w:rsid w:val="000A62AF"/>
    <w:rsid w:val="000F1B3A"/>
    <w:rsid w:val="00162CC0"/>
    <w:rsid w:val="00184F25"/>
    <w:rsid w:val="001906B6"/>
    <w:rsid w:val="001B538F"/>
    <w:rsid w:val="00217D55"/>
    <w:rsid w:val="0022318E"/>
    <w:rsid w:val="00232B8D"/>
    <w:rsid w:val="00293F0D"/>
    <w:rsid w:val="002B0F89"/>
    <w:rsid w:val="002B18EA"/>
    <w:rsid w:val="00303E64"/>
    <w:rsid w:val="00323456"/>
    <w:rsid w:val="003339C1"/>
    <w:rsid w:val="00374209"/>
    <w:rsid w:val="003B3A9B"/>
    <w:rsid w:val="003C21CA"/>
    <w:rsid w:val="003F678E"/>
    <w:rsid w:val="00402405"/>
    <w:rsid w:val="005409ED"/>
    <w:rsid w:val="00573DC5"/>
    <w:rsid w:val="00576DD7"/>
    <w:rsid w:val="005976C2"/>
    <w:rsid w:val="006158DC"/>
    <w:rsid w:val="006913F6"/>
    <w:rsid w:val="006C4D64"/>
    <w:rsid w:val="006D4875"/>
    <w:rsid w:val="006D66B6"/>
    <w:rsid w:val="00743C8D"/>
    <w:rsid w:val="007C4AEE"/>
    <w:rsid w:val="007F2507"/>
    <w:rsid w:val="00813DEE"/>
    <w:rsid w:val="008754EC"/>
    <w:rsid w:val="008B6597"/>
    <w:rsid w:val="008F6B7A"/>
    <w:rsid w:val="00901E61"/>
    <w:rsid w:val="00904539"/>
    <w:rsid w:val="00925C0C"/>
    <w:rsid w:val="00941F33"/>
    <w:rsid w:val="00960BA3"/>
    <w:rsid w:val="0099387D"/>
    <w:rsid w:val="009B5CD5"/>
    <w:rsid w:val="00A003E0"/>
    <w:rsid w:val="00A97736"/>
    <w:rsid w:val="00AC0CAD"/>
    <w:rsid w:val="00AD444D"/>
    <w:rsid w:val="00AF24C8"/>
    <w:rsid w:val="00B25732"/>
    <w:rsid w:val="00B75CCA"/>
    <w:rsid w:val="00B97FE6"/>
    <w:rsid w:val="00BF12D3"/>
    <w:rsid w:val="00C56CB4"/>
    <w:rsid w:val="00CA6575"/>
    <w:rsid w:val="00CE0738"/>
    <w:rsid w:val="00CF6A1F"/>
    <w:rsid w:val="00D821A9"/>
    <w:rsid w:val="00DB5866"/>
    <w:rsid w:val="00DB69E0"/>
    <w:rsid w:val="00DC51A2"/>
    <w:rsid w:val="00E21286"/>
    <w:rsid w:val="00E25DDF"/>
    <w:rsid w:val="00E35D44"/>
    <w:rsid w:val="00E564CD"/>
    <w:rsid w:val="00E660BD"/>
    <w:rsid w:val="00F14315"/>
    <w:rsid w:val="00F65033"/>
    <w:rsid w:val="00F749EF"/>
    <w:rsid w:val="00F90C80"/>
    <w:rsid w:val="00FE474F"/>
    <w:rsid w:val="00FE56F7"/>
    <w:rsid w:val="10943203"/>
    <w:rsid w:val="1FDE4CA1"/>
    <w:rsid w:val="2E466055"/>
    <w:rsid w:val="35032278"/>
    <w:rsid w:val="383E6D6D"/>
    <w:rsid w:val="3A73385E"/>
    <w:rsid w:val="495609F2"/>
    <w:rsid w:val="59D75040"/>
    <w:rsid w:val="5B114112"/>
    <w:rsid w:val="637E1E6E"/>
    <w:rsid w:val="6CDF0D5E"/>
    <w:rsid w:val="76B83ED5"/>
    <w:rsid w:val="DDEA307A"/>
    <w:rsid w:val="F7F5F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1"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style>
  <w:style w:type="paragraph" w:styleId="4">
    <w:name w:val="Balloon Text"/>
    <w:basedOn w:val="1"/>
    <w:link w:val="11"/>
    <w:autoRedefine/>
    <w:semiHidden/>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字符"/>
    <w:basedOn w:val="8"/>
    <w:link w:val="6"/>
    <w:qFormat/>
    <w:uiPriority w:val="99"/>
    <w:rPr>
      <w:rFonts w:ascii="Calibri" w:hAnsi="Calibri" w:eastAsia="宋体" w:cs="Times New Roman"/>
      <w:sz w:val="18"/>
      <w:szCs w:val="18"/>
    </w:rPr>
  </w:style>
  <w:style w:type="character" w:customStyle="1" w:styleId="10">
    <w:name w:val="页脚 字符"/>
    <w:basedOn w:val="8"/>
    <w:link w:val="5"/>
    <w:qFormat/>
    <w:uiPriority w:val="99"/>
    <w:rPr>
      <w:rFonts w:ascii="Calibri" w:hAnsi="Calibri" w:eastAsia="宋体" w:cs="Times New Roman"/>
      <w:sz w:val="18"/>
      <w:szCs w:val="18"/>
    </w:rPr>
  </w:style>
  <w:style w:type="character" w:customStyle="1" w:styleId="11">
    <w:name w:val="批注框文本 字符"/>
    <w:basedOn w:val="8"/>
    <w:link w:val="4"/>
    <w:semiHidden/>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2517</Words>
  <Characters>2867</Characters>
  <Lines>21</Lines>
  <Paragraphs>5</Paragraphs>
  <TotalTime>3</TotalTime>
  <ScaleCrop>false</ScaleCrop>
  <LinksUpToDate>false</LinksUpToDate>
  <CharactersWithSpaces>2926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2021-05-18T19:54:00Z</dcterms:created>
  <dc:creator>admin</dc:creator>
  <cp:lastModifiedBy>朱正</cp:lastModifiedBy>
  <cp:lastPrinted>2021-06-05T10:49:00Z</cp:lastPrinted>
  <dcterms:modified xsi:type="dcterms:W3CDTF">2024-03-05T13:29:06Z</dcterms:modified>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5959C70F8E0943FAADE3208E2D3508C2_13</vt:lpwstr>
  </property>
</Properties>
</file>