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2024年兴隆台区</w:t>
      </w:r>
      <w:r>
        <w:rPr>
          <w:rFonts w:hint="eastAsia" w:ascii="仿宋" w:hAnsi="仿宋" w:eastAsia="仿宋" w:cs="仿宋"/>
          <w:b/>
          <w:bCs/>
          <w:sz w:val="32"/>
          <w:szCs w:val="32"/>
        </w:rPr>
        <w:t>车用乙醇汽油</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E10</w:t>
      </w:r>
      <w:r>
        <w:rPr>
          <w:rFonts w:hint="eastAsia" w:ascii="仿宋" w:hAnsi="仿宋" w:eastAsia="仿宋" w:cs="仿宋"/>
          <w:b/>
          <w:bCs/>
          <w:sz w:val="32"/>
          <w:szCs w:val="32"/>
          <w:lang w:eastAsia="zh-CN"/>
        </w:rPr>
        <w:t>）</w:t>
      </w:r>
    </w:p>
    <w:p>
      <w:pPr>
        <w:spacing w:line="240" w:lineRule="auto"/>
        <w:jc w:val="center"/>
        <w:rPr>
          <w:rFonts w:hint="eastAsia" w:ascii="仿宋" w:hAnsi="仿宋" w:eastAsia="仿宋" w:cs="仿宋"/>
          <w:b/>
          <w:bCs/>
          <w:sz w:val="32"/>
          <w:szCs w:val="32"/>
        </w:rPr>
      </w:pPr>
      <w:r>
        <w:rPr>
          <w:rFonts w:hint="eastAsia" w:ascii="仿宋" w:hAnsi="仿宋" w:eastAsia="仿宋" w:cs="仿宋"/>
          <w:b/>
          <w:bCs/>
          <w:sz w:val="32"/>
          <w:szCs w:val="32"/>
        </w:rPr>
        <w:t>产品质量监督抽查实施细则</w:t>
      </w:r>
    </w:p>
    <w:p>
      <w:pPr>
        <w:spacing w:line="594" w:lineRule="exact"/>
        <w:ind w:firstLine="400" w:firstLineChars="200"/>
        <w:rPr>
          <w:rFonts w:ascii="仿宋" w:hAnsi="仿宋" w:eastAsia="仿宋" w:cs="Arial"/>
          <w:sz w:val="20"/>
          <w:szCs w:val="20"/>
        </w:rPr>
      </w:pP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 适用范围</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本细则适用于</w:t>
      </w:r>
      <w:r>
        <w:rPr>
          <w:rFonts w:hint="eastAsia" w:ascii="仿宋" w:hAnsi="仿宋" w:eastAsia="仿宋" w:cs="仿宋"/>
          <w:sz w:val="28"/>
          <w:szCs w:val="28"/>
          <w:lang w:val="en-US" w:eastAsia="zh-CN"/>
        </w:rPr>
        <w:t>2024年兴隆台区</w:t>
      </w:r>
      <w:r>
        <w:rPr>
          <w:rFonts w:hint="eastAsia" w:ascii="仿宋" w:hAnsi="仿宋" w:eastAsia="仿宋" w:cs="仿宋"/>
          <w:sz w:val="28"/>
          <w:szCs w:val="28"/>
        </w:rPr>
        <w:t>车用乙醇汽油</w:t>
      </w:r>
      <w:r>
        <w:rPr>
          <w:rFonts w:hint="eastAsia" w:ascii="仿宋" w:hAnsi="仿宋" w:eastAsia="仿宋" w:cs="仿宋"/>
          <w:sz w:val="28"/>
          <w:szCs w:val="28"/>
          <w:lang w:val="en-US" w:eastAsia="zh-CN"/>
        </w:rPr>
        <w:t>(E10)</w:t>
      </w:r>
      <w:r>
        <w:rPr>
          <w:rFonts w:hint="eastAsia" w:ascii="仿宋" w:hAnsi="仿宋" w:eastAsia="仿宋" w:cs="仿宋"/>
          <w:sz w:val="28"/>
          <w:szCs w:val="28"/>
        </w:rPr>
        <w:t>产品质量监督抽查，针对特殊情况的专项抽查可参照执行。本实施细则内容包括产品分类、术语和定义、</w:t>
      </w:r>
      <w:r>
        <w:rPr>
          <w:rFonts w:hint="eastAsia" w:ascii="仿宋" w:hAnsi="仿宋" w:eastAsia="仿宋" w:cs="仿宋"/>
          <w:sz w:val="28"/>
          <w:szCs w:val="28"/>
          <w:lang w:val="en-US" w:eastAsia="zh-CN"/>
        </w:rPr>
        <w:t>生产</w:t>
      </w:r>
      <w:r>
        <w:rPr>
          <w:rFonts w:hint="eastAsia" w:ascii="仿宋" w:hAnsi="仿宋" w:eastAsia="仿宋" w:cs="仿宋"/>
          <w:sz w:val="28"/>
          <w:szCs w:val="28"/>
        </w:rPr>
        <w:t>企业规模划分、检验依据、抽样、检验要求、判定原则、异议处理</w:t>
      </w:r>
      <w:r>
        <w:rPr>
          <w:rFonts w:hint="eastAsia" w:ascii="仿宋" w:hAnsi="仿宋" w:eastAsia="仿宋" w:cs="仿宋"/>
          <w:sz w:val="28"/>
          <w:szCs w:val="28"/>
          <w:lang w:val="en-US" w:eastAsia="zh-CN"/>
        </w:rPr>
        <w:t>及附则</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2 产品分类、术语和定义</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1"/>
          <w:szCs w:val="21"/>
        </w:rPr>
      </w:pPr>
      <w:r>
        <w:rPr>
          <w:rFonts w:hint="eastAsia" w:ascii="仿宋" w:hAnsi="仿宋" w:eastAsia="仿宋" w:cs="仿宋"/>
          <w:sz w:val="28"/>
          <w:szCs w:val="28"/>
        </w:rPr>
        <w:t>2.1 产品分类</w:t>
      </w:r>
    </w:p>
    <w:p>
      <w:pPr>
        <w:keepNext w:val="0"/>
        <w:keepLines w:val="0"/>
        <w:pageBreakBefore w:val="0"/>
        <w:widowControl w:val="0"/>
        <w:kinsoku/>
        <w:wordWrap/>
        <w:overflowPunct/>
        <w:topLinePunct w:val="0"/>
        <w:autoSpaceDE/>
        <w:autoSpaceDN/>
        <w:bidi w:val="0"/>
        <w:adjustRightInd w:val="0"/>
        <w:snapToGrid w:val="0"/>
        <w:spacing w:line="540" w:lineRule="exact"/>
        <w:ind w:firstLine="420"/>
        <w:jc w:val="center"/>
        <w:textAlignment w:val="auto"/>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表1  产品分类及代码</w:t>
      </w:r>
    </w:p>
    <w:tbl>
      <w:tblPr>
        <w:tblStyle w:val="7"/>
        <w:tblW w:w="9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1740"/>
        <w:gridCol w:w="2026"/>
        <w:gridCol w:w="1988"/>
        <w:gridCol w:w="1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313"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产品分类</w:t>
            </w:r>
          </w:p>
        </w:tc>
        <w:tc>
          <w:tcPr>
            <w:tcW w:w="1740"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一级分类</w:t>
            </w:r>
          </w:p>
        </w:tc>
        <w:tc>
          <w:tcPr>
            <w:tcW w:w="2026"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二级分类</w:t>
            </w:r>
          </w:p>
        </w:tc>
        <w:tc>
          <w:tcPr>
            <w:tcW w:w="1988"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产品编码</w:t>
            </w:r>
            <w:r>
              <w:rPr>
                <w:rFonts w:hint="eastAsia" w:ascii="仿宋" w:hAnsi="仿宋" w:eastAsia="仿宋" w:cs="仿宋"/>
                <w:sz w:val="24"/>
                <w:szCs w:val="24"/>
                <w:lang w:eastAsia="zh-CN"/>
              </w:rPr>
              <w:t>及名称</w:t>
            </w:r>
          </w:p>
        </w:tc>
        <w:tc>
          <w:tcPr>
            <w:tcW w:w="1987" w:type="dxa"/>
            <w:vAlign w:val="center"/>
          </w:tcPr>
          <w:p>
            <w:pPr>
              <w:snapToGrid w:val="0"/>
              <w:spacing w:line="360" w:lineRule="exact"/>
              <w:jc w:val="center"/>
              <w:rPr>
                <w:rFonts w:hint="eastAsia" w:ascii="仿宋" w:hAnsi="仿宋" w:eastAsia="仿宋" w:cs="仿宋"/>
                <w:sz w:val="24"/>
                <w:szCs w:val="24"/>
                <w:lang w:eastAsia="zh-CN"/>
              </w:rPr>
            </w:pPr>
            <w:r>
              <w:rPr>
                <w:rFonts w:hint="eastAsia" w:ascii="仿宋" w:hAnsi="仿宋" w:eastAsia="仿宋" w:cs="仿宋"/>
                <w:sz w:val="24"/>
                <w:szCs w:val="24"/>
              </w:rPr>
              <w:t>属性编码</w:t>
            </w:r>
            <w:r>
              <w:rPr>
                <w:rFonts w:hint="eastAsia" w:ascii="仿宋" w:hAnsi="仿宋" w:eastAsia="仿宋" w:cs="仿宋"/>
                <w:sz w:val="24"/>
                <w:szCs w:val="24"/>
                <w:lang w:eastAsia="zh-CN"/>
              </w:rPr>
              <w:t>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分类代码</w:t>
            </w:r>
          </w:p>
        </w:tc>
        <w:tc>
          <w:tcPr>
            <w:tcW w:w="1740" w:type="dxa"/>
          </w:tcPr>
          <w:p>
            <w:pPr>
              <w:snapToGrid w:val="0"/>
              <w:spacing w:line="3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06</w:t>
            </w:r>
          </w:p>
        </w:tc>
        <w:tc>
          <w:tcPr>
            <w:tcW w:w="2026" w:type="dxa"/>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988" w:type="dxa"/>
            <w:vAlign w:val="center"/>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89</w:t>
            </w:r>
          </w:p>
        </w:tc>
        <w:tc>
          <w:tcPr>
            <w:tcW w:w="1987" w:type="dxa"/>
            <w:vAlign w:val="center"/>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分类名称</w:t>
            </w:r>
          </w:p>
        </w:tc>
        <w:tc>
          <w:tcPr>
            <w:tcW w:w="1740"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机械及安防</w:t>
            </w:r>
          </w:p>
        </w:tc>
        <w:tc>
          <w:tcPr>
            <w:tcW w:w="2026"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车辆及相关产品</w:t>
            </w:r>
          </w:p>
        </w:tc>
        <w:tc>
          <w:tcPr>
            <w:tcW w:w="1988" w:type="dxa"/>
            <w:vAlign w:val="center"/>
          </w:tcPr>
          <w:p>
            <w:pPr>
              <w:snapToGrid w:val="0"/>
              <w:spacing w:line="3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车用乙醇汽油</w:t>
            </w:r>
          </w:p>
        </w:tc>
        <w:tc>
          <w:tcPr>
            <w:tcW w:w="1987" w:type="dxa"/>
            <w:vAlign w:val="center"/>
          </w:tcPr>
          <w:p>
            <w:pPr>
              <w:snapToGrid w:val="0"/>
              <w:spacing w:line="3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w:t>
            </w:r>
          </w:p>
        </w:tc>
      </w:tr>
    </w:tbl>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 产品种类</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车用乙醇汽油</w:t>
      </w:r>
      <w:r>
        <w:rPr>
          <w:rFonts w:hint="eastAsia" w:ascii="仿宋" w:hAnsi="仿宋" w:eastAsia="仿宋" w:cs="仿宋"/>
          <w:sz w:val="28"/>
          <w:szCs w:val="28"/>
          <w:lang w:val="en-US" w:eastAsia="zh-CN"/>
        </w:rPr>
        <w:t>(E10)</w:t>
      </w:r>
      <w:r>
        <w:rPr>
          <w:rFonts w:hint="eastAsia" w:ascii="仿宋" w:hAnsi="仿宋" w:eastAsia="仿宋" w:cs="仿宋"/>
          <w:sz w:val="28"/>
          <w:szCs w:val="28"/>
        </w:rPr>
        <w:t>按研究法辛烷值分为89号、92号、95号、98号四个牌号；经公示现行有效的企业标准、地方标准及产品明示质量要求中规定的特殊牌号。</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2.3 术语和定义</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本细则中所使用的术语和定义同相关引用标准。</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3 企业规模划分</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根据国家统计局印发的相关管理办法，确定企业规模。</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4 检验依据</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GB 18351</w:t>
      </w:r>
      <w:r>
        <w:rPr>
          <w:rFonts w:hint="eastAsia" w:ascii="仿宋" w:hAnsi="仿宋" w:eastAsia="仿宋" w:cs="仿宋"/>
          <w:sz w:val="28"/>
          <w:szCs w:val="28"/>
          <w:lang w:val="en-US" w:eastAsia="zh-CN"/>
        </w:rPr>
        <w:t>-2017</w:t>
      </w:r>
      <w:r>
        <w:rPr>
          <w:rFonts w:hint="eastAsia" w:ascii="仿宋" w:hAnsi="仿宋" w:eastAsia="仿宋" w:cs="仿宋"/>
          <w:sz w:val="28"/>
          <w:szCs w:val="28"/>
        </w:rPr>
        <w:t xml:space="preserve">   车用乙醇汽油（E10）</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相关的法律法规、部门规章和规范</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经公示现行有效的企业标准、地方标准及产品明示质量要求</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5 抽样</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5.1 抽样型号或规格</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抽取样品应为同一型号规格、同一批次的产品，优先抽取企业的主导产品。</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5.2 抽样基数及数量</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企业的成品区或市场待销产品中随机抽取有产品质量检验合格证明或者以其它形式表明合格（合格证、合格报告、企业相关人员确认等方式均可）的产品。随机数一般可使用随机数表、骰子或扑克牌等方法产生。所抽取产品的保质期（未注明保质期的按尚在保质期内处理）应能确保整个监督抽查（包含异议处理）工作的完成。</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在市场待销产品的成品罐取样时，</w:t>
      </w:r>
      <w:r>
        <w:rPr>
          <w:rFonts w:hint="eastAsia" w:ascii="仿宋" w:hAnsi="仿宋" w:eastAsia="仿宋" w:cs="仿宋"/>
          <w:sz w:val="28"/>
          <w:szCs w:val="28"/>
          <w:lang w:val="en-US" w:eastAsia="zh-CN"/>
        </w:rPr>
        <w:t>根据</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GB 18351-2017 中 6 取样规定，</w:t>
      </w:r>
      <w:r>
        <w:rPr>
          <w:rFonts w:hint="eastAsia" w:ascii="仿宋" w:hAnsi="仿宋" w:eastAsia="仿宋" w:cs="仿宋"/>
          <w:sz w:val="28"/>
          <w:szCs w:val="28"/>
        </w:rPr>
        <w:t>取样</w:t>
      </w:r>
      <w:r>
        <w:rPr>
          <w:rFonts w:hint="eastAsia" w:ascii="仿宋" w:hAnsi="仿宋" w:eastAsia="仿宋" w:cs="仿宋"/>
          <w:sz w:val="28"/>
          <w:szCs w:val="28"/>
          <w:lang w:val="en-US" w:eastAsia="zh-CN"/>
        </w:rPr>
        <w:t>按</w:t>
      </w:r>
      <w:r>
        <w:rPr>
          <w:rFonts w:hint="eastAsia" w:ascii="仿宋" w:hAnsi="仿宋" w:eastAsia="仿宋" w:cs="仿宋"/>
          <w:sz w:val="28"/>
          <w:szCs w:val="28"/>
        </w:rPr>
        <w:t>GB/T 4756执行，取</w:t>
      </w:r>
      <w:r>
        <w:rPr>
          <w:rFonts w:hint="eastAsia" w:ascii="仿宋" w:hAnsi="仿宋" w:eastAsia="仿宋" w:cs="仿宋"/>
          <w:sz w:val="28"/>
          <w:szCs w:val="28"/>
          <w:lang w:val="en-US" w:eastAsia="zh-CN"/>
        </w:rPr>
        <w:t>4</w:t>
      </w:r>
      <w:r>
        <w:rPr>
          <w:rFonts w:hint="eastAsia" w:ascii="仿宋" w:hAnsi="仿宋" w:eastAsia="仿宋" w:cs="仿宋"/>
          <w:sz w:val="28"/>
          <w:szCs w:val="28"/>
        </w:rPr>
        <w:t>L</w:t>
      </w:r>
      <w:r>
        <w:rPr>
          <w:rFonts w:hint="eastAsia" w:ascii="仿宋" w:hAnsi="仿宋" w:eastAsia="仿宋" w:cs="仿宋"/>
          <w:sz w:val="28"/>
          <w:szCs w:val="28"/>
          <w:lang w:val="en-US" w:eastAsia="zh-CN"/>
        </w:rPr>
        <w:t>做为检验和留样用</w:t>
      </w:r>
      <w:r>
        <w:rPr>
          <w:rFonts w:hint="eastAsia" w:ascii="仿宋" w:hAnsi="仿宋" w:eastAsia="仿宋" w:cs="仿宋"/>
          <w:sz w:val="28"/>
          <w:szCs w:val="28"/>
        </w:rPr>
        <w:t>，其中检验样品</w:t>
      </w:r>
      <w:r>
        <w:rPr>
          <w:rFonts w:hint="eastAsia" w:ascii="仿宋" w:hAnsi="仿宋" w:eastAsia="仿宋" w:cs="仿宋"/>
          <w:sz w:val="28"/>
          <w:szCs w:val="28"/>
          <w:lang w:val="en-US" w:eastAsia="zh-CN"/>
        </w:rPr>
        <w:t>2</w:t>
      </w:r>
      <w:r>
        <w:rPr>
          <w:rFonts w:hint="eastAsia" w:ascii="仿宋" w:hAnsi="仿宋" w:eastAsia="仿宋" w:cs="仿宋"/>
          <w:sz w:val="28"/>
          <w:szCs w:val="28"/>
        </w:rPr>
        <w:t>L，备用样品2L，盛装在合适的容器中。</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在加油站抽样时，直接从加油枪口取样，</w:t>
      </w:r>
      <w:r>
        <w:rPr>
          <w:rFonts w:hint="eastAsia" w:ascii="仿宋" w:hAnsi="仿宋" w:eastAsia="仿宋" w:cs="仿宋"/>
          <w:sz w:val="28"/>
          <w:szCs w:val="28"/>
          <w:lang w:val="en-US" w:eastAsia="zh-CN"/>
        </w:rPr>
        <w:t>根据GB 18351-2017 中 6 取样规定，</w:t>
      </w:r>
      <w:r>
        <w:rPr>
          <w:rFonts w:hint="eastAsia" w:ascii="仿宋" w:hAnsi="仿宋" w:eastAsia="仿宋" w:cs="仿宋"/>
          <w:sz w:val="28"/>
          <w:szCs w:val="28"/>
        </w:rPr>
        <w:t>取</w:t>
      </w:r>
      <w:r>
        <w:rPr>
          <w:rFonts w:hint="eastAsia" w:ascii="仿宋" w:hAnsi="仿宋" w:eastAsia="仿宋" w:cs="仿宋"/>
          <w:sz w:val="28"/>
          <w:szCs w:val="28"/>
          <w:lang w:val="en-US" w:eastAsia="zh-CN"/>
        </w:rPr>
        <w:t>4</w:t>
      </w:r>
      <w:r>
        <w:rPr>
          <w:rFonts w:hint="eastAsia" w:ascii="仿宋" w:hAnsi="仿宋" w:eastAsia="仿宋" w:cs="仿宋"/>
          <w:sz w:val="28"/>
          <w:szCs w:val="28"/>
        </w:rPr>
        <w:t>L</w:t>
      </w:r>
      <w:r>
        <w:rPr>
          <w:rFonts w:hint="eastAsia" w:ascii="仿宋" w:hAnsi="仿宋" w:eastAsia="仿宋" w:cs="仿宋"/>
          <w:sz w:val="28"/>
          <w:szCs w:val="28"/>
          <w:lang w:val="en-US" w:eastAsia="zh-CN"/>
        </w:rPr>
        <w:t>做为检验和留样用</w:t>
      </w:r>
      <w:r>
        <w:rPr>
          <w:rFonts w:hint="eastAsia" w:ascii="仿宋" w:hAnsi="仿宋" w:eastAsia="仿宋" w:cs="仿宋"/>
          <w:sz w:val="28"/>
          <w:szCs w:val="28"/>
        </w:rPr>
        <w:t>，其中检验样品</w:t>
      </w:r>
      <w:r>
        <w:rPr>
          <w:rFonts w:hint="eastAsia" w:ascii="仿宋" w:hAnsi="仿宋" w:eastAsia="仿宋" w:cs="仿宋"/>
          <w:sz w:val="28"/>
          <w:szCs w:val="28"/>
          <w:lang w:val="en-US" w:eastAsia="zh-CN"/>
        </w:rPr>
        <w:t>2</w:t>
      </w:r>
      <w:r>
        <w:rPr>
          <w:rFonts w:hint="eastAsia" w:ascii="仿宋" w:hAnsi="仿宋" w:eastAsia="仿宋" w:cs="仿宋"/>
          <w:sz w:val="28"/>
          <w:szCs w:val="28"/>
        </w:rPr>
        <w:t>L，备用样品2L，盛装在合适的容器中。</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5.3 样品处置</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5.3.1 对抽取的样品，应分别注明“检验样品”与“备用样品”或类似字样。当场对样品的瓶口或桶口密封，为保证样品的真实性，要有相应的防拆封措施，并保证封条在运输过程中不会破损。抽取的样品上应标明产品名称和牌号，封条上至少有抽样日期、抽样人签字、被抽查企业代表签字及抽样单位公章等相关信息。</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5.3.2 抽取的样品应按运输条件包装好，由抽样人员通过合适的途径运送至样品检验机构。运输时严防雨淋、日晒、受潮。装卸时轻搬轻放，严禁掷抛。</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5.3.3 备用样品及检验结束后的样品应该贮存在阴凉、干燥、避免阳光直射的安全处。</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5.3.4 备用样品由被抽样生产者、销售者先行无偿提供并保存，在整个保存期间被抽样生产者、销售者应当妥善保管封存的样品，保证备用样品签封及包装完整无损，不得隐匿、转移、变卖、损毁。</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5.5 其他要求</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应对抽样的关键过程留下影像资料。在进入企业、取样、双方签字确认等环节时，影像资料要能清晰记录企业名称、营业执照名称、被抽样的产品、取样部位、抽样状态、抽样人员和企业陪同人员等。</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5.6 样品获取方式</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eastAsia="仿宋_GB2312"/>
          <w:sz w:val="28"/>
          <w:szCs w:val="28"/>
        </w:rPr>
      </w:pPr>
      <w:r>
        <w:rPr>
          <w:rFonts w:hint="eastAsia" w:ascii="仿宋_GB2312" w:hAnsi="仿宋" w:eastAsia="仿宋_GB2312" w:cs="仿宋"/>
          <w:sz w:val="28"/>
          <w:szCs w:val="28"/>
        </w:rPr>
        <w:t>监督抽查所需的</w:t>
      </w:r>
      <w:r>
        <w:rPr>
          <w:rFonts w:hint="eastAsia" w:ascii="仿宋_GB2312" w:hAnsi="仿宋" w:eastAsia="仿宋_GB2312" w:cs="仿宋"/>
          <w:sz w:val="28"/>
          <w:szCs w:val="28"/>
          <w:lang w:val="en-US" w:eastAsia="zh-CN"/>
        </w:rPr>
        <w:t>检验</w:t>
      </w:r>
      <w:r>
        <w:rPr>
          <w:rFonts w:hint="eastAsia" w:ascii="仿宋_GB2312" w:hAnsi="仿宋" w:eastAsia="仿宋_GB2312" w:cs="仿宋"/>
          <w:sz w:val="28"/>
          <w:szCs w:val="28"/>
        </w:rPr>
        <w:t>样品要在受检单位以购买方式获取</w:t>
      </w:r>
      <w:r>
        <w:rPr>
          <w:rFonts w:hint="eastAsia" w:ascii="仿宋_GB2312" w:hAnsi="仿宋" w:eastAsia="仿宋_GB2312" w:cs="仿宋"/>
          <w:sz w:val="28"/>
          <w:szCs w:val="28"/>
          <w:lang w:eastAsia="zh-CN"/>
        </w:rPr>
        <w:t>，</w:t>
      </w:r>
      <w:r>
        <w:rPr>
          <w:rFonts w:hint="eastAsia" w:ascii="仿宋" w:hAnsi="仿宋" w:eastAsia="仿宋" w:cs="仿宋"/>
          <w:sz w:val="28"/>
          <w:szCs w:val="28"/>
          <w:lang w:eastAsia="zh-CN"/>
        </w:rPr>
        <w:t>受检单位开具发票</w:t>
      </w:r>
      <w:r>
        <w:rPr>
          <w:rFonts w:hint="eastAsia" w:ascii="仿宋_GB2312" w:hAnsi="仿宋" w:eastAsia="仿宋_GB2312" w:cs="仿宋"/>
          <w:sz w:val="28"/>
          <w:szCs w:val="28"/>
        </w:rPr>
        <w:t>。</w:t>
      </w:r>
      <w:r>
        <w:rPr>
          <w:rFonts w:hint="eastAsia" w:ascii="仿宋_GB2312" w:eastAsia="仿宋_GB2312"/>
          <w:sz w:val="28"/>
          <w:szCs w:val="28"/>
        </w:rPr>
        <w:t>备用样品由</w:t>
      </w:r>
      <w:r>
        <w:rPr>
          <w:rFonts w:hint="eastAsia" w:ascii="仿宋_GB2312" w:hAnsi="仿宋" w:eastAsia="仿宋_GB2312" w:cs="仿宋"/>
          <w:sz w:val="28"/>
          <w:szCs w:val="28"/>
        </w:rPr>
        <w:t>受检单位</w:t>
      </w:r>
      <w:r>
        <w:rPr>
          <w:rFonts w:hint="eastAsia" w:ascii="仿宋_GB2312" w:eastAsia="仿宋_GB2312"/>
          <w:sz w:val="28"/>
          <w:szCs w:val="28"/>
        </w:rPr>
        <w:t>先行无偿提供。</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5.7 抽样时应注意的问题</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5.7.1 应由抽样技术人员在现场进行抽取，不得由企业自行抽样。抽取的样品应当是有产品质量检验合格证明或者以其他形式表明合格的产品。</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5.7.2 抽样时，抽样人员应当认真核实营业执照等被抽查企业的相关信息，确认企业不存在不得抽样的情形。遇有下列情况之一且能提供有效证明的，不得抽样：</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（1）被抽查企业无监督抽查通知书或者相关文件复印件所列产品的；</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（2）有充分证据证明拟抽查的产品是不用于销售的；</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（3）产品不涉及强制性标准要求，仅按双方约定的技术要求加工生产，且未执行任何标准的；</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（4）有充分证据证明拟抽查的产品为企业用于出口，并且出口合同对产品质量另有规定的；</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（5）产品或者标签、包装、说明书标有“试制”、“处理”或者“样品”等字样的；</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（6）企业提供上级市场监管部门6个月内同一规格型号的该种产品的监督抽查抽样单或者合格检验报告的。（专项抽查除外）</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6 检验要求</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6.1 检验项目</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车用乙醇汽油产品检验项目见表2。</w:t>
      </w:r>
    </w:p>
    <w:p>
      <w:pPr>
        <w:keepNext w:val="0"/>
        <w:keepLines w:val="0"/>
        <w:pageBreakBefore w:val="0"/>
        <w:widowControl w:val="0"/>
        <w:tabs>
          <w:tab w:val="center" w:pos="4539"/>
          <w:tab w:val="left" w:pos="7004"/>
        </w:tabs>
        <w:kinsoku/>
        <w:wordWrap/>
        <w:overflowPunct/>
        <w:topLinePunct w:val="0"/>
        <w:autoSpaceDE/>
        <w:autoSpaceDN/>
        <w:bidi w:val="0"/>
        <w:adjustRightInd/>
        <w:snapToGrid/>
        <w:spacing w:line="54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ab/>
      </w:r>
      <w:r>
        <w:rPr>
          <w:rFonts w:hint="eastAsia" w:ascii="仿宋" w:hAnsi="仿宋" w:eastAsia="仿宋" w:cs="仿宋"/>
          <w:sz w:val="24"/>
          <w:szCs w:val="24"/>
        </w:rPr>
        <w:t>表2  车用乙醇汽油产品检验项目</w:t>
      </w:r>
      <w:r>
        <w:rPr>
          <w:rFonts w:hint="eastAsia" w:ascii="仿宋" w:hAnsi="仿宋" w:eastAsia="仿宋" w:cs="仿宋"/>
          <w:sz w:val="24"/>
          <w:szCs w:val="24"/>
          <w:lang w:eastAsia="zh-CN"/>
        </w:rPr>
        <w:tab/>
      </w:r>
    </w:p>
    <w:tbl>
      <w:tblPr>
        <w:tblStyle w:val="7"/>
        <w:tblW w:w="49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762"/>
        <w:gridCol w:w="2040"/>
        <w:gridCol w:w="3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1529"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检验项目</w:t>
            </w:r>
          </w:p>
        </w:tc>
        <w:tc>
          <w:tcPr>
            <w:tcW w:w="1129"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依据标准</w:t>
            </w:r>
          </w:p>
        </w:tc>
        <w:tc>
          <w:tcPr>
            <w:tcW w:w="1870"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研究法辛烷值(RON)</w:t>
            </w:r>
          </w:p>
        </w:tc>
        <w:tc>
          <w:tcPr>
            <w:tcW w:w="1129" w:type="pct"/>
            <w:vMerge w:val="restar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 18351-2017</w:t>
            </w: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5487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2</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抗爆指数(RON+MON)/2</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503、GB/T 5487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3</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铅含量</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8020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4</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馏程</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6536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5</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蒸气压</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8017或SH/T 0794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6</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胶质含量</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GB/T 8018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7</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硫含量</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SH/T 0689或GB/T 11140或NB/SH/T 0253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8</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硫醇(博士试验）</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NB/SH/T 0174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9</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铜片腐蚀(50℃,3h)</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GB/T 5096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10</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水溶性酸或碱</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GB/T 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11</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机械杂质</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GB/T 511或目测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12</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水分(质量分数)</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SH/T 0246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13</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乙醇含量(体积分数)</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NB/SH/T 0663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14</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其他有机含氧化合物含量(质量分数）</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NB/SH/T 0663或SH/T 0720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15</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苯含量(体积分数)</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SH/T 0693或SH/T 0713或GB/T 28768或GB/T 30519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16</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芳烃含量(体积分数)</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GB/T 30519或GB/T 11132或GB/T 28768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17</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烯烃含量(体积分数)</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GB/T 30519或GB/T 11132或GB/T 28768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18</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锰含量</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NB/SH/T 0711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19</w:t>
            </w:r>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铁含量</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SH/T 0712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1" w:type="pct"/>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rPr>
              <w:t>2</w:t>
            </w:r>
            <w:r>
              <w:rPr>
                <w:rFonts w:hint="eastAsia" w:ascii="仿宋" w:hAnsi="仿宋" w:eastAsia="仿宋" w:cs="仿宋"/>
                <w:sz w:val="21"/>
                <w:szCs w:val="21"/>
                <w:lang w:val="en-US" w:eastAsia="zh-CN"/>
              </w:rPr>
              <w:t>0</w:t>
            </w:r>
            <w:bookmarkStart w:id="0" w:name="_GoBack"/>
            <w:bookmarkEnd w:id="0"/>
          </w:p>
        </w:tc>
        <w:tc>
          <w:tcPr>
            <w:tcW w:w="1529"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密度(20℃)</w:t>
            </w:r>
          </w:p>
        </w:tc>
        <w:tc>
          <w:tcPr>
            <w:tcW w:w="1129"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87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1884、GB/T 1885或SH/T 0604</w:t>
            </w:r>
          </w:p>
        </w:tc>
      </w:tr>
    </w:tbl>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6.2 检验应注意的问题</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若被检产品明示的质量要求高于本细则中的检验项目依据的标准要求时，应按被检产品明示的质量要求判定。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若被检产品明示的质量要求低于本细则中的检验项目依据的强制性标准要求时，应按强制性标准要求判定。</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若被检产品明示的质量要求低于或包含细则中检验项目依据的推荐性标准要求时，应以被检产品明示的质量要求判定。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若被检产品明示的质量要求缺少本细则中检验项目依据的推荐性标准要求时，该项目不参与判定，但应在检验报告备注中进行说明。</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检验过程中遇到有样品失效或者其它情况致使检验无法进行时，必须如实记录即时情况，并有充分的证实材料。</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依据产品特性，车用乙醇汽油应优先检验蒸气压项目。</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当一个检验项目有多个检测方法时，出现可疑结果或不合格结果（即在有异议）时，应以产品标准中规定方法的测定结果为准。</w:t>
      </w:r>
    </w:p>
    <w:p>
      <w:pPr>
        <w:keepNext w:val="0"/>
        <w:keepLines w:val="0"/>
        <w:pageBreakBefore w:val="0"/>
        <w:widowControl w:val="0"/>
        <w:kinsoku/>
        <w:wordWrap/>
        <w:overflowPunct/>
        <w:topLinePunct w:val="0"/>
        <w:autoSpaceDE/>
        <w:autoSpaceDN/>
        <w:bidi w:val="0"/>
        <w:adjustRightIn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7 判定原则</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8 异议处理</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对被判定为不合格产品进行异议处理时，按以下方式进行：</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8.1 核查不合格项目相关证据，能够以记录（纸质记录或电子记录或影像记录）或与不合格项目相关联的其它质量数据等检验证据证明。</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8.2 对需要复检并具备检验条件的，处理企业异议的市场监督管理部门或者指定检验机构应当按原监督抽查方案对抽取的备用样品组织复检，并出具检验报告。复检结论为最终结论。</w:t>
      </w:r>
    </w:p>
    <w:p>
      <w:pPr>
        <w:pStyle w:val="2"/>
      </w:pPr>
    </w:p>
    <w:sectPr>
      <w:footerReference r:id="rId3" w:type="default"/>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Theme="minorEastAsia"/>
                    <w:lang w:val="en-US" w:eastAsia="zh-CN"/>
                  </w:rPr>
                </w:pPr>
                <w:r>
                  <w:rPr>
                    <w:rFonts w:hint="eastAsia"/>
                    <w:lang w:val="en-US" w:eastAsia="zh-CN"/>
                  </w:rPr>
                  <w:t>-</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lang w:val="en-US" w:eastAsia="zh-CN"/>
                  </w:rPr>
                  <w:t>-</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EwYTMyY2IzMGNjYjI2OTAzN2ZiZjQyYjU1NmQ5M2UifQ=="/>
  </w:docVars>
  <w:rsids>
    <w:rsidRoot w:val="000C5084"/>
    <w:rsid w:val="00035F55"/>
    <w:rsid w:val="00064508"/>
    <w:rsid w:val="000814F3"/>
    <w:rsid w:val="000B7384"/>
    <w:rsid w:val="000C5084"/>
    <w:rsid w:val="000D51E8"/>
    <w:rsid w:val="0019044E"/>
    <w:rsid w:val="00195EA5"/>
    <w:rsid w:val="001D119E"/>
    <w:rsid w:val="0022318E"/>
    <w:rsid w:val="002A530D"/>
    <w:rsid w:val="002D6EE9"/>
    <w:rsid w:val="003C1108"/>
    <w:rsid w:val="003D7E8A"/>
    <w:rsid w:val="003E2E06"/>
    <w:rsid w:val="003E37B3"/>
    <w:rsid w:val="00431771"/>
    <w:rsid w:val="00485D58"/>
    <w:rsid w:val="004A36FB"/>
    <w:rsid w:val="004D01A9"/>
    <w:rsid w:val="004D6620"/>
    <w:rsid w:val="005C0CC6"/>
    <w:rsid w:val="006206CE"/>
    <w:rsid w:val="006A1166"/>
    <w:rsid w:val="006A228F"/>
    <w:rsid w:val="00726DDB"/>
    <w:rsid w:val="007557A1"/>
    <w:rsid w:val="00767DE5"/>
    <w:rsid w:val="007A77A2"/>
    <w:rsid w:val="007B6E55"/>
    <w:rsid w:val="007E3DD6"/>
    <w:rsid w:val="007E658C"/>
    <w:rsid w:val="007F7A17"/>
    <w:rsid w:val="00806399"/>
    <w:rsid w:val="008B3039"/>
    <w:rsid w:val="008C644C"/>
    <w:rsid w:val="008C7CF5"/>
    <w:rsid w:val="00971B96"/>
    <w:rsid w:val="00973CB7"/>
    <w:rsid w:val="009B7EF9"/>
    <w:rsid w:val="009D3C53"/>
    <w:rsid w:val="009E21EE"/>
    <w:rsid w:val="00A2543A"/>
    <w:rsid w:val="00AD6625"/>
    <w:rsid w:val="00B126F6"/>
    <w:rsid w:val="00B643E2"/>
    <w:rsid w:val="00B64576"/>
    <w:rsid w:val="00C51562"/>
    <w:rsid w:val="00C60FFA"/>
    <w:rsid w:val="00C742CF"/>
    <w:rsid w:val="00C9273B"/>
    <w:rsid w:val="00CB06FC"/>
    <w:rsid w:val="00CF6A1F"/>
    <w:rsid w:val="00D075E8"/>
    <w:rsid w:val="00D43106"/>
    <w:rsid w:val="00E24CD6"/>
    <w:rsid w:val="00E43347"/>
    <w:rsid w:val="00E509C6"/>
    <w:rsid w:val="00E85A4C"/>
    <w:rsid w:val="00F33EA1"/>
    <w:rsid w:val="00F50918"/>
    <w:rsid w:val="00F670C5"/>
    <w:rsid w:val="00FF16D1"/>
    <w:rsid w:val="120A642C"/>
    <w:rsid w:val="12212D63"/>
    <w:rsid w:val="17DFFCF9"/>
    <w:rsid w:val="1E6769FC"/>
    <w:rsid w:val="1E7A00FC"/>
    <w:rsid w:val="209F3A99"/>
    <w:rsid w:val="2D7468F1"/>
    <w:rsid w:val="3FC478C2"/>
    <w:rsid w:val="4F9B6492"/>
    <w:rsid w:val="606A024C"/>
    <w:rsid w:val="6F1572A0"/>
    <w:rsid w:val="6F4C1ED2"/>
    <w:rsid w:val="70B607F7"/>
    <w:rsid w:val="7BF71313"/>
    <w:rsid w:val="CFF30DDF"/>
    <w:rsid w:val="FEBBC4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footer"/>
    <w:basedOn w:val="1"/>
    <w:link w:val="10"/>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toc 1"/>
    <w:basedOn w:val="1"/>
    <w:next w:val="1"/>
    <w:autoRedefine/>
    <w:qFormat/>
    <w:uiPriority w:val="0"/>
  </w:style>
  <w:style w:type="character" w:customStyle="1" w:styleId="9">
    <w:name w:val="页眉 字符"/>
    <w:basedOn w:val="8"/>
    <w:link w:val="5"/>
    <w:autoRedefine/>
    <w:qFormat/>
    <w:uiPriority w:val="99"/>
    <w:rPr>
      <w:sz w:val="18"/>
      <w:szCs w:val="18"/>
    </w:rPr>
  </w:style>
  <w:style w:type="character" w:customStyle="1" w:styleId="10">
    <w:name w:val="页脚 字符"/>
    <w:basedOn w:val="8"/>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2719</Words>
  <Characters>3117</Characters>
  <Lines>24</Lines>
  <Paragraphs>6</Paragraphs>
  <TotalTime>1</TotalTime>
  <ScaleCrop>false</ScaleCrop>
  <LinksUpToDate>false</LinksUpToDate>
  <CharactersWithSpaces>3202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2021-05-19T11:44:00Z</dcterms:created>
  <dc:creator>admin</dc:creator>
  <cp:lastModifiedBy>朱正</cp:lastModifiedBy>
  <dcterms:modified xsi:type="dcterms:W3CDTF">2024-03-05T13:11:49Z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C0D96238CA1341A2B6CD291200516409</vt:lpwstr>
  </property>
</Properties>
</file>