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20" w:lineRule="exact"/>
        <w:ind w:right="6510" w:rightChars="3100"/>
        <w:jc w:val="distribute"/>
        <w:rPr>
          <w:rFonts w:ascii="黑体" w:hAnsi="宋体" w:eastAsia="黑体" w:cs="宋体"/>
          <w:color w:val="auto"/>
          <w:sz w:val="24"/>
          <w:szCs w:val="24"/>
          <w:highlight w:val="none"/>
          <w:lang w:val="en-US" w:eastAsia="zh-CN" w:bidi="ar-SA"/>
        </w:rPr>
      </w:pPr>
      <w:r>
        <w:rPr>
          <w:rFonts w:hint="eastAsia" w:ascii="黑体" w:hAnsi="宋体" w:eastAsia="黑体" w:cs="宋体"/>
          <w:color w:val="auto"/>
          <w:sz w:val="24"/>
          <w:szCs w:val="24"/>
          <w:highlight w:val="none"/>
          <w:lang w:val="en-US" w:eastAsia="zh-CN" w:bidi="ar-SA"/>
        </w:rPr>
        <w:t>双台子区十届人大</w:t>
      </w:r>
    </w:p>
    <w:p>
      <w:pPr>
        <w:keepNext w:val="0"/>
        <w:keepLines w:val="0"/>
        <w:pageBreakBefore w:val="0"/>
        <w:widowControl w:val="0"/>
        <w:kinsoku/>
        <w:wordWrap/>
        <w:overflowPunct/>
        <w:topLinePunct w:val="0"/>
        <w:autoSpaceDE/>
        <w:autoSpaceDN/>
        <w:bidi w:val="0"/>
        <w:adjustRightInd w:val="0"/>
        <w:snapToGrid w:val="0"/>
        <w:spacing w:after="0" w:line="320" w:lineRule="exact"/>
        <w:ind w:right="6510" w:rightChars="3100"/>
        <w:jc w:val="distribute"/>
        <w:textAlignment w:val="auto"/>
        <w:rPr>
          <w:rFonts w:hint="default" w:ascii="黑体" w:hAnsi="宋体" w:eastAsia="黑体" w:cs="宋体"/>
          <w:color w:val="auto"/>
          <w:sz w:val="24"/>
          <w:szCs w:val="24"/>
          <w:highlight w:val="none"/>
          <w:lang w:val="en-US" w:eastAsia="zh-CN" w:bidi="ar-SA"/>
        </w:rPr>
      </w:pPr>
      <w:r>
        <w:rPr>
          <w:rFonts w:hint="eastAsia" w:ascii="黑体" w:hAnsi="宋体" w:eastAsia="黑体" w:cs="宋体"/>
          <w:color w:val="auto"/>
          <w:sz w:val="24"/>
          <w:szCs w:val="24"/>
          <w:highlight w:val="none"/>
          <w:lang w:val="en-US" w:eastAsia="zh-CN" w:bidi="ar-SA"/>
        </w:rPr>
        <w:t>三次会议文件</w:t>
      </w:r>
    </w:p>
    <w:p>
      <w:pPr>
        <w:keepNext w:val="0"/>
        <w:keepLines w:val="0"/>
        <w:pageBreakBefore w:val="0"/>
        <w:widowControl w:val="0"/>
        <w:kinsoku/>
        <w:wordWrap/>
        <w:overflowPunct/>
        <w:topLinePunct w:val="0"/>
        <w:autoSpaceDE/>
        <w:autoSpaceDN/>
        <w:bidi w:val="0"/>
        <w:adjustRightInd w:val="0"/>
        <w:snapToGrid/>
        <w:spacing w:after="0" w:line="700" w:lineRule="exact"/>
        <w:jc w:val="center"/>
        <w:textAlignment w:val="auto"/>
        <w:outlineLvl w:val="9"/>
        <w:rPr>
          <w:rFonts w:ascii="方正小标宋简体" w:hAnsi="方正小标宋简体" w:eastAsia="方正小标宋简体" w:cs="方正小标宋简体"/>
          <w:color w:val="auto"/>
          <w:spacing w:val="0"/>
          <w:kern w:val="2"/>
          <w:sz w:val="44"/>
          <w:szCs w:val="44"/>
          <w:highlight w:val="none"/>
        </w:rPr>
      </w:pPr>
    </w:p>
    <w:p>
      <w:pPr>
        <w:spacing w:line="700" w:lineRule="exact"/>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val="en-US" w:eastAsia="zh-CN"/>
        </w:rPr>
        <w:t>关于</w:t>
      </w:r>
      <w:r>
        <w:rPr>
          <w:rFonts w:hint="eastAsia" w:ascii="方正小标宋简体" w:hAnsi="方正小标宋简体" w:eastAsia="方正小标宋简体" w:cs="方正小标宋简体"/>
          <w:bCs/>
          <w:color w:val="auto"/>
          <w:sz w:val="44"/>
          <w:szCs w:val="44"/>
          <w:highlight w:val="none"/>
          <w:lang w:eastAsia="zh-CN"/>
        </w:rPr>
        <w:t>盘锦市</w:t>
      </w:r>
      <w:r>
        <w:rPr>
          <w:rFonts w:hint="eastAsia" w:ascii="方正小标宋简体" w:hAnsi="方正小标宋简体" w:eastAsia="方正小标宋简体" w:cs="方正小标宋简体"/>
          <w:bCs/>
          <w:color w:val="auto"/>
          <w:sz w:val="44"/>
          <w:szCs w:val="44"/>
          <w:highlight w:val="none"/>
        </w:rPr>
        <w:t>双台子区202</w:t>
      </w:r>
      <w:r>
        <w:rPr>
          <w:rFonts w:hint="eastAsia" w:ascii="方正小标宋简体" w:hAnsi="方正小标宋简体" w:eastAsia="方正小标宋简体" w:cs="方正小标宋简体"/>
          <w:bCs/>
          <w:color w:val="auto"/>
          <w:sz w:val="44"/>
          <w:szCs w:val="44"/>
          <w:highlight w:val="none"/>
          <w:lang w:val="en-US" w:eastAsia="zh-CN"/>
        </w:rPr>
        <w:t>3</w:t>
      </w:r>
      <w:r>
        <w:rPr>
          <w:rFonts w:hint="eastAsia" w:ascii="方正小标宋简体" w:hAnsi="方正小标宋简体" w:eastAsia="方正小标宋简体" w:cs="方正小标宋简体"/>
          <w:bCs/>
          <w:color w:val="auto"/>
          <w:sz w:val="44"/>
          <w:szCs w:val="44"/>
          <w:highlight w:val="none"/>
        </w:rPr>
        <w:t>年预算执行情况</w:t>
      </w:r>
    </w:p>
    <w:p>
      <w:pPr>
        <w:spacing w:line="700" w:lineRule="exact"/>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和202</w:t>
      </w:r>
      <w:r>
        <w:rPr>
          <w:rFonts w:hint="eastAsia" w:ascii="方正小标宋简体" w:hAnsi="方正小标宋简体" w:eastAsia="方正小标宋简体" w:cs="方正小标宋简体"/>
          <w:bCs/>
          <w:color w:val="auto"/>
          <w:sz w:val="44"/>
          <w:szCs w:val="44"/>
          <w:highlight w:val="none"/>
          <w:lang w:val="en-US" w:eastAsia="zh-CN"/>
        </w:rPr>
        <w:t>4</w:t>
      </w:r>
      <w:r>
        <w:rPr>
          <w:rFonts w:hint="eastAsia" w:ascii="方正小标宋简体" w:hAnsi="方正小标宋简体" w:eastAsia="方正小标宋简体" w:cs="方正小标宋简体"/>
          <w:bCs/>
          <w:color w:val="auto"/>
          <w:sz w:val="44"/>
          <w:szCs w:val="44"/>
          <w:highlight w:val="none"/>
        </w:rPr>
        <w:t>年预算草案的报告</w:t>
      </w: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Calibri" w:hAnsi="Calibri" w:eastAsia="仿宋_GB2312" w:cs="Times New Roman"/>
          <w:color w:val="auto"/>
          <w:kern w:val="2"/>
          <w:sz w:val="3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00" w:lineRule="exact"/>
        <w:ind w:firstLine="596" w:firstLineChars="200"/>
        <w:jc w:val="both"/>
        <w:textAlignment w:val="auto"/>
        <w:rPr>
          <w:rFonts w:hint="eastAsia" w:ascii="仿宋_GB2312" w:hAnsi="仿宋_GB2312" w:eastAsia="仿宋_GB2312" w:cs="仿宋_GB2312"/>
          <w:color w:val="auto"/>
          <w:spacing w:val="-11"/>
          <w:kern w:val="0"/>
          <w:sz w:val="32"/>
          <w:szCs w:val="32"/>
          <w:highlight w:val="none"/>
        </w:rPr>
      </w:pPr>
      <w:r>
        <w:rPr>
          <w:rFonts w:hint="eastAsia" w:ascii="仿宋_GB2312" w:hAnsi="仿宋_GB2312" w:eastAsia="仿宋_GB2312" w:cs="仿宋_GB2312"/>
          <w:color w:val="auto"/>
          <w:spacing w:val="-11"/>
          <w:kern w:val="0"/>
          <w:sz w:val="32"/>
          <w:szCs w:val="32"/>
          <w:highlight w:val="none"/>
        </w:rPr>
        <w:t>——</w:t>
      </w:r>
      <w:r>
        <w:rPr>
          <w:rFonts w:hint="eastAsia" w:ascii="仿宋_GB2312" w:hAnsi="仿宋_GB2312" w:eastAsia="仿宋_GB2312" w:cs="仿宋_GB2312"/>
          <w:color w:val="auto"/>
          <w:spacing w:val="-11"/>
          <w:kern w:val="0"/>
          <w:sz w:val="32"/>
          <w:szCs w:val="32"/>
          <w:highlight w:val="none"/>
          <w:lang w:eastAsia="zh-CN"/>
        </w:rPr>
        <w:t>2023</w:t>
      </w:r>
      <w:r>
        <w:rPr>
          <w:rFonts w:hint="eastAsia" w:ascii="仿宋_GB2312" w:hAnsi="仿宋_GB2312" w:eastAsia="仿宋_GB2312" w:cs="仿宋_GB2312"/>
          <w:color w:val="auto"/>
          <w:spacing w:val="-11"/>
          <w:kern w:val="0"/>
          <w:sz w:val="32"/>
          <w:szCs w:val="32"/>
          <w:highlight w:val="none"/>
        </w:rPr>
        <w:t>年</w:t>
      </w:r>
      <w:r>
        <w:rPr>
          <w:rFonts w:hint="eastAsia" w:ascii="仿宋_GB2312" w:hAnsi="仿宋_GB2312" w:eastAsia="仿宋_GB2312" w:cs="仿宋_GB2312"/>
          <w:color w:val="auto"/>
          <w:spacing w:val="-11"/>
          <w:kern w:val="0"/>
          <w:sz w:val="32"/>
          <w:szCs w:val="32"/>
          <w:highlight w:val="none"/>
          <w:lang w:val="en-US" w:eastAsia="zh-CN"/>
        </w:rPr>
        <w:t>12</w:t>
      </w:r>
      <w:r>
        <w:rPr>
          <w:rFonts w:hint="eastAsia" w:ascii="仿宋_GB2312" w:hAnsi="仿宋_GB2312" w:eastAsia="仿宋_GB2312" w:cs="仿宋_GB2312"/>
          <w:color w:val="auto"/>
          <w:spacing w:val="-11"/>
          <w:kern w:val="0"/>
          <w:sz w:val="32"/>
          <w:szCs w:val="32"/>
          <w:highlight w:val="none"/>
        </w:rPr>
        <w:t>月</w:t>
      </w:r>
      <w:r>
        <w:rPr>
          <w:rFonts w:hint="eastAsia" w:ascii="仿宋_GB2312" w:hAnsi="仿宋_GB2312" w:eastAsia="仿宋_GB2312" w:cs="仿宋_GB2312"/>
          <w:color w:val="auto"/>
          <w:spacing w:val="-11"/>
          <w:kern w:val="0"/>
          <w:sz w:val="32"/>
          <w:szCs w:val="32"/>
          <w:highlight w:val="none"/>
          <w:lang w:val="en-US" w:eastAsia="zh-CN"/>
        </w:rPr>
        <w:t>28</w:t>
      </w:r>
      <w:r>
        <w:rPr>
          <w:rFonts w:hint="eastAsia" w:ascii="仿宋_GB2312" w:hAnsi="仿宋_GB2312" w:eastAsia="仿宋_GB2312" w:cs="仿宋_GB2312"/>
          <w:color w:val="auto"/>
          <w:spacing w:val="-11"/>
          <w:kern w:val="0"/>
          <w:sz w:val="32"/>
          <w:szCs w:val="32"/>
          <w:highlight w:val="none"/>
        </w:rPr>
        <w:t>日在盘锦市双台子区第十届人民代表大会</w:t>
      </w:r>
    </w:p>
    <w:p>
      <w:pPr>
        <w:keepNext w:val="0"/>
        <w:keepLines w:val="0"/>
        <w:pageBreakBefore w:val="0"/>
        <w:widowControl w:val="0"/>
        <w:kinsoku/>
        <w:wordWrap/>
        <w:overflowPunct/>
        <w:topLinePunct w:val="0"/>
        <w:autoSpaceDE/>
        <w:autoSpaceDN/>
        <w:bidi w:val="0"/>
        <w:adjustRightInd/>
        <w:snapToGrid/>
        <w:spacing w:after="319" w:afterLines="100" w:line="600" w:lineRule="exact"/>
        <w:ind w:left="0" w:leftChars="0" w:right="0" w:rightChars="0" w:firstLine="0" w:firstLineChars="0"/>
        <w:jc w:val="both"/>
        <w:textAlignment w:val="auto"/>
        <w:outlineLvl w:val="9"/>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17"/>
          <w:kern w:val="0"/>
          <w:sz w:val="32"/>
          <w:szCs w:val="32"/>
          <w:highlight w:val="none"/>
        </w:rPr>
        <w:t>第</w:t>
      </w:r>
      <w:r>
        <w:rPr>
          <w:rFonts w:hint="eastAsia" w:ascii="仿宋_GB2312" w:hAnsi="仿宋_GB2312" w:eastAsia="仿宋_GB2312" w:cs="仿宋_GB2312"/>
          <w:color w:val="auto"/>
          <w:spacing w:val="-17"/>
          <w:kern w:val="0"/>
          <w:sz w:val="32"/>
          <w:szCs w:val="32"/>
          <w:highlight w:val="none"/>
          <w:lang w:val="en-US" w:eastAsia="zh-CN"/>
        </w:rPr>
        <w:t>三</w:t>
      </w:r>
      <w:r>
        <w:rPr>
          <w:rFonts w:hint="eastAsia" w:ascii="仿宋_GB2312" w:hAnsi="仿宋_GB2312" w:eastAsia="仿宋_GB2312" w:cs="仿宋_GB2312"/>
          <w:color w:val="auto"/>
          <w:spacing w:val="-6"/>
          <w:kern w:val="0"/>
          <w:sz w:val="32"/>
          <w:szCs w:val="32"/>
          <w:highlight w:val="none"/>
        </w:rPr>
        <w:t>次会议上</w:t>
      </w:r>
    </w:p>
    <w:p>
      <w:pPr>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0" w:firstLineChars="0"/>
        <w:jc w:val="center"/>
        <w:textAlignment w:val="auto"/>
        <w:outlineLvl w:val="9"/>
        <w:rPr>
          <w:rFonts w:hint="eastAsia" w:ascii="仿宋_GB2312" w:hAnsi="仿宋" w:eastAsia="仿宋_GB2312" w:cs="仿宋"/>
          <w:bCs/>
          <w:spacing w:val="0"/>
          <w:kern w:val="2"/>
          <w:sz w:val="32"/>
          <w:szCs w:val="32"/>
          <w:highlight w:val="none"/>
          <w:lang w:val="en-US" w:eastAsia="zh-CN"/>
        </w:rPr>
      </w:pPr>
      <w:r>
        <w:rPr>
          <w:rFonts w:hint="eastAsia" w:ascii="仿宋_GB2312" w:hAnsi="仿宋" w:eastAsia="仿宋_GB2312" w:cs="仿宋"/>
          <w:bCs/>
          <w:spacing w:val="0"/>
          <w:kern w:val="2"/>
          <w:sz w:val="32"/>
          <w:szCs w:val="32"/>
          <w:highlight w:val="none"/>
        </w:rPr>
        <w:t>盘锦市双台子区</w:t>
      </w:r>
      <w:r>
        <w:rPr>
          <w:rFonts w:hint="eastAsia" w:ascii="仿宋_GB2312" w:hAnsi="仿宋" w:eastAsia="仿宋_GB2312" w:cs="仿宋"/>
          <w:bCs/>
          <w:spacing w:val="0"/>
          <w:kern w:val="2"/>
          <w:sz w:val="32"/>
          <w:szCs w:val="32"/>
          <w:highlight w:val="none"/>
          <w:lang w:eastAsia="zh-CN"/>
        </w:rPr>
        <w:t>财政局局</w:t>
      </w:r>
      <w:r>
        <w:rPr>
          <w:rFonts w:hint="eastAsia" w:ascii="仿宋_GB2312" w:hAnsi="仿宋" w:eastAsia="仿宋_GB2312" w:cs="仿宋"/>
          <w:bCs/>
          <w:color w:val="auto"/>
          <w:spacing w:val="0"/>
          <w:kern w:val="2"/>
          <w:sz w:val="32"/>
          <w:szCs w:val="32"/>
          <w:highlight w:val="none"/>
          <w:lang w:eastAsia="zh-CN"/>
        </w:rPr>
        <w:t>长</w:t>
      </w:r>
      <w:r>
        <w:rPr>
          <w:rFonts w:hint="eastAsia" w:ascii="仿宋_GB2312" w:hAnsi="仿宋" w:eastAsia="仿宋_GB2312" w:cs="仿宋"/>
          <w:bCs/>
          <w:spacing w:val="0"/>
          <w:kern w:val="2"/>
          <w:sz w:val="32"/>
          <w:szCs w:val="32"/>
          <w:highlight w:val="none"/>
          <w:lang w:eastAsia="zh-CN"/>
        </w:rPr>
        <w:t>王百灵</w:t>
      </w:r>
    </w:p>
    <w:p>
      <w:pPr>
        <w:keepNext w:val="0"/>
        <w:keepLines w:val="0"/>
        <w:pageBreakBefore w:val="0"/>
        <w:widowControl w:val="0"/>
        <w:kinsoku/>
        <w:wordWrap/>
        <w:overflowPunct w:val="0"/>
        <w:topLinePunct w:val="0"/>
        <w:autoSpaceDE/>
        <w:autoSpaceDN/>
        <w:bidi w:val="0"/>
        <w:adjustRightInd/>
        <w:snapToGrid w:val="0"/>
        <w:spacing w:line="339" w:lineRule="auto"/>
        <w:ind w:left="0" w:firstLine="640" w:firstLineChars="200"/>
        <w:textAlignment w:val="auto"/>
        <w:rPr>
          <w:rFonts w:hint="eastAsia" w:ascii="仿宋_GB2312" w:hAnsi="仿宋_GB2312" w:eastAsia="仿宋_GB2312" w:cs="仿宋_GB2312"/>
          <w:kern w:val="0"/>
          <w:sz w:val="32"/>
          <w:szCs w:val="32"/>
          <w:highlight w:val="none"/>
        </w:rPr>
      </w:pPr>
    </w:p>
    <w:p>
      <w:pPr>
        <w:snapToGrid w:val="0"/>
        <w:spacing w:line="339" w:lineRule="auto"/>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各位代表：</w:t>
      </w:r>
    </w:p>
    <w:p>
      <w:pPr>
        <w:pStyle w:val="3"/>
        <w:snapToGrid w:val="0"/>
        <w:spacing w:line="339" w:lineRule="auto"/>
        <w:ind w:firstLine="640" w:firstLineChars="200"/>
        <w:rPr>
          <w:rFonts w:ascii="仿宋_GB2312"/>
          <w:szCs w:val="32"/>
          <w:highlight w:val="none"/>
        </w:rPr>
      </w:pPr>
      <w:r>
        <w:rPr>
          <w:rFonts w:hint="eastAsia" w:ascii="仿宋_GB2312"/>
          <w:szCs w:val="32"/>
          <w:highlight w:val="none"/>
        </w:rPr>
        <w:t>受区人民政府委托，现将</w:t>
      </w:r>
      <w:r>
        <w:rPr>
          <w:rFonts w:hint="eastAsia" w:ascii="仿宋_GB2312"/>
          <w:szCs w:val="32"/>
          <w:highlight w:val="none"/>
          <w:lang w:val="en-US" w:eastAsia="zh-CN"/>
        </w:rPr>
        <w:t>盘锦市</w:t>
      </w:r>
      <w:r>
        <w:rPr>
          <w:rFonts w:hint="eastAsia" w:ascii="仿宋_GB2312"/>
          <w:szCs w:val="32"/>
          <w:highlight w:val="none"/>
        </w:rPr>
        <w:t>双台子区202</w:t>
      </w:r>
      <w:r>
        <w:rPr>
          <w:rFonts w:hint="eastAsia" w:ascii="仿宋_GB2312"/>
          <w:szCs w:val="32"/>
          <w:highlight w:val="none"/>
          <w:lang w:val="en-US" w:eastAsia="zh-CN"/>
        </w:rPr>
        <w:t>3</w:t>
      </w:r>
      <w:r>
        <w:rPr>
          <w:rFonts w:hint="eastAsia" w:ascii="仿宋_GB2312"/>
          <w:szCs w:val="32"/>
          <w:highlight w:val="none"/>
        </w:rPr>
        <w:t>年预算执行情况和202</w:t>
      </w:r>
      <w:r>
        <w:rPr>
          <w:rFonts w:hint="eastAsia" w:ascii="仿宋_GB2312"/>
          <w:szCs w:val="32"/>
          <w:highlight w:val="none"/>
          <w:lang w:val="en-US" w:eastAsia="zh-CN"/>
        </w:rPr>
        <w:t>4</w:t>
      </w:r>
      <w:r>
        <w:rPr>
          <w:rFonts w:hint="eastAsia" w:ascii="仿宋_GB2312"/>
          <w:szCs w:val="32"/>
          <w:highlight w:val="none"/>
        </w:rPr>
        <w:t>年预算草案</w:t>
      </w:r>
      <w:r>
        <w:rPr>
          <w:rFonts w:hint="eastAsia" w:ascii="仿宋_GB2312"/>
          <w:szCs w:val="32"/>
          <w:highlight w:val="none"/>
          <w:lang w:val="en-US" w:eastAsia="zh-CN"/>
        </w:rPr>
        <w:t>提</w:t>
      </w:r>
      <w:r>
        <w:rPr>
          <w:rFonts w:hint="eastAsia" w:ascii="仿宋_GB2312"/>
          <w:szCs w:val="32"/>
          <w:highlight w:val="none"/>
        </w:rPr>
        <w:t>请大会审议，并请区政协委员和其他列席会议的同志提出意见。</w:t>
      </w:r>
    </w:p>
    <w:p>
      <w:pPr>
        <w:snapToGrid w:val="0"/>
        <w:spacing w:line="339"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一、202</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年预算执行情况</w:t>
      </w:r>
    </w:p>
    <w:p>
      <w:pPr>
        <w:pStyle w:val="3"/>
        <w:snapToGrid w:val="0"/>
        <w:spacing w:line="339" w:lineRule="auto"/>
        <w:ind w:firstLine="640" w:firstLineChars="200"/>
        <w:rPr>
          <w:rFonts w:hint="default" w:ascii="仿宋_GB2312" w:eastAsia="仿宋_GB2312"/>
          <w:szCs w:val="32"/>
          <w:highlight w:val="none"/>
          <w:lang w:val="en-US" w:eastAsia="zh-CN"/>
        </w:rPr>
      </w:pPr>
      <w:r>
        <w:rPr>
          <w:rFonts w:hint="eastAsia" w:ascii="仿宋_GB2312" w:cs="Times New Roman"/>
          <w:szCs w:val="32"/>
          <w:highlight w:val="none"/>
        </w:rPr>
        <w:t>202</w:t>
      </w:r>
      <w:r>
        <w:rPr>
          <w:rFonts w:hint="eastAsia" w:ascii="仿宋_GB2312" w:cs="Times New Roman"/>
          <w:szCs w:val="32"/>
          <w:highlight w:val="none"/>
          <w:lang w:val="en-US" w:eastAsia="zh-CN"/>
        </w:rPr>
        <w:t>3</w:t>
      </w:r>
      <w:r>
        <w:rPr>
          <w:rFonts w:hint="eastAsia" w:ascii="仿宋_GB2312" w:cs="Times New Roman"/>
          <w:szCs w:val="32"/>
          <w:highlight w:val="none"/>
        </w:rPr>
        <w:t>年，</w:t>
      </w:r>
      <w:r>
        <w:rPr>
          <w:rFonts w:hint="eastAsia" w:ascii="仿宋_GB2312" w:cs="Times New Roman"/>
          <w:szCs w:val="32"/>
          <w:highlight w:val="none"/>
          <w:lang w:val="en-US" w:eastAsia="zh-CN"/>
        </w:rPr>
        <w:t>全区财政工作在区委的坚强领导下，在</w:t>
      </w:r>
      <w:r>
        <w:rPr>
          <w:rFonts w:hint="eastAsia" w:ascii="仿宋_GB2312" w:cs="Times New Roman"/>
          <w:szCs w:val="32"/>
          <w:highlight w:val="none"/>
        </w:rPr>
        <w:t>区人大、区政协</w:t>
      </w:r>
      <w:r>
        <w:rPr>
          <w:rFonts w:hint="eastAsia" w:ascii="仿宋_GB2312" w:cs="Times New Roman"/>
          <w:szCs w:val="32"/>
          <w:highlight w:val="none"/>
          <w:lang w:val="en-US" w:eastAsia="zh-CN"/>
        </w:rPr>
        <w:t>的</w:t>
      </w:r>
      <w:r>
        <w:rPr>
          <w:rFonts w:hint="eastAsia" w:ascii="仿宋_GB2312" w:cs="Times New Roman"/>
          <w:szCs w:val="32"/>
          <w:highlight w:val="none"/>
        </w:rPr>
        <w:t>监督</w:t>
      </w:r>
      <w:r>
        <w:rPr>
          <w:rFonts w:hint="eastAsia" w:ascii="仿宋_GB2312" w:cs="Times New Roman"/>
          <w:szCs w:val="32"/>
          <w:highlight w:val="none"/>
          <w:lang w:val="en-US" w:eastAsia="zh-CN"/>
        </w:rPr>
        <w:t>支持</w:t>
      </w:r>
      <w:r>
        <w:rPr>
          <w:rFonts w:hint="eastAsia" w:ascii="仿宋_GB2312" w:cs="Times New Roman"/>
          <w:szCs w:val="32"/>
          <w:highlight w:val="none"/>
        </w:rPr>
        <w:t>下，以习近平新时代中国特色社会主义思想为指导，</w:t>
      </w:r>
      <w:r>
        <w:rPr>
          <w:rFonts w:hint="eastAsia" w:ascii="仿宋_GB2312" w:cs="Times New Roman"/>
          <w:szCs w:val="32"/>
          <w:highlight w:val="none"/>
          <w:lang w:val="en-US" w:eastAsia="zh-CN"/>
        </w:rPr>
        <w:t>全面</w:t>
      </w:r>
      <w:r>
        <w:rPr>
          <w:rFonts w:hint="eastAsia" w:ascii="仿宋_GB2312" w:cs="Times New Roman"/>
          <w:szCs w:val="32"/>
          <w:highlight w:val="none"/>
        </w:rPr>
        <w:t>贯彻党的二十大精神</w:t>
      </w:r>
      <w:r>
        <w:rPr>
          <w:rFonts w:hint="eastAsia" w:ascii="仿宋_GB2312" w:cs="Times New Roman"/>
          <w:szCs w:val="32"/>
          <w:highlight w:val="none"/>
          <w:lang w:val="en-US" w:eastAsia="zh-CN"/>
        </w:rPr>
        <w:t>，</w:t>
      </w:r>
      <w:r>
        <w:rPr>
          <w:rFonts w:hint="eastAsia" w:ascii="仿宋_GB2312" w:cs="Times New Roman"/>
          <w:szCs w:val="32"/>
          <w:highlight w:val="none"/>
        </w:rPr>
        <w:t>深入贯彻落实习近平总书记关于东北、辽宁振兴发展的重要讲话和指示批示精神</w:t>
      </w:r>
      <w:r>
        <w:rPr>
          <w:rFonts w:hint="eastAsia" w:ascii="仿宋_GB2312" w:cs="Times New Roman"/>
          <w:szCs w:val="32"/>
          <w:highlight w:val="none"/>
          <w:lang w:eastAsia="zh-CN"/>
        </w:rPr>
        <w:t>，</w:t>
      </w:r>
      <w:r>
        <w:rPr>
          <w:rFonts w:hint="eastAsia" w:ascii="仿宋_GB2312" w:cs="Times New Roman"/>
          <w:szCs w:val="32"/>
          <w:highlight w:val="none"/>
          <w:lang w:val="en-US" w:eastAsia="zh-CN"/>
        </w:rPr>
        <w:t>坚持稳中求进工作总基调，</w:t>
      </w:r>
      <w:r>
        <w:rPr>
          <w:rFonts w:hint="eastAsia" w:ascii="仿宋_GB2312" w:cs="Times New Roman"/>
          <w:szCs w:val="32"/>
          <w:highlight w:val="none"/>
        </w:rPr>
        <w:t>全面贯彻新发展理念，着力推动高质量发展，更好统筹疫情防控和经济社会发展，更好统筹发展和安全，严格执</w:t>
      </w:r>
      <w:r>
        <w:rPr>
          <w:rFonts w:hint="eastAsia" w:ascii="仿宋_GB2312" w:cs="Times New Roman"/>
          <w:szCs w:val="32"/>
          <w:highlight w:val="none"/>
          <w:lang w:val="en-US" w:eastAsia="zh-CN"/>
        </w:rPr>
        <w:t>行区十届人大二次会议审查批准的</w:t>
      </w:r>
      <w:r>
        <w:rPr>
          <w:rFonts w:hint="eastAsia" w:ascii="仿宋_GB2312" w:cs="Times New Roman"/>
          <w:szCs w:val="32"/>
          <w:highlight w:val="none"/>
        </w:rPr>
        <w:t>202</w:t>
      </w:r>
      <w:r>
        <w:rPr>
          <w:rFonts w:hint="eastAsia" w:ascii="仿宋_GB2312" w:cs="Times New Roman"/>
          <w:szCs w:val="32"/>
          <w:highlight w:val="none"/>
          <w:lang w:val="en-US" w:eastAsia="zh-CN"/>
        </w:rPr>
        <w:t>3</w:t>
      </w:r>
      <w:r>
        <w:rPr>
          <w:rFonts w:hint="eastAsia" w:ascii="仿宋_GB2312" w:cs="Times New Roman"/>
          <w:szCs w:val="32"/>
          <w:highlight w:val="none"/>
        </w:rPr>
        <w:t>年预算，强化财政资源统筹使用，推进支出管理提质增效，防范化解财政运行风险，实现了全</w:t>
      </w:r>
      <w:r>
        <w:rPr>
          <w:rFonts w:hint="eastAsia" w:ascii="仿宋_GB2312" w:cs="Times New Roman"/>
          <w:szCs w:val="32"/>
          <w:highlight w:val="none"/>
          <w:lang w:val="en-US" w:eastAsia="zh-CN"/>
        </w:rPr>
        <w:t>区</w:t>
      </w:r>
      <w:r>
        <w:rPr>
          <w:rFonts w:hint="eastAsia" w:ascii="仿宋_GB2312" w:cs="Times New Roman"/>
          <w:szCs w:val="32"/>
          <w:highlight w:val="none"/>
        </w:rPr>
        <w:t>财政平稳运行</w:t>
      </w:r>
      <w:r>
        <w:rPr>
          <w:rFonts w:hint="eastAsia" w:ascii="仿宋_GB2312" w:cs="Times New Roman"/>
          <w:szCs w:val="32"/>
          <w:highlight w:val="none"/>
          <w:lang w:eastAsia="zh-CN"/>
        </w:rPr>
        <w:t>，</w:t>
      </w:r>
      <w:r>
        <w:rPr>
          <w:rFonts w:hint="eastAsia" w:ascii="仿宋_GB2312" w:cs="Times New Roman"/>
          <w:szCs w:val="32"/>
          <w:highlight w:val="none"/>
          <w:lang w:val="en-US" w:eastAsia="zh-CN"/>
        </w:rPr>
        <w:t>为全区全面振兴新突破三年行动做出积极贡献</w:t>
      </w:r>
      <w:r>
        <w:rPr>
          <w:rFonts w:hint="eastAsia" w:ascii="仿宋_GB2312"/>
          <w:szCs w:val="32"/>
          <w:highlight w:val="none"/>
          <w:lang w:val="en-US" w:eastAsia="zh-CN"/>
        </w:rPr>
        <w:t>。</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（一）全区预算执行情况（收支快报数据）</w:t>
      </w:r>
    </w:p>
    <w:p>
      <w:pPr>
        <w:pStyle w:val="3"/>
        <w:snapToGrid w:val="0"/>
        <w:spacing w:line="339" w:lineRule="auto"/>
        <w:ind w:firstLine="643" w:firstLineChars="200"/>
        <w:rPr>
          <w:rFonts w:ascii="仿宋_GB2312"/>
          <w:b/>
          <w:bCs/>
          <w:szCs w:val="32"/>
          <w:highlight w:val="none"/>
        </w:rPr>
      </w:pPr>
      <w:r>
        <w:rPr>
          <w:rFonts w:hint="eastAsia" w:ascii="仿宋_GB2312"/>
          <w:b/>
          <w:bCs/>
          <w:szCs w:val="32"/>
          <w:highlight w:val="none"/>
        </w:rPr>
        <w:t>1.一般公共预算执行情况</w:t>
      </w:r>
    </w:p>
    <w:p>
      <w:pPr>
        <w:pStyle w:val="3"/>
        <w:snapToGrid w:val="0"/>
        <w:spacing w:line="339" w:lineRule="auto"/>
        <w:ind w:firstLine="640" w:firstLineChars="200"/>
        <w:rPr>
          <w:rFonts w:hint="eastAsia" w:ascii="仿宋_GB2312" w:cs="Times New Roman"/>
          <w:szCs w:val="32"/>
          <w:highlight w:val="none"/>
          <w:lang w:val="en-US" w:eastAsia="zh-CN"/>
        </w:rPr>
      </w:pPr>
      <w:r>
        <w:rPr>
          <w:rFonts w:hint="eastAsia" w:ascii="仿宋_GB2312" w:cs="Times New Roman"/>
          <w:szCs w:val="32"/>
          <w:highlight w:val="none"/>
          <w:lang w:val="en-US" w:eastAsia="zh-CN"/>
        </w:rPr>
        <w:t>全区一般公共预算收入50400万元，完成年初预算的117.2%，同比增长36.2%。其中，</w:t>
      </w:r>
      <w:r>
        <w:rPr>
          <w:rFonts w:hint="eastAsia" w:ascii="仿宋_GB2312" w:cs="Times New Roman"/>
          <w:szCs w:val="32"/>
          <w:highlight w:val="none"/>
          <w:lang w:val="en-US" w:eastAsia="zh-CN"/>
        </w:rPr>
        <w:t>税收收入45290万元，增长35.6%；非税收入5110万元，增长42.3%。增值税留抵退税影响一般公共预算收入4303万元，较去年同期减少8560万元，剔除此因素后收入同口径增长9.7%。</w:t>
      </w:r>
    </w:p>
    <w:p>
      <w:pPr>
        <w:pStyle w:val="3"/>
        <w:snapToGrid w:val="0"/>
        <w:spacing w:line="339" w:lineRule="auto"/>
        <w:ind w:firstLine="640" w:firstLineChars="200"/>
        <w:rPr>
          <w:rFonts w:hint="default" w:ascii="仿宋_GB2312" w:cs="Times New Roman"/>
          <w:szCs w:val="32"/>
          <w:highlight w:val="none"/>
          <w:lang w:val="en-US" w:eastAsia="zh-CN"/>
        </w:rPr>
      </w:pPr>
      <w:r>
        <w:rPr>
          <w:rFonts w:hint="eastAsia" w:ascii="仿宋_GB2312" w:cs="Times New Roman"/>
          <w:szCs w:val="32"/>
          <w:highlight w:val="none"/>
          <w:lang w:val="en-US" w:eastAsia="zh-CN"/>
        </w:rPr>
        <w:t>全区一般公共预算支出167000万元，同比增长7.3%。</w:t>
      </w:r>
    </w:p>
    <w:p>
      <w:pPr>
        <w:pStyle w:val="3"/>
        <w:snapToGrid w:val="0"/>
        <w:spacing w:line="339" w:lineRule="auto"/>
        <w:ind w:firstLine="640" w:firstLineChars="200"/>
        <w:rPr>
          <w:rFonts w:hint="eastAsia" w:ascii="仿宋_GB2312" w:cs="Times New Roman"/>
          <w:szCs w:val="32"/>
          <w:highlight w:val="none"/>
          <w:lang w:val="en-US" w:eastAsia="zh-CN"/>
        </w:rPr>
      </w:pPr>
      <w:r>
        <w:rPr>
          <w:rFonts w:hint="eastAsia" w:ascii="仿宋_GB2312" w:cs="Times New Roman"/>
          <w:szCs w:val="32"/>
          <w:highlight w:val="none"/>
          <w:lang w:val="en-US" w:eastAsia="zh-CN"/>
        </w:rPr>
        <w:t>按现行财政体制和有关预算政策，全区财政收支平衡情况是：收入总计318662万元，其中，一般公共预算收入50400万元，上级补助收入81402万元，上年结余23848万元，债务转贷收入153349万元，动用预算稳定调节基金9663万元。支出总计318662万元，其中，一般公共预算支出167000万元，上解上级支出23874万元，债务还本支出113349万元，安排预算稳定调节基金8439万元，结转下年支出6000万元，实现收支平衡。</w:t>
      </w:r>
    </w:p>
    <w:p>
      <w:pPr>
        <w:pStyle w:val="3"/>
        <w:snapToGrid w:val="0"/>
        <w:spacing w:line="339" w:lineRule="auto"/>
        <w:ind w:firstLine="643" w:firstLineChars="200"/>
        <w:rPr>
          <w:rFonts w:ascii="仿宋_GB2312"/>
          <w:b/>
          <w:bCs/>
          <w:szCs w:val="32"/>
          <w:highlight w:val="none"/>
        </w:rPr>
      </w:pPr>
      <w:r>
        <w:rPr>
          <w:rFonts w:hint="eastAsia" w:ascii="仿宋_GB2312"/>
          <w:b/>
          <w:bCs/>
          <w:szCs w:val="32"/>
          <w:highlight w:val="none"/>
        </w:rPr>
        <w:t>2.政府性基金预算执行情况</w:t>
      </w:r>
    </w:p>
    <w:p>
      <w:pPr>
        <w:pStyle w:val="3"/>
        <w:snapToGrid w:val="0"/>
        <w:spacing w:line="339" w:lineRule="auto"/>
        <w:ind w:firstLine="640" w:firstLineChars="200"/>
        <w:rPr>
          <w:rFonts w:hint="eastAsia" w:ascii="仿宋_GB2312" w:cs="Times New Roman"/>
          <w:szCs w:val="32"/>
          <w:highlight w:val="none"/>
          <w:lang w:val="en-US" w:eastAsia="zh-CN"/>
        </w:rPr>
      </w:pPr>
      <w:r>
        <w:rPr>
          <w:rFonts w:hint="eastAsia" w:ascii="仿宋_GB2312" w:cs="Times New Roman"/>
          <w:szCs w:val="32"/>
          <w:highlight w:val="none"/>
          <w:lang w:val="en-US" w:eastAsia="zh-CN"/>
        </w:rPr>
        <w:t>全区政府性基金预算未实现收入，同比减收4617万元。加上上级补助收入428万元，上年结余1185万元，调入资金9297万元，债务转贷收入70000万元，收入总计80910万元。</w:t>
      </w:r>
    </w:p>
    <w:p>
      <w:pPr>
        <w:pStyle w:val="3"/>
        <w:snapToGrid w:val="0"/>
        <w:spacing w:line="339" w:lineRule="auto"/>
        <w:ind w:firstLine="640" w:firstLineChars="200"/>
        <w:rPr>
          <w:rFonts w:hint="eastAsia" w:ascii="仿宋_GB2312" w:cs="Times New Roman"/>
          <w:szCs w:val="32"/>
          <w:highlight w:val="none"/>
          <w:lang w:val="en-US" w:eastAsia="zh-CN"/>
        </w:rPr>
      </w:pPr>
      <w:r>
        <w:rPr>
          <w:rFonts w:hint="eastAsia" w:ascii="仿宋_GB2312" w:cs="Times New Roman"/>
          <w:szCs w:val="32"/>
          <w:highlight w:val="none"/>
          <w:lang w:val="en-US" w:eastAsia="zh-CN"/>
        </w:rPr>
        <w:t>全区政府性基金支出18635万元，同比增长75.1%。加上债务还本支出50000万元，结转下年支出12275万元，支出总计80910万元。</w:t>
      </w:r>
    </w:p>
    <w:p>
      <w:pPr>
        <w:pStyle w:val="3"/>
        <w:snapToGrid w:val="0"/>
        <w:spacing w:line="339" w:lineRule="auto"/>
        <w:ind w:firstLine="643" w:firstLineChars="200"/>
        <w:rPr>
          <w:highlight w:val="none"/>
        </w:rPr>
      </w:pPr>
      <w:r>
        <w:rPr>
          <w:rFonts w:hint="eastAsia" w:ascii="仿宋_GB2312"/>
          <w:b/>
          <w:bCs/>
          <w:szCs w:val="32"/>
          <w:highlight w:val="none"/>
        </w:rPr>
        <w:t>3.国有资本经营预算执行情况</w:t>
      </w:r>
    </w:p>
    <w:p>
      <w:pPr>
        <w:pStyle w:val="3"/>
        <w:snapToGrid w:val="0"/>
        <w:spacing w:line="339" w:lineRule="auto"/>
        <w:ind w:firstLine="640" w:firstLineChars="200"/>
        <w:rPr>
          <w:rFonts w:hint="eastAsia" w:ascii="仿宋_GB2312" w:cs="Times New Roman"/>
          <w:szCs w:val="32"/>
          <w:highlight w:val="none"/>
        </w:rPr>
      </w:pPr>
      <w:r>
        <w:rPr>
          <w:rFonts w:hint="eastAsia" w:ascii="仿宋_GB2312" w:cs="Times New Roman"/>
          <w:szCs w:val="32"/>
          <w:highlight w:val="none"/>
        </w:rPr>
        <w:t>全区国有资本经营预算收入</w:t>
      </w:r>
      <w:r>
        <w:rPr>
          <w:rFonts w:hint="eastAsia" w:ascii="仿宋_GB2312" w:cs="Times New Roman"/>
          <w:szCs w:val="32"/>
          <w:highlight w:val="none"/>
          <w:lang w:val="en-US" w:eastAsia="zh-CN"/>
        </w:rPr>
        <w:t>100</w:t>
      </w:r>
      <w:r>
        <w:rPr>
          <w:rFonts w:hint="eastAsia" w:ascii="仿宋_GB2312" w:cs="Times New Roman"/>
          <w:szCs w:val="32"/>
          <w:highlight w:val="none"/>
        </w:rPr>
        <w:t>万元，上级补助收入</w:t>
      </w:r>
      <w:r>
        <w:rPr>
          <w:rFonts w:hint="eastAsia" w:ascii="仿宋_GB2312" w:cs="Times New Roman"/>
          <w:szCs w:val="32"/>
          <w:highlight w:val="none"/>
          <w:lang w:val="en-US" w:eastAsia="zh-CN"/>
        </w:rPr>
        <w:t>207</w:t>
      </w:r>
      <w:r>
        <w:rPr>
          <w:rFonts w:hint="eastAsia" w:ascii="仿宋_GB2312" w:cs="Times New Roman"/>
          <w:szCs w:val="32"/>
          <w:highlight w:val="none"/>
        </w:rPr>
        <w:t>万元，上年结余</w:t>
      </w:r>
      <w:r>
        <w:rPr>
          <w:rFonts w:hint="eastAsia" w:ascii="仿宋_GB2312" w:cs="Times New Roman"/>
          <w:szCs w:val="32"/>
          <w:highlight w:val="none"/>
          <w:lang w:val="en-US" w:eastAsia="zh-CN"/>
        </w:rPr>
        <w:t>515</w:t>
      </w:r>
      <w:r>
        <w:rPr>
          <w:rFonts w:hint="eastAsia" w:ascii="仿宋_GB2312" w:cs="Times New Roman"/>
          <w:szCs w:val="32"/>
          <w:highlight w:val="none"/>
        </w:rPr>
        <w:t>万元，收入</w:t>
      </w:r>
      <w:r>
        <w:rPr>
          <w:rFonts w:hint="eastAsia" w:ascii="仿宋_GB2312" w:cs="Times New Roman"/>
          <w:szCs w:val="32"/>
          <w:highlight w:val="none"/>
          <w:lang w:eastAsia="zh-CN"/>
        </w:rPr>
        <w:t>总计</w:t>
      </w:r>
      <w:r>
        <w:rPr>
          <w:rFonts w:hint="eastAsia" w:ascii="仿宋_GB2312" w:cs="Times New Roman"/>
          <w:szCs w:val="32"/>
          <w:highlight w:val="none"/>
          <w:lang w:val="en-US" w:eastAsia="zh-CN"/>
        </w:rPr>
        <w:t>822</w:t>
      </w:r>
      <w:r>
        <w:rPr>
          <w:rFonts w:hint="eastAsia" w:ascii="仿宋_GB2312" w:cs="Times New Roman"/>
          <w:szCs w:val="32"/>
          <w:highlight w:val="none"/>
        </w:rPr>
        <w:t>万元。</w:t>
      </w:r>
    </w:p>
    <w:p>
      <w:pPr>
        <w:pStyle w:val="3"/>
        <w:snapToGrid w:val="0"/>
        <w:spacing w:line="339" w:lineRule="auto"/>
        <w:ind w:firstLine="640" w:firstLineChars="200"/>
        <w:rPr>
          <w:rFonts w:hint="eastAsia" w:ascii="仿宋_GB2312" w:cs="Times New Roman"/>
          <w:szCs w:val="32"/>
          <w:highlight w:val="none"/>
        </w:rPr>
      </w:pPr>
      <w:r>
        <w:rPr>
          <w:rFonts w:hint="eastAsia" w:ascii="仿宋_GB2312" w:cs="Times New Roman"/>
          <w:szCs w:val="32"/>
          <w:highlight w:val="none"/>
        </w:rPr>
        <w:t>全区国有资本经营预算支出</w:t>
      </w:r>
      <w:r>
        <w:rPr>
          <w:rFonts w:hint="eastAsia" w:ascii="仿宋_GB2312" w:cs="Times New Roman"/>
          <w:szCs w:val="32"/>
          <w:highlight w:val="none"/>
          <w:lang w:val="en-US" w:eastAsia="zh-CN"/>
        </w:rPr>
        <w:t>17</w:t>
      </w:r>
      <w:r>
        <w:rPr>
          <w:rFonts w:hint="eastAsia" w:ascii="仿宋_GB2312" w:cs="Times New Roman"/>
          <w:szCs w:val="32"/>
          <w:highlight w:val="none"/>
        </w:rPr>
        <w:t>万元，上解支出</w:t>
      </w:r>
      <w:r>
        <w:rPr>
          <w:rFonts w:hint="eastAsia" w:ascii="仿宋_GB2312" w:cs="Times New Roman"/>
          <w:szCs w:val="32"/>
          <w:highlight w:val="none"/>
          <w:lang w:val="en-US" w:eastAsia="zh-CN"/>
        </w:rPr>
        <w:t>100</w:t>
      </w:r>
      <w:r>
        <w:rPr>
          <w:rFonts w:hint="eastAsia" w:ascii="仿宋_GB2312" w:cs="Times New Roman"/>
          <w:szCs w:val="32"/>
          <w:highlight w:val="none"/>
        </w:rPr>
        <w:t>万元，结转下年支出</w:t>
      </w:r>
      <w:r>
        <w:rPr>
          <w:rFonts w:hint="eastAsia" w:ascii="仿宋_GB2312" w:cs="Times New Roman"/>
          <w:szCs w:val="32"/>
          <w:highlight w:val="none"/>
          <w:lang w:val="en-US" w:eastAsia="zh-CN"/>
        </w:rPr>
        <w:t>705</w:t>
      </w:r>
      <w:r>
        <w:rPr>
          <w:rFonts w:hint="eastAsia" w:ascii="仿宋_GB2312" w:cs="Times New Roman"/>
          <w:szCs w:val="32"/>
          <w:highlight w:val="none"/>
        </w:rPr>
        <w:t>万元，支出</w:t>
      </w:r>
      <w:r>
        <w:rPr>
          <w:rFonts w:hint="eastAsia" w:ascii="仿宋_GB2312" w:cs="Times New Roman"/>
          <w:szCs w:val="32"/>
          <w:highlight w:val="none"/>
          <w:lang w:eastAsia="zh-CN"/>
        </w:rPr>
        <w:t>总计</w:t>
      </w:r>
      <w:r>
        <w:rPr>
          <w:rFonts w:hint="eastAsia" w:ascii="仿宋_GB2312" w:cs="Times New Roman"/>
          <w:szCs w:val="32"/>
          <w:highlight w:val="none"/>
          <w:lang w:val="en-US" w:eastAsia="zh-CN"/>
        </w:rPr>
        <w:t>822</w:t>
      </w:r>
      <w:r>
        <w:rPr>
          <w:rFonts w:hint="eastAsia" w:ascii="仿宋_GB2312" w:cs="Times New Roman"/>
          <w:szCs w:val="32"/>
          <w:highlight w:val="none"/>
        </w:rPr>
        <w:t>万元。</w:t>
      </w:r>
    </w:p>
    <w:p>
      <w:pPr>
        <w:pStyle w:val="3"/>
        <w:snapToGrid w:val="0"/>
        <w:spacing w:line="339" w:lineRule="auto"/>
        <w:ind w:firstLine="643" w:firstLineChars="200"/>
        <w:rPr>
          <w:rFonts w:ascii="仿宋_GB2312"/>
          <w:szCs w:val="32"/>
          <w:highlight w:val="none"/>
        </w:rPr>
      </w:pPr>
      <w:r>
        <w:rPr>
          <w:rFonts w:hint="eastAsia" w:ascii="仿宋_GB2312"/>
          <w:b/>
          <w:bCs/>
          <w:szCs w:val="32"/>
          <w:highlight w:val="none"/>
        </w:rPr>
        <w:t>4.社会保险基金预算执行情况</w:t>
      </w:r>
    </w:p>
    <w:p>
      <w:pPr>
        <w:pStyle w:val="3"/>
        <w:snapToGrid w:val="0"/>
        <w:spacing w:line="339" w:lineRule="auto"/>
        <w:ind w:firstLine="640" w:firstLineChars="200"/>
        <w:rPr>
          <w:rFonts w:hint="eastAsia" w:ascii="仿宋_GB2312" w:cs="Times New Roman"/>
          <w:szCs w:val="32"/>
          <w:highlight w:val="none"/>
        </w:rPr>
      </w:pPr>
      <w:r>
        <w:rPr>
          <w:rFonts w:hint="eastAsia" w:ascii="仿宋_GB2312" w:cs="Times New Roman"/>
          <w:szCs w:val="32"/>
          <w:highlight w:val="none"/>
        </w:rPr>
        <w:t>全区社会保险基金预算收入</w:t>
      </w:r>
      <w:r>
        <w:rPr>
          <w:rFonts w:hint="eastAsia" w:ascii="仿宋_GB2312" w:cs="Times New Roman"/>
          <w:szCs w:val="32"/>
          <w:highlight w:val="none"/>
          <w:lang w:val="en-US" w:eastAsia="zh-CN"/>
        </w:rPr>
        <w:t>16163</w:t>
      </w:r>
      <w:r>
        <w:rPr>
          <w:rFonts w:hint="eastAsia" w:ascii="仿宋_GB2312" w:cs="Times New Roman"/>
          <w:szCs w:val="32"/>
          <w:highlight w:val="none"/>
        </w:rPr>
        <w:t>万元，其中：社会保险费收入</w:t>
      </w:r>
      <w:r>
        <w:rPr>
          <w:rFonts w:hint="eastAsia" w:ascii="仿宋_GB2312" w:cs="Times New Roman"/>
          <w:szCs w:val="32"/>
          <w:highlight w:val="none"/>
          <w:lang w:val="en-US" w:eastAsia="zh-CN"/>
        </w:rPr>
        <w:t>6750</w:t>
      </w:r>
      <w:r>
        <w:rPr>
          <w:rFonts w:hint="eastAsia" w:ascii="仿宋_GB2312" w:cs="Times New Roman"/>
          <w:szCs w:val="32"/>
          <w:highlight w:val="none"/>
        </w:rPr>
        <w:t>万元，财政补贴收入</w:t>
      </w:r>
      <w:r>
        <w:rPr>
          <w:rFonts w:hint="eastAsia" w:ascii="仿宋_GB2312" w:cs="Times New Roman"/>
          <w:szCs w:val="32"/>
          <w:highlight w:val="none"/>
          <w:lang w:val="en-US" w:eastAsia="zh-CN"/>
        </w:rPr>
        <w:t>9117</w:t>
      </w:r>
      <w:r>
        <w:rPr>
          <w:rFonts w:hint="eastAsia" w:ascii="仿宋_GB2312" w:cs="Times New Roman"/>
          <w:szCs w:val="32"/>
          <w:highlight w:val="none"/>
        </w:rPr>
        <w:t>万元，利息收入</w:t>
      </w:r>
      <w:r>
        <w:rPr>
          <w:rFonts w:hint="eastAsia" w:ascii="仿宋_GB2312" w:cs="Times New Roman"/>
          <w:szCs w:val="32"/>
          <w:highlight w:val="none"/>
          <w:lang w:val="en-US" w:eastAsia="zh-CN"/>
        </w:rPr>
        <w:t>30</w:t>
      </w:r>
      <w:r>
        <w:rPr>
          <w:rFonts w:hint="eastAsia" w:ascii="仿宋_GB2312" w:cs="Times New Roman"/>
          <w:szCs w:val="32"/>
          <w:highlight w:val="none"/>
        </w:rPr>
        <w:t>万元，转移收入</w:t>
      </w:r>
      <w:r>
        <w:rPr>
          <w:rFonts w:hint="eastAsia" w:ascii="仿宋_GB2312" w:cs="Times New Roman"/>
          <w:szCs w:val="32"/>
          <w:highlight w:val="none"/>
          <w:lang w:val="en-US" w:eastAsia="zh-CN"/>
        </w:rPr>
        <w:t>266</w:t>
      </w:r>
      <w:r>
        <w:rPr>
          <w:rFonts w:hint="eastAsia" w:ascii="仿宋_GB2312" w:cs="Times New Roman"/>
          <w:szCs w:val="32"/>
          <w:highlight w:val="none"/>
        </w:rPr>
        <w:t>万元。</w:t>
      </w:r>
    </w:p>
    <w:p>
      <w:pPr>
        <w:pStyle w:val="3"/>
        <w:snapToGrid w:val="0"/>
        <w:spacing w:line="339" w:lineRule="auto"/>
        <w:ind w:firstLine="640" w:firstLineChars="200"/>
        <w:rPr>
          <w:rFonts w:hint="eastAsia" w:ascii="仿宋_GB2312" w:cs="Times New Roman"/>
          <w:szCs w:val="32"/>
          <w:highlight w:val="none"/>
        </w:rPr>
      </w:pPr>
      <w:r>
        <w:rPr>
          <w:rFonts w:hint="eastAsia" w:ascii="仿宋_GB2312" w:cs="Times New Roman"/>
          <w:szCs w:val="32"/>
          <w:highlight w:val="none"/>
        </w:rPr>
        <w:t>全区社会保险基金支出</w:t>
      </w:r>
      <w:r>
        <w:rPr>
          <w:rFonts w:hint="eastAsia" w:ascii="仿宋_GB2312" w:cs="Times New Roman"/>
          <w:szCs w:val="32"/>
          <w:highlight w:val="none"/>
          <w:lang w:val="en-US" w:eastAsia="zh-CN"/>
        </w:rPr>
        <w:t>17149</w:t>
      </w:r>
      <w:r>
        <w:rPr>
          <w:rFonts w:hint="eastAsia" w:ascii="仿宋_GB2312" w:cs="Times New Roman"/>
          <w:szCs w:val="32"/>
          <w:highlight w:val="none"/>
        </w:rPr>
        <w:t>万元，其中：社会保险待遇支出</w:t>
      </w:r>
      <w:r>
        <w:rPr>
          <w:rFonts w:hint="eastAsia" w:ascii="仿宋_GB2312" w:cs="Times New Roman"/>
          <w:szCs w:val="32"/>
          <w:highlight w:val="none"/>
          <w:lang w:val="en-US" w:eastAsia="zh-CN"/>
        </w:rPr>
        <w:t>16558</w:t>
      </w:r>
      <w:r>
        <w:rPr>
          <w:rFonts w:hint="eastAsia" w:ascii="仿宋_GB2312" w:cs="Times New Roman"/>
          <w:szCs w:val="32"/>
          <w:highlight w:val="none"/>
        </w:rPr>
        <w:t>万元，转移支出</w:t>
      </w:r>
      <w:r>
        <w:rPr>
          <w:rFonts w:hint="eastAsia" w:ascii="仿宋_GB2312" w:cs="Times New Roman"/>
          <w:szCs w:val="32"/>
          <w:highlight w:val="none"/>
          <w:lang w:val="en-US" w:eastAsia="zh-CN"/>
        </w:rPr>
        <w:t>563</w:t>
      </w:r>
      <w:r>
        <w:rPr>
          <w:rFonts w:hint="eastAsia" w:ascii="仿宋_GB2312" w:cs="Times New Roman"/>
          <w:szCs w:val="32"/>
          <w:highlight w:val="none"/>
        </w:rPr>
        <w:t>万元</w:t>
      </w:r>
      <w:r>
        <w:rPr>
          <w:rFonts w:hint="eastAsia" w:ascii="仿宋_GB2312" w:cs="Times New Roman"/>
          <w:szCs w:val="32"/>
          <w:highlight w:val="none"/>
          <w:lang w:eastAsia="zh-CN"/>
        </w:rPr>
        <w:t>，</w:t>
      </w:r>
      <w:r>
        <w:rPr>
          <w:rFonts w:hint="eastAsia" w:ascii="仿宋_GB2312" w:cs="Times New Roman"/>
          <w:szCs w:val="32"/>
          <w:highlight w:val="none"/>
          <w:lang w:val="en-US" w:eastAsia="zh-CN"/>
        </w:rPr>
        <w:t>其他支出28万元</w:t>
      </w:r>
      <w:r>
        <w:rPr>
          <w:rFonts w:hint="eastAsia" w:ascii="仿宋_GB2312" w:cs="Times New Roman"/>
          <w:szCs w:val="32"/>
          <w:highlight w:val="none"/>
        </w:rPr>
        <w:t>。当年收支结余</w:t>
      </w:r>
      <w:r>
        <w:rPr>
          <w:rFonts w:hint="eastAsia" w:ascii="仿宋_GB2312" w:cs="Times New Roman"/>
          <w:szCs w:val="32"/>
          <w:highlight w:val="none"/>
          <w:lang w:val="en-US" w:eastAsia="zh-CN"/>
        </w:rPr>
        <w:t>-986</w:t>
      </w:r>
      <w:r>
        <w:rPr>
          <w:rFonts w:hint="eastAsia" w:ascii="仿宋_GB2312" w:cs="Times New Roman"/>
          <w:szCs w:val="32"/>
          <w:highlight w:val="none"/>
        </w:rPr>
        <w:t>万元，年末滚存结余</w:t>
      </w:r>
      <w:r>
        <w:rPr>
          <w:rFonts w:hint="eastAsia" w:ascii="仿宋_GB2312" w:cs="Times New Roman"/>
          <w:szCs w:val="32"/>
          <w:highlight w:val="none"/>
          <w:lang w:val="en-US" w:eastAsia="zh-CN"/>
        </w:rPr>
        <w:t>1968</w:t>
      </w:r>
      <w:r>
        <w:rPr>
          <w:rFonts w:hint="eastAsia" w:ascii="仿宋_GB2312" w:cs="Times New Roman"/>
          <w:szCs w:val="32"/>
          <w:highlight w:val="none"/>
        </w:rPr>
        <w:t>万元。</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bCs/>
          <w:sz w:val="32"/>
          <w:szCs w:val="32"/>
          <w:highlight w:val="none"/>
        </w:rPr>
        <w:t>（二）</w:t>
      </w:r>
      <w:r>
        <w:rPr>
          <w:rFonts w:hint="eastAsia" w:ascii="楷体_GB2312" w:hAnsi="楷体_GB2312" w:eastAsia="楷体_GB2312" w:cs="楷体_GB2312"/>
          <w:sz w:val="32"/>
          <w:szCs w:val="32"/>
          <w:highlight w:val="none"/>
        </w:rPr>
        <w:t>区本级预算执行情况（收支快报数据）</w:t>
      </w:r>
    </w:p>
    <w:p>
      <w:pPr>
        <w:snapToGrid w:val="0"/>
        <w:spacing w:line="339" w:lineRule="auto"/>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rPr>
        <w:t>1.一般公共预算执行情况</w:t>
      </w:r>
    </w:p>
    <w:p>
      <w:pPr>
        <w:pStyle w:val="3"/>
        <w:snapToGrid w:val="0"/>
        <w:spacing w:line="339" w:lineRule="auto"/>
        <w:ind w:firstLine="640" w:firstLineChars="200"/>
        <w:rPr>
          <w:rFonts w:hint="eastAsia" w:ascii="仿宋_GB2312" w:eastAsia="仿宋_GB2312" w:cs="Times New Roman"/>
          <w:szCs w:val="32"/>
          <w:highlight w:val="none"/>
          <w:lang w:val="en-US" w:eastAsia="zh-CN"/>
        </w:rPr>
      </w:pPr>
      <w:r>
        <w:rPr>
          <w:rFonts w:hint="eastAsia" w:ascii="仿宋_GB2312" w:cs="Times New Roman"/>
          <w:szCs w:val="32"/>
          <w:highlight w:val="none"/>
        </w:rPr>
        <w:t>区本级一般公共预算收入</w:t>
      </w:r>
      <w:r>
        <w:rPr>
          <w:rFonts w:hint="eastAsia" w:ascii="仿宋_GB2312" w:cs="Times New Roman"/>
          <w:szCs w:val="32"/>
          <w:highlight w:val="none"/>
          <w:lang w:val="en-US" w:eastAsia="zh-CN"/>
        </w:rPr>
        <w:t>46197</w:t>
      </w:r>
      <w:r>
        <w:rPr>
          <w:rFonts w:hint="eastAsia" w:ascii="仿宋_GB2312" w:cs="Times New Roman"/>
          <w:szCs w:val="32"/>
          <w:highlight w:val="none"/>
        </w:rPr>
        <w:t>万元，同比</w:t>
      </w:r>
      <w:r>
        <w:rPr>
          <w:rFonts w:hint="eastAsia" w:ascii="仿宋_GB2312" w:cs="Times New Roman"/>
          <w:szCs w:val="32"/>
          <w:highlight w:val="none"/>
          <w:lang w:val="en-US" w:eastAsia="zh-CN"/>
        </w:rPr>
        <w:t>增长42.1</w:t>
      </w:r>
      <w:r>
        <w:rPr>
          <w:rFonts w:hint="eastAsia" w:ascii="仿宋_GB2312" w:cs="Times New Roman"/>
          <w:szCs w:val="32"/>
          <w:highlight w:val="none"/>
        </w:rPr>
        <w:t>%。其中</w:t>
      </w:r>
      <w:r>
        <w:rPr>
          <w:rFonts w:hint="eastAsia" w:ascii="仿宋_GB2312" w:cs="Times New Roman"/>
          <w:szCs w:val="32"/>
          <w:highlight w:val="none"/>
          <w:lang w:eastAsia="zh-CN"/>
        </w:rPr>
        <w:t>，</w:t>
      </w:r>
      <w:r>
        <w:rPr>
          <w:rFonts w:hint="eastAsia" w:ascii="仿宋_GB2312" w:cs="Times New Roman"/>
          <w:szCs w:val="32"/>
          <w:highlight w:val="none"/>
        </w:rPr>
        <w:t>税收收入</w:t>
      </w:r>
      <w:r>
        <w:rPr>
          <w:rFonts w:hint="eastAsia" w:ascii="仿宋_GB2312" w:cs="Times New Roman"/>
          <w:szCs w:val="32"/>
          <w:highlight w:val="none"/>
          <w:lang w:val="en-US" w:eastAsia="zh-CN"/>
        </w:rPr>
        <w:t>41197</w:t>
      </w:r>
      <w:r>
        <w:rPr>
          <w:rFonts w:hint="eastAsia" w:ascii="仿宋_GB2312" w:cs="Times New Roman"/>
          <w:szCs w:val="32"/>
          <w:highlight w:val="none"/>
        </w:rPr>
        <w:t>万元，</w:t>
      </w:r>
      <w:r>
        <w:rPr>
          <w:rFonts w:hint="eastAsia" w:ascii="仿宋_GB2312" w:cs="Times New Roman"/>
          <w:szCs w:val="32"/>
          <w:highlight w:val="none"/>
          <w:lang w:val="en-US" w:eastAsia="zh-CN"/>
        </w:rPr>
        <w:t>增长41.7</w:t>
      </w:r>
      <w:r>
        <w:rPr>
          <w:rFonts w:hint="eastAsia" w:ascii="仿宋_GB2312" w:cs="Times New Roman"/>
          <w:szCs w:val="32"/>
          <w:highlight w:val="none"/>
        </w:rPr>
        <w:t>%；非税收入</w:t>
      </w:r>
      <w:r>
        <w:rPr>
          <w:rFonts w:hint="eastAsia" w:ascii="仿宋_GB2312" w:cs="Times New Roman"/>
          <w:szCs w:val="32"/>
          <w:highlight w:val="none"/>
          <w:lang w:val="en-US" w:eastAsia="zh-CN"/>
        </w:rPr>
        <w:t>5000</w:t>
      </w:r>
      <w:r>
        <w:rPr>
          <w:rFonts w:hint="eastAsia" w:ascii="仿宋_GB2312" w:cs="Times New Roman"/>
          <w:szCs w:val="32"/>
          <w:highlight w:val="none"/>
        </w:rPr>
        <w:t>万元，</w:t>
      </w:r>
      <w:r>
        <w:rPr>
          <w:rFonts w:hint="eastAsia" w:ascii="仿宋_GB2312" w:cs="Times New Roman"/>
          <w:szCs w:val="32"/>
          <w:highlight w:val="none"/>
          <w:lang w:val="en-US" w:eastAsia="zh-CN"/>
        </w:rPr>
        <w:t>增长45.3</w:t>
      </w:r>
      <w:r>
        <w:rPr>
          <w:rFonts w:hint="eastAsia" w:ascii="仿宋_GB2312" w:cs="Times New Roman"/>
          <w:szCs w:val="32"/>
          <w:highlight w:val="none"/>
        </w:rPr>
        <w:t>%</w:t>
      </w:r>
      <w:r>
        <w:rPr>
          <w:rFonts w:hint="eastAsia" w:ascii="仿宋_GB2312" w:cs="Times New Roman"/>
          <w:szCs w:val="32"/>
          <w:highlight w:val="none"/>
          <w:lang w:eastAsia="zh-CN"/>
        </w:rPr>
        <w:t>。</w:t>
      </w:r>
    </w:p>
    <w:p>
      <w:pPr>
        <w:pStyle w:val="3"/>
        <w:snapToGrid w:val="0"/>
        <w:spacing w:line="339" w:lineRule="auto"/>
        <w:ind w:firstLine="640" w:firstLineChars="200"/>
        <w:rPr>
          <w:rFonts w:ascii="仿宋_GB2312" w:hAnsi="仿宋" w:cs="仿宋"/>
          <w:szCs w:val="32"/>
          <w:highlight w:val="none"/>
        </w:rPr>
      </w:pPr>
      <w:r>
        <w:rPr>
          <w:rFonts w:hint="eastAsia" w:ascii="仿宋_GB2312"/>
          <w:szCs w:val="32"/>
          <w:highlight w:val="none"/>
        </w:rPr>
        <w:t>区本级</w:t>
      </w:r>
      <w:r>
        <w:rPr>
          <w:rFonts w:hint="eastAsia" w:ascii="仿宋_GB2312" w:hAnsi="仿宋" w:cs="仿宋"/>
          <w:szCs w:val="32"/>
          <w:highlight w:val="none"/>
        </w:rPr>
        <w:t>一般公共预算支出</w:t>
      </w:r>
      <w:r>
        <w:rPr>
          <w:rFonts w:hint="eastAsia" w:ascii="仿宋_GB2312" w:hAnsi="仿宋" w:cs="仿宋"/>
          <w:szCs w:val="32"/>
          <w:highlight w:val="none"/>
          <w:lang w:val="en-US" w:eastAsia="zh-CN"/>
        </w:rPr>
        <w:t>161949</w:t>
      </w:r>
      <w:r>
        <w:rPr>
          <w:rFonts w:hint="eastAsia" w:ascii="仿宋_GB2312" w:hAnsi="仿宋" w:cs="仿宋"/>
          <w:szCs w:val="32"/>
          <w:highlight w:val="none"/>
        </w:rPr>
        <w:t>万元，同比</w:t>
      </w:r>
      <w:r>
        <w:rPr>
          <w:rFonts w:hint="eastAsia" w:ascii="仿宋_GB2312" w:hAnsi="仿宋" w:cs="仿宋"/>
          <w:szCs w:val="32"/>
          <w:highlight w:val="none"/>
          <w:lang w:val="en-US" w:eastAsia="zh-CN"/>
        </w:rPr>
        <w:t>增长7</w:t>
      </w:r>
      <w:r>
        <w:rPr>
          <w:rFonts w:hint="eastAsia" w:ascii="仿宋_GB2312" w:hAnsi="仿宋" w:cs="仿宋"/>
          <w:szCs w:val="32"/>
          <w:highlight w:val="none"/>
        </w:rPr>
        <w:t>%。主要支出</w:t>
      </w:r>
      <w:r>
        <w:rPr>
          <w:rFonts w:hint="eastAsia" w:ascii="仿宋_GB2312" w:hAnsi="仿宋" w:cs="仿宋"/>
          <w:szCs w:val="32"/>
          <w:highlight w:val="none"/>
          <w:lang w:val="en-US" w:eastAsia="zh-CN"/>
        </w:rPr>
        <w:t>项目是</w:t>
      </w:r>
      <w:r>
        <w:rPr>
          <w:rFonts w:hint="eastAsia" w:ascii="仿宋_GB2312" w:hAnsi="仿宋" w:cs="仿宋"/>
          <w:szCs w:val="32"/>
          <w:highlight w:val="none"/>
        </w:rPr>
        <w:t>：</w:t>
      </w:r>
      <w:r>
        <w:rPr>
          <w:rFonts w:hint="eastAsia" w:ascii="仿宋_GB2312" w:hAnsi="仿宋" w:cs="仿宋"/>
          <w:szCs w:val="32"/>
          <w:highlight w:val="none"/>
        </w:rPr>
        <w:t>一般公共服务支出</w:t>
      </w:r>
      <w:r>
        <w:rPr>
          <w:rFonts w:hint="eastAsia" w:ascii="仿宋_GB2312" w:hAnsi="仿宋" w:cs="仿宋"/>
          <w:szCs w:val="32"/>
          <w:highlight w:val="none"/>
          <w:lang w:val="en-US" w:eastAsia="zh-CN"/>
        </w:rPr>
        <w:t>16430万元，</w:t>
      </w:r>
      <w:r>
        <w:rPr>
          <w:rFonts w:hint="eastAsia" w:ascii="仿宋_GB2312" w:hAnsi="仿宋" w:cs="仿宋"/>
          <w:szCs w:val="32"/>
          <w:highlight w:val="none"/>
        </w:rPr>
        <w:t>教育支出</w:t>
      </w:r>
      <w:r>
        <w:rPr>
          <w:rFonts w:hint="eastAsia" w:ascii="仿宋_GB2312" w:hAnsi="仿宋" w:cs="仿宋"/>
          <w:szCs w:val="32"/>
          <w:highlight w:val="none"/>
          <w:lang w:val="en-US" w:eastAsia="zh-CN"/>
        </w:rPr>
        <w:t>16389</w:t>
      </w:r>
      <w:r>
        <w:rPr>
          <w:rFonts w:hint="eastAsia" w:ascii="仿宋_GB2312" w:hAnsi="仿宋" w:cs="仿宋"/>
          <w:szCs w:val="32"/>
          <w:highlight w:val="none"/>
        </w:rPr>
        <w:t>万元，社会保障和就业支出</w:t>
      </w:r>
      <w:r>
        <w:rPr>
          <w:rFonts w:hint="eastAsia" w:ascii="仿宋_GB2312" w:hAnsi="仿宋" w:cs="仿宋"/>
          <w:szCs w:val="32"/>
          <w:highlight w:val="none"/>
          <w:lang w:val="en-US" w:eastAsia="zh-CN"/>
        </w:rPr>
        <w:t>32708</w:t>
      </w:r>
      <w:r>
        <w:rPr>
          <w:rFonts w:hint="eastAsia" w:ascii="仿宋_GB2312" w:hAnsi="仿宋" w:cs="仿宋"/>
          <w:szCs w:val="32"/>
          <w:highlight w:val="none"/>
        </w:rPr>
        <w:t>万元，卫生健康支出</w:t>
      </w:r>
      <w:r>
        <w:rPr>
          <w:rFonts w:hint="eastAsia" w:ascii="仿宋_GB2312" w:hAnsi="仿宋" w:cs="仿宋"/>
          <w:szCs w:val="32"/>
          <w:highlight w:val="none"/>
          <w:lang w:val="en-US" w:eastAsia="zh-CN"/>
        </w:rPr>
        <w:t>6919</w:t>
      </w:r>
      <w:r>
        <w:rPr>
          <w:rFonts w:hint="eastAsia" w:ascii="仿宋_GB2312" w:hAnsi="仿宋" w:cs="仿宋"/>
          <w:szCs w:val="32"/>
          <w:highlight w:val="none"/>
        </w:rPr>
        <w:t>万元，城乡社区支出</w:t>
      </w:r>
      <w:r>
        <w:rPr>
          <w:rFonts w:hint="eastAsia" w:ascii="仿宋_GB2312" w:hAnsi="仿宋" w:cs="仿宋"/>
          <w:szCs w:val="32"/>
          <w:highlight w:val="none"/>
          <w:lang w:val="en-US" w:eastAsia="zh-CN"/>
        </w:rPr>
        <w:t>14605</w:t>
      </w:r>
      <w:r>
        <w:rPr>
          <w:rFonts w:hint="eastAsia" w:ascii="仿宋_GB2312" w:hAnsi="仿宋" w:cs="仿宋"/>
          <w:szCs w:val="32"/>
          <w:highlight w:val="none"/>
        </w:rPr>
        <w:t>万元，农林水支出</w:t>
      </w:r>
      <w:r>
        <w:rPr>
          <w:rFonts w:hint="eastAsia" w:ascii="仿宋_GB2312" w:hAnsi="仿宋" w:cs="仿宋"/>
          <w:szCs w:val="32"/>
          <w:highlight w:val="none"/>
          <w:lang w:val="en-US" w:eastAsia="zh-CN"/>
        </w:rPr>
        <w:t>38090万元，住房保障支出7132万元</w:t>
      </w:r>
      <w:r>
        <w:rPr>
          <w:rFonts w:hint="eastAsia" w:ascii="仿宋_GB2312" w:hAnsi="仿宋" w:cs="仿宋"/>
          <w:szCs w:val="32"/>
          <w:highlight w:val="none"/>
        </w:rPr>
        <w:t>。</w:t>
      </w:r>
    </w:p>
    <w:p>
      <w:pPr>
        <w:pStyle w:val="3"/>
        <w:snapToGrid w:val="0"/>
        <w:spacing w:line="339" w:lineRule="auto"/>
        <w:ind w:firstLine="640" w:firstLineChars="200"/>
        <w:rPr>
          <w:rFonts w:hint="eastAsia" w:ascii="仿宋_GB2312" w:hAnsi="仿宋" w:cs="仿宋"/>
          <w:szCs w:val="32"/>
          <w:highlight w:val="none"/>
        </w:rPr>
      </w:pPr>
      <w:r>
        <w:rPr>
          <w:rFonts w:hint="eastAsia" w:ascii="仿宋_GB2312"/>
          <w:szCs w:val="32"/>
          <w:highlight w:val="none"/>
        </w:rPr>
        <w:t>按现行财政体制和有关预算政策，区本级</w:t>
      </w:r>
      <w:r>
        <w:rPr>
          <w:rFonts w:hint="eastAsia" w:ascii="仿宋_GB2312" w:hAnsi="仿宋" w:cs="仿宋"/>
          <w:szCs w:val="32"/>
          <w:highlight w:val="none"/>
        </w:rPr>
        <w:t>财政收支平衡情况是：收入</w:t>
      </w:r>
      <w:r>
        <w:rPr>
          <w:rFonts w:hint="eastAsia" w:ascii="仿宋_GB2312" w:hAnsi="仿宋" w:cs="仿宋"/>
          <w:szCs w:val="32"/>
          <w:highlight w:val="none"/>
          <w:lang w:eastAsia="zh-CN"/>
        </w:rPr>
        <w:t>总计</w:t>
      </w:r>
      <w:r>
        <w:rPr>
          <w:rFonts w:hint="eastAsia" w:ascii="仿宋_GB2312" w:hAnsi="仿宋" w:cs="仿宋"/>
          <w:szCs w:val="32"/>
          <w:highlight w:val="none"/>
          <w:lang w:val="en-US" w:eastAsia="zh-CN"/>
        </w:rPr>
        <w:t>316527</w:t>
      </w:r>
      <w:r>
        <w:rPr>
          <w:rFonts w:hint="eastAsia" w:ascii="仿宋_GB2312" w:hAnsi="仿宋" w:cs="仿宋"/>
          <w:szCs w:val="32"/>
          <w:highlight w:val="none"/>
        </w:rPr>
        <w:t>万元，其中，一般公共预算收入</w:t>
      </w:r>
      <w:r>
        <w:rPr>
          <w:rFonts w:hint="eastAsia" w:ascii="仿宋_GB2312" w:hAnsi="仿宋" w:cs="仿宋"/>
          <w:szCs w:val="32"/>
          <w:highlight w:val="none"/>
          <w:lang w:val="en-US" w:eastAsia="zh-CN"/>
        </w:rPr>
        <w:t>46197</w:t>
      </w:r>
      <w:r>
        <w:rPr>
          <w:rFonts w:hint="eastAsia" w:ascii="仿宋_GB2312" w:hAnsi="仿宋" w:cs="仿宋"/>
          <w:szCs w:val="32"/>
          <w:highlight w:val="none"/>
        </w:rPr>
        <w:t>万元，上</w:t>
      </w:r>
      <w:r>
        <w:rPr>
          <w:rFonts w:hint="eastAsia" w:ascii="仿宋_GB2312" w:hAnsi="仿宋" w:cs="仿宋"/>
          <w:spacing w:val="-6"/>
          <w:szCs w:val="32"/>
          <w:highlight w:val="none"/>
        </w:rPr>
        <w:t>级补助收入</w:t>
      </w:r>
      <w:r>
        <w:rPr>
          <w:rFonts w:hint="eastAsia" w:ascii="仿宋_GB2312" w:hAnsi="仿宋" w:cs="仿宋"/>
          <w:spacing w:val="-6"/>
          <w:szCs w:val="32"/>
          <w:highlight w:val="none"/>
          <w:lang w:val="en-US" w:eastAsia="zh-CN"/>
        </w:rPr>
        <w:t>81402</w:t>
      </w:r>
      <w:r>
        <w:rPr>
          <w:rFonts w:hint="eastAsia" w:ascii="仿宋_GB2312" w:hAnsi="仿宋" w:cs="仿宋"/>
          <w:spacing w:val="-6"/>
          <w:szCs w:val="32"/>
          <w:highlight w:val="none"/>
        </w:rPr>
        <w:t>万元，下级上解收入</w:t>
      </w:r>
      <w:r>
        <w:rPr>
          <w:rFonts w:hint="eastAsia" w:ascii="仿宋_GB2312" w:hAnsi="仿宋" w:cs="仿宋"/>
          <w:spacing w:val="-6"/>
          <w:szCs w:val="32"/>
          <w:highlight w:val="none"/>
          <w:lang w:val="en-US" w:eastAsia="zh-CN"/>
        </w:rPr>
        <w:t>2589</w:t>
      </w:r>
      <w:r>
        <w:rPr>
          <w:rFonts w:hint="eastAsia" w:ascii="仿宋_GB2312" w:hAnsi="仿宋" w:cs="仿宋"/>
          <w:spacing w:val="-6"/>
          <w:szCs w:val="32"/>
          <w:highlight w:val="none"/>
        </w:rPr>
        <w:t>万元，上年结余</w:t>
      </w:r>
      <w:r>
        <w:rPr>
          <w:rFonts w:hint="eastAsia" w:ascii="仿宋_GB2312" w:hAnsi="仿宋" w:cs="仿宋"/>
          <w:spacing w:val="-6"/>
          <w:szCs w:val="32"/>
          <w:highlight w:val="none"/>
          <w:lang w:val="en-US" w:eastAsia="zh-CN"/>
        </w:rPr>
        <w:t>23327</w:t>
      </w:r>
      <w:r>
        <w:rPr>
          <w:rFonts w:hint="eastAsia" w:ascii="仿宋_GB2312" w:hAnsi="仿宋" w:cs="仿宋"/>
          <w:spacing w:val="-6"/>
          <w:szCs w:val="32"/>
          <w:highlight w:val="none"/>
        </w:rPr>
        <w:t>万元，债务转贷收入</w:t>
      </w:r>
      <w:r>
        <w:rPr>
          <w:rFonts w:hint="eastAsia" w:ascii="仿宋_GB2312" w:hAnsi="仿宋" w:cs="仿宋"/>
          <w:spacing w:val="-6"/>
          <w:szCs w:val="32"/>
          <w:highlight w:val="none"/>
          <w:lang w:val="en-US" w:eastAsia="zh-CN"/>
        </w:rPr>
        <w:t>153349</w:t>
      </w:r>
      <w:r>
        <w:rPr>
          <w:rFonts w:hint="eastAsia" w:ascii="仿宋_GB2312" w:hAnsi="仿宋" w:cs="仿宋"/>
          <w:spacing w:val="-6"/>
          <w:szCs w:val="32"/>
          <w:highlight w:val="none"/>
        </w:rPr>
        <w:t>万元</w:t>
      </w:r>
      <w:r>
        <w:rPr>
          <w:rFonts w:hint="eastAsia" w:ascii="仿宋_GB2312" w:hAnsi="仿宋" w:cs="仿宋"/>
          <w:spacing w:val="-6"/>
          <w:szCs w:val="32"/>
          <w:highlight w:val="none"/>
          <w:lang w:eastAsia="zh-CN"/>
        </w:rPr>
        <w:t>，</w:t>
      </w:r>
      <w:r>
        <w:rPr>
          <w:rFonts w:hint="eastAsia" w:ascii="仿宋_GB2312" w:hAnsi="仿宋" w:cs="仿宋"/>
          <w:spacing w:val="-6"/>
          <w:szCs w:val="32"/>
          <w:highlight w:val="none"/>
          <w:lang w:val="en-US" w:eastAsia="zh-CN"/>
        </w:rPr>
        <w:t>动用预算稳定调节基金9663万元</w:t>
      </w:r>
      <w:r>
        <w:rPr>
          <w:rFonts w:hint="eastAsia" w:ascii="仿宋_GB2312" w:hAnsi="仿宋" w:cs="仿宋"/>
          <w:spacing w:val="-6"/>
          <w:szCs w:val="32"/>
          <w:highlight w:val="none"/>
          <w:lang w:eastAsia="zh-CN"/>
        </w:rPr>
        <w:t>。</w:t>
      </w:r>
      <w:r>
        <w:rPr>
          <w:rFonts w:hint="eastAsia" w:ascii="仿宋_GB2312" w:hAnsi="仿宋" w:cs="仿宋"/>
          <w:spacing w:val="-6"/>
          <w:szCs w:val="32"/>
          <w:highlight w:val="none"/>
        </w:rPr>
        <w:t>支出</w:t>
      </w:r>
      <w:r>
        <w:rPr>
          <w:rFonts w:hint="eastAsia" w:ascii="仿宋_GB2312" w:hAnsi="仿宋" w:cs="仿宋"/>
          <w:spacing w:val="-6"/>
          <w:szCs w:val="32"/>
          <w:highlight w:val="none"/>
          <w:lang w:eastAsia="zh-CN"/>
        </w:rPr>
        <w:t>总计</w:t>
      </w:r>
      <w:r>
        <w:rPr>
          <w:rFonts w:hint="eastAsia" w:ascii="仿宋_GB2312" w:hAnsi="仿宋" w:cs="仿宋"/>
          <w:spacing w:val="-6"/>
          <w:szCs w:val="32"/>
          <w:highlight w:val="none"/>
          <w:lang w:val="en-US" w:eastAsia="zh-CN"/>
        </w:rPr>
        <w:t>316527</w:t>
      </w:r>
      <w:r>
        <w:rPr>
          <w:rFonts w:hint="eastAsia" w:ascii="仿宋_GB2312" w:hAnsi="仿宋" w:cs="仿宋"/>
          <w:spacing w:val="-6"/>
          <w:szCs w:val="32"/>
          <w:highlight w:val="none"/>
        </w:rPr>
        <w:t>万元，其中，一般公共预算支出</w:t>
      </w:r>
      <w:r>
        <w:rPr>
          <w:rFonts w:hint="eastAsia" w:ascii="仿宋_GB2312" w:hAnsi="仿宋" w:cs="仿宋"/>
          <w:spacing w:val="-6"/>
          <w:szCs w:val="32"/>
          <w:highlight w:val="none"/>
          <w:lang w:val="en-US" w:eastAsia="zh-CN"/>
        </w:rPr>
        <w:t>161949</w:t>
      </w:r>
      <w:r>
        <w:rPr>
          <w:rFonts w:hint="eastAsia" w:ascii="仿宋_GB2312" w:hAnsi="仿宋" w:cs="仿宋"/>
          <w:spacing w:val="-6"/>
          <w:szCs w:val="32"/>
          <w:highlight w:val="none"/>
        </w:rPr>
        <w:t>万元，补助下级支出</w:t>
      </w:r>
      <w:r>
        <w:rPr>
          <w:rFonts w:hint="eastAsia" w:ascii="仿宋_GB2312" w:hAnsi="仿宋" w:cs="仿宋"/>
          <w:spacing w:val="-6"/>
          <w:szCs w:val="32"/>
          <w:highlight w:val="none"/>
          <w:lang w:val="en-US" w:eastAsia="zh-CN"/>
        </w:rPr>
        <w:t>2916</w:t>
      </w:r>
      <w:r>
        <w:rPr>
          <w:rFonts w:hint="eastAsia" w:ascii="仿宋_GB2312" w:hAnsi="仿宋" w:cs="仿宋"/>
          <w:spacing w:val="-6"/>
          <w:szCs w:val="32"/>
          <w:highlight w:val="none"/>
        </w:rPr>
        <w:t>万元，上解上级支出</w:t>
      </w:r>
      <w:r>
        <w:rPr>
          <w:rFonts w:hint="eastAsia" w:ascii="仿宋_GB2312" w:hAnsi="仿宋" w:cs="仿宋"/>
          <w:spacing w:val="-6"/>
          <w:szCs w:val="32"/>
          <w:highlight w:val="none"/>
          <w:lang w:val="en-US" w:eastAsia="zh-CN"/>
        </w:rPr>
        <w:t>23874</w:t>
      </w:r>
      <w:r>
        <w:rPr>
          <w:rFonts w:hint="eastAsia" w:ascii="仿宋_GB2312" w:hAnsi="仿宋" w:cs="仿宋"/>
          <w:spacing w:val="-6"/>
          <w:szCs w:val="32"/>
          <w:highlight w:val="none"/>
        </w:rPr>
        <w:t>万元，债务还本支出</w:t>
      </w:r>
      <w:r>
        <w:rPr>
          <w:rFonts w:hint="eastAsia" w:ascii="仿宋_GB2312" w:hAnsi="仿宋" w:cs="仿宋"/>
          <w:spacing w:val="-6"/>
          <w:szCs w:val="32"/>
          <w:highlight w:val="none"/>
          <w:lang w:val="en-US" w:eastAsia="zh-CN"/>
        </w:rPr>
        <w:t>113349</w:t>
      </w:r>
      <w:r>
        <w:rPr>
          <w:rFonts w:hint="eastAsia" w:ascii="仿宋_GB2312" w:hAnsi="仿宋" w:cs="仿宋"/>
          <w:spacing w:val="-6"/>
          <w:szCs w:val="32"/>
          <w:highlight w:val="none"/>
        </w:rPr>
        <w:t>万元，结转下年支出</w:t>
      </w:r>
      <w:r>
        <w:rPr>
          <w:rFonts w:hint="eastAsia" w:ascii="仿宋_GB2312" w:hAnsi="仿宋" w:cs="仿宋"/>
          <w:spacing w:val="-6"/>
          <w:szCs w:val="32"/>
          <w:highlight w:val="none"/>
          <w:lang w:val="en-US" w:eastAsia="zh-CN"/>
        </w:rPr>
        <w:t>6000</w:t>
      </w:r>
      <w:r>
        <w:rPr>
          <w:rFonts w:hint="eastAsia" w:ascii="仿宋_GB2312" w:hAnsi="仿宋" w:cs="仿宋"/>
          <w:spacing w:val="-6"/>
          <w:szCs w:val="32"/>
          <w:highlight w:val="none"/>
        </w:rPr>
        <w:t>万元，安排预算稳定调节基金</w:t>
      </w:r>
      <w:r>
        <w:rPr>
          <w:rFonts w:hint="eastAsia" w:ascii="仿宋_GB2312" w:hAnsi="仿宋" w:cs="仿宋"/>
          <w:spacing w:val="-6"/>
          <w:szCs w:val="32"/>
          <w:highlight w:val="none"/>
          <w:lang w:val="en-US" w:eastAsia="zh-CN"/>
        </w:rPr>
        <w:t>8439万元，</w:t>
      </w:r>
      <w:r>
        <w:rPr>
          <w:rFonts w:hint="eastAsia" w:ascii="仿宋_GB2312" w:hAnsi="仿宋" w:cs="仿宋"/>
          <w:szCs w:val="32"/>
          <w:highlight w:val="none"/>
        </w:rPr>
        <w:t>实现收支平衡。</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区本级对下转移支付情况：2023年区本级对下转移支付补助共计2916万元，其中：返还性转移支付补助14万元，一般性转移支付补助1135万元，专项转移支付补助1767万元。</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区本级预备费管理使用情况：根据预算法有关规定，经区十届人大二次会议批准，2023年区本级预算安排预备费2000万元，执行中主要用于疫情防控、洪涝灾害灾后救助及重建等突发事项支出。</w:t>
      </w:r>
    </w:p>
    <w:p>
      <w:pPr>
        <w:pStyle w:val="3"/>
        <w:snapToGrid w:val="0"/>
        <w:spacing w:line="339" w:lineRule="auto"/>
        <w:ind w:firstLine="643" w:firstLineChars="200"/>
        <w:rPr>
          <w:rFonts w:ascii="仿宋_GB2312"/>
          <w:b/>
          <w:bCs/>
          <w:szCs w:val="32"/>
          <w:highlight w:val="none"/>
        </w:rPr>
      </w:pPr>
      <w:r>
        <w:rPr>
          <w:rFonts w:hint="eastAsia" w:ascii="仿宋_GB2312"/>
          <w:b/>
          <w:bCs/>
          <w:szCs w:val="32"/>
          <w:highlight w:val="none"/>
        </w:rPr>
        <w:t>2.政府性基金预算执行情况</w:t>
      </w:r>
    </w:p>
    <w:p>
      <w:pPr>
        <w:pStyle w:val="3"/>
        <w:snapToGrid w:val="0"/>
        <w:spacing w:line="339" w:lineRule="auto"/>
        <w:ind w:firstLine="640" w:firstLineChars="200"/>
        <w:rPr>
          <w:rFonts w:hint="eastAsia" w:ascii="仿宋_GB2312" w:cs="Times New Roman"/>
          <w:szCs w:val="32"/>
          <w:highlight w:val="none"/>
          <w:lang w:val="en-US" w:eastAsia="zh-CN"/>
        </w:rPr>
      </w:pPr>
      <w:r>
        <w:rPr>
          <w:rFonts w:hint="eastAsia" w:ascii="仿宋_GB2312" w:cs="Times New Roman"/>
          <w:szCs w:val="32"/>
          <w:highlight w:val="none"/>
          <w:lang w:val="en-US" w:eastAsia="zh-CN"/>
        </w:rPr>
        <w:t>全区政府性基金预算未实现收入，同比减收4617万元。加上上级补助收入428万元，上年结余1185万元，调入资金9297万元，债务转贷收入70000万元，收入总计80910万元。</w:t>
      </w:r>
    </w:p>
    <w:p>
      <w:pPr>
        <w:snapToGrid w:val="0"/>
        <w:spacing w:line="339" w:lineRule="auto"/>
        <w:ind w:firstLine="640" w:firstLineChars="200"/>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全区政府性基金支出18635万元，同比增长75.1%。加上债务还本支出50000万元，结转下年支出12275万元，支出总计80910万元。</w:t>
      </w:r>
    </w:p>
    <w:p>
      <w:pPr>
        <w:pStyle w:val="3"/>
        <w:snapToGrid w:val="0"/>
        <w:spacing w:line="339" w:lineRule="auto"/>
        <w:ind w:firstLine="643" w:firstLineChars="200"/>
        <w:rPr>
          <w:highlight w:val="none"/>
        </w:rPr>
      </w:pPr>
      <w:r>
        <w:rPr>
          <w:rFonts w:hint="eastAsia" w:ascii="仿宋_GB2312"/>
          <w:b/>
          <w:bCs/>
          <w:szCs w:val="32"/>
          <w:highlight w:val="none"/>
        </w:rPr>
        <w:t>3.国有资本经营预算执行情况</w:t>
      </w:r>
    </w:p>
    <w:p>
      <w:pPr>
        <w:pStyle w:val="3"/>
        <w:snapToGrid w:val="0"/>
        <w:spacing w:line="339" w:lineRule="auto"/>
        <w:ind w:firstLine="640" w:firstLineChars="200"/>
        <w:rPr>
          <w:rFonts w:ascii="仿宋_GB2312" w:hAnsi="仿宋" w:cs="仿宋"/>
          <w:szCs w:val="32"/>
          <w:highlight w:val="none"/>
        </w:rPr>
      </w:pPr>
      <w:r>
        <w:rPr>
          <w:rFonts w:hint="eastAsia" w:ascii="仿宋_GB2312"/>
          <w:szCs w:val="32"/>
          <w:highlight w:val="none"/>
        </w:rPr>
        <w:t>区本级</w:t>
      </w:r>
      <w:r>
        <w:rPr>
          <w:rFonts w:hint="eastAsia" w:ascii="仿宋_GB2312" w:hAnsi="仿宋" w:cs="仿宋"/>
          <w:szCs w:val="32"/>
          <w:highlight w:val="none"/>
        </w:rPr>
        <w:t>国有资本经营预算收入</w:t>
      </w:r>
      <w:r>
        <w:rPr>
          <w:rFonts w:hint="eastAsia" w:ascii="仿宋_GB2312" w:hAnsi="仿宋" w:cs="仿宋"/>
          <w:szCs w:val="32"/>
          <w:highlight w:val="none"/>
          <w:lang w:val="en-US" w:eastAsia="zh-CN"/>
        </w:rPr>
        <w:t>100</w:t>
      </w:r>
      <w:r>
        <w:rPr>
          <w:rFonts w:hint="eastAsia" w:ascii="仿宋_GB2312" w:hAnsi="仿宋" w:cs="仿宋"/>
          <w:szCs w:val="32"/>
          <w:highlight w:val="none"/>
        </w:rPr>
        <w:t>万元，</w:t>
      </w:r>
      <w:r>
        <w:rPr>
          <w:rFonts w:hint="eastAsia" w:ascii="仿宋_GB2312"/>
          <w:szCs w:val="32"/>
          <w:highlight w:val="none"/>
        </w:rPr>
        <w:t>同比下降</w:t>
      </w:r>
      <w:r>
        <w:rPr>
          <w:rFonts w:hint="eastAsia" w:ascii="仿宋_GB2312"/>
          <w:szCs w:val="32"/>
          <w:highlight w:val="none"/>
          <w:lang w:val="en-US" w:eastAsia="zh-CN"/>
        </w:rPr>
        <w:t>4.8</w:t>
      </w:r>
      <w:r>
        <w:rPr>
          <w:rFonts w:hint="eastAsia" w:ascii="仿宋_GB2312"/>
          <w:szCs w:val="32"/>
          <w:highlight w:val="none"/>
        </w:rPr>
        <w:t>%，加上上级补助收入</w:t>
      </w:r>
      <w:r>
        <w:rPr>
          <w:rFonts w:hint="eastAsia" w:ascii="仿宋_GB2312"/>
          <w:szCs w:val="32"/>
          <w:highlight w:val="none"/>
          <w:lang w:val="en-US" w:eastAsia="zh-CN"/>
        </w:rPr>
        <w:t>207</w:t>
      </w:r>
      <w:r>
        <w:rPr>
          <w:rFonts w:hint="eastAsia" w:ascii="仿宋_GB2312"/>
          <w:szCs w:val="32"/>
          <w:highlight w:val="none"/>
        </w:rPr>
        <w:t>万元，上年结余</w:t>
      </w:r>
      <w:r>
        <w:rPr>
          <w:rFonts w:hint="eastAsia" w:ascii="仿宋_GB2312"/>
          <w:szCs w:val="32"/>
          <w:highlight w:val="none"/>
          <w:lang w:val="en-US" w:eastAsia="zh-CN"/>
        </w:rPr>
        <w:t>515</w:t>
      </w:r>
      <w:r>
        <w:rPr>
          <w:rFonts w:hint="eastAsia" w:ascii="仿宋_GB2312" w:hAnsi="仿宋" w:cs="仿宋"/>
          <w:szCs w:val="32"/>
          <w:highlight w:val="none"/>
        </w:rPr>
        <w:t>万元，收入</w:t>
      </w:r>
      <w:r>
        <w:rPr>
          <w:rFonts w:hint="eastAsia" w:ascii="仿宋_GB2312" w:hAnsi="仿宋" w:cs="仿宋"/>
          <w:szCs w:val="32"/>
          <w:highlight w:val="none"/>
          <w:lang w:eastAsia="zh-CN"/>
        </w:rPr>
        <w:t>总计</w:t>
      </w:r>
      <w:r>
        <w:rPr>
          <w:rFonts w:hint="eastAsia" w:ascii="仿宋_GB2312" w:hAnsi="仿宋" w:cs="仿宋"/>
          <w:szCs w:val="32"/>
          <w:highlight w:val="none"/>
          <w:lang w:val="en-US" w:eastAsia="zh-CN"/>
        </w:rPr>
        <w:t>822</w:t>
      </w:r>
      <w:r>
        <w:rPr>
          <w:rFonts w:hint="eastAsia" w:ascii="仿宋_GB2312" w:hAnsi="仿宋" w:cs="仿宋"/>
          <w:szCs w:val="32"/>
          <w:highlight w:val="none"/>
        </w:rPr>
        <w:t>万元。</w:t>
      </w:r>
    </w:p>
    <w:p>
      <w:pPr>
        <w:pStyle w:val="3"/>
        <w:snapToGrid w:val="0"/>
        <w:spacing w:line="339" w:lineRule="auto"/>
        <w:ind w:firstLine="640" w:firstLineChars="200"/>
        <w:rPr>
          <w:rFonts w:ascii="仿宋_GB2312"/>
          <w:b/>
          <w:bCs/>
          <w:szCs w:val="32"/>
          <w:highlight w:val="none"/>
        </w:rPr>
      </w:pPr>
      <w:r>
        <w:rPr>
          <w:rFonts w:hint="eastAsia" w:ascii="仿宋_GB2312"/>
          <w:szCs w:val="32"/>
          <w:highlight w:val="none"/>
        </w:rPr>
        <w:t>区本级国有资本经营预算支出</w:t>
      </w:r>
      <w:r>
        <w:rPr>
          <w:rFonts w:hint="eastAsia" w:ascii="仿宋_GB2312"/>
          <w:szCs w:val="32"/>
          <w:highlight w:val="none"/>
          <w:lang w:val="en-US" w:eastAsia="zh-CN"/>
        </w:rPr>
        <w:t>17</w:t>
      </w:r>
      <w:r>
        <w:rPr>
          <w:rFonts w:hint="eastAsia" w:ascii="仿宋_GB2312"/>
          <w:szCs w:val="32"/>
          <w:highlight w:val="none"/>
        </w:rPr>
        <w:t>万元，同比</w:t>
      </w:r>
      <w:r>
        <w:rPr>
          <w:rFonts w:hint="eastAsia" w:ascii="仿宋_GB2312"/>
          <w:szCs w:val="32"/>
          <w:highlight w:val="none"/>
          <w:lang w:val="en-US" w:eastAsia="zh-CN"/>
        </w:rPr>
        <w:t>增长41.7</w:t>
      </w:r>
      <w:r>
        <w:rPr>
          <w:rFonts w:hint="eastAsia" w:ascii="仿宋_GB2312"/>
          <w:szCs w:val="32"/>
          <w:highlight w:val="none"/>
        </w:rPr>
        <w:t>%，加上上解支出</w:t>
      </w:r>
      <w:r>
        <w:rPr>
          <w:rFonts w:hint="eastAsia" w:ascii="仿宋_GB2312"/>
          <w:szCs w:val="32"/>
          <w:highlight w:val="none"/>
          <w:lang w:val="en-US" w:eastAsia="zh-CN"/>
        </w:rPr>
        <w:t>100</w:t>
      </w:r>
      <w:r>
        <w:rPr>
          <w:rFonts w:hint="eastAsia" w:ascii="仿宋_GB2312"/>
          <w:szCs w:val="32"/>
          <w:highlight w:val="none"/>
        </w:rPr>
        <w:t>万元，结转下年支出</w:t>
      </w:r>
      <w:r>
        <w:rPr>
          <w:rFonts w:hint="eastAsia" w:ascii="仿宋_GB2312"/>
          <w:szCs w:val="32"/>
          <w:highlight w:val="none"/>
          <w:lang w:val="en-US" w:eastAsia="zh-CN"/>
        </w:rPr>
        <w:t>705</w:t>
      </w:r>
      <w:r>
        <w:rPr>
          <w:rFonts w:hint="eastAsia" w:ascii="仿宋_GB2312"/>
          <w:szCs w:val="32"/>
          <w:highlight w:val="none"/>
        </w:rPr>
        <w:t>万元，</w:t>
      </w:r>
      <w:r>
        <w:rPr>
          <w:rFonts w:hint="eastAsia" w:ascii="仿宋_GB2312" w:hAnsi="仿宋" w:cs="仿宋"/>
          <w:szCs w:val="32"/>
          <w:highlight w:val="none"/>
        </w:rPr>
        <w:t>支出</w:t>
      </w:r>
      <w:r>
        <w:rPr>
          <w:rFonts w:hint="eastAsia" w:ascii="仿宋_GB2312" w:hAnsi="仿宋" w:cs="仿宋"/>
          <w:szCs w:val="32"/>
          <w:highlight w:val="none"/>
          <w:lang w:eastAsia="zh-CN"/>
        </w:rPr>
        <w:t>总计</w:t>
      </w:r>
      <w:r>
        <w:rPr>
          <w:rFonts w:hint="eastAsia" w:ascii="仿宋_GB2312" w:hAnsi="仿宋" w:cs="仿宋"/>
          <w:szCs w:val="32"/>
          <w:highlight w:val="none"/>
          <w:lang w:val="en-US" w:eastAsia="zh-CN"/>
        </w:rPr>
        <w:t>822</w:t>
      </w:r>
      <w:r>
        <w:rPr>
          <w:rFonts w:hint="eastAsia" w:ascii="仿宋_GB2312" w:hAnsi="仿宋" w:cs="仿宋"/>
          <w:szCs w:val="32"/>
          <w:highlight w:val="none"/>
        </w:rPr>
        <w:t>万元</w:t>
      </w:r>
      <w:r>
        <w:rPr>
          <w:rFonts w:hint="eastAsia" w:ascii="仿宋_GB2312"/>
          <w:szCs w:val="32"/>
          <w:highlight w:val="none"/>
        </w:rPr>
        <w:t>。</w:t>
      </w:r>
    </w:p>
    <w:p>
      <w:pPr>
        <w:pStyle w:val="3"/>
        <w:snapToGrid w:val="0"/>
        <w:spacing w:line="339" w:lineRule="auto"/>
        <w:ind w:firstLine="643" w:firstLineChars="200"/>
        <w:rPr>
          <w:rFonts w:ascii="仿宋_GB2312"/>
          <w:szCs w:val="32"/>
          <w:highlight w:val="none"/>
        </w:rPr>
      </w:pPr>
      <w:r>
        <w:rPr>
          <w:rFonts w:hint="eastAsia" w:ascii="仿宋_GB2312"/>
          <w:b/>
          <w:bCs/>
          <w:szCs w:val="32"/>
          <w:highlight w:val="none"/>
        </w:rPr>
        <w:t>4.社会保险基金预算执行情况</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eastAsia="仿宋_GB2312"/>
          <w:sz w:val="32"/>
          <w:szCs w:val="32"/>
          <w:highlight w:val="none"/>
        </w:rPr>
        <w:t>区本级</w:t>
      </w:r>
      <w:r>
        <w:rPr>
          <w:rFonts w:hint="eastAsia" w:ascii="仿宋_GB2312" w:hAnsi="仿宋" w:eastAsia="仿宋_GB2312" w:cs="仿宋"/>
          <w:sz w:val="32"/>
          <w:szCs w:val="32"/>
          <w:highlight w:val="none"/>
        </w:rPr>
        <w:t>社会保险基金预算收入</w:t>
      </w:r>
      <w:r>
        <w:rPr>
          <w:rFonts w:hint="eastAsia" w:ascii="仿宋_GB2312" w:hAnsi="仿宋" w:eastAsia="仿宋_GB2312" w:cs="仿宋"/>
          <w:sz w:val="32"/>
          <w:szCs w:val="32"/>
          <w:highlight w:val="none"/>
          <w:lang w:val="en-US" w:eastAsia="zh-CN"/>
        </w:rPr>
        <w:t>16163</w:t>
      </w:r>
      <w:r>
        <w:rPr>
          <w:rFonts w:hint="eastAsia" w:ascii="仿宋_GB2312" w:hAnsi="仿宋" w:eastAsia="仿宋_GB2312" w:cs="仿宋"/>
          <w:sz w:val="32"/>
          <w:szCs w:val="32"/>
          <w:highlight w:val="none"/>
        </w:rPr>
        <w:t>万元，其中：社会保险费收入</w:t>
      </w:r>
      <w:r>
        <w:rPr>
          <w:rFonts w:hint="eastAsia" w:ascii="仿宋_GB2312" w:hAnsi="仿宋" w:eastAsia="仿宋_GB2312" w:cs="仿宋"/>
          <w:sz w:val="32"/>
          <w:szCs w:val="32"/>
          <w:highlight w:val="none"/>
          <w:lang w:val="en-US" w:eastAsia="zh-CN"/>
        </w:rPr>
        <w:t>6750</w:t>
      </w:r>
      <w:r>
        <w:rPr>
          <w:rFonts w:hint="eastAsia" w:ascii="仿宋_GB2312" w:hAnsi="仿宋" w:eastAsia="仿宋_GB2312" w:cs="仿宋"/>
          <w:sz w:val="32"/>
          <w:szCs w:val="32"/>
          <w:highlight w:val="none"/>
        </w:rPr>
        <w:t>万元，财政补贴收入</w:t>
      </w:r>
      <w:r>
        <w:rPr>
          <w:rFonts w:hint="eastAsia" w:ascii="仿宋_GB2312" w:hAnsi="仿宋" w:eastAsia="仿宋_GB2312" w:cs="仿宋"/>
          <w:sz w:val="32"/>
          <w:szCs w:val="32"/>
          <w:highlight w:val="none"/>
          <w:lang w:val="en-US" w:eastAsia="zh-CN"/>
        </w:rPr>
        <w:t>9117</w:t>
      </w:r>
      <w:r>
        <w:rPr>
          <w:rFonts w:hint="eastAsia" w:ascii="仿宋_GB2312" w:hAnsi="仿宋" w:eastAsia="仿宋_GB2312" w:cs="仿宋"/>
          <w:sz w:val="32"/>
          <w:szCs w:val="32"/>
          <w:highlight w:val="none"/>
        </w:rPr>
        <w:t>万元，利息收入</w:t>
      </w:r>
      <w:r>
        <w:rPr>
          <w:rFonts w:hint="eastAsia" w:ascii="仿宋_GB2312" w:hAnsi="仿宋" w:eastAsia="仿宋_GB2312" w:cs="仿宋"/>
          <w:sz w:val="32"/>
          <w:szCs w:val="32"/>
          <w:highlight w:val="none"/>
          <w:lang w:val="en-US" w:eastAsia="zh-CN"/>
        </w:rPr>
        <w:t>30</w:t>
      </w:r>
      <w:r>
        <w:rPr>
          <w:rFonts w:hint="eastAsia" w:ascii="仿宋_GB2312" w:hAnsi="仿宋" w:eastAsia="仿宋_GB2312" w:cs="仿宋"/>
          <w:sz w:val="32"/>
          <w:szCs w:val="32"/>
          <w:highlight w:val="none"/>
        </w:rPr>
        <w:t>万元，转移收入</w:t>
      </w:r>
      <w:r>
        <w:rPr>
          <w:rFonts w:hint="eastAsia" w:ascii="仿宋_GB2312" w:hAnsi="仿宋" w:eastAsia="仿宋_GB2312" w:cs="仿宋"/>
          <w:sz w:val="32"/>
          <w:szCs w:val="32"/>
          <w:highlight w:val="none"/>
          <w:lang w:val="en-US" w:eastAsia="zh-CN"/>
        </w:rPr>
        <w:t>266</w:t>
      </w:r>
      <w:r>
        <w:rPr>
          <w:rFonts w:hint="eastAsia" w:ascii="仿宋_GB2312" w:hAnsi="仿宋" w:eastAsia="仿宋_GB2312" w:cs="仿宋"/>
          <w:sz w:val="32"/>
          <w:szCs w:val="32"/>
          <w:highlight w:val="none"/>
        </w:rPr>
        <w:t>万元。</w:t>
      </w:r>
    </w:p>
    <w:p>
      <w:pPr>
        <w:snapToGrid w:val="0"/>
        <w:spacing w:line="339"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区本级社会保险基金支出</w:t>
      </w:r>
      <w:r>
        <w:rPr>
          <w:rFonts w:hint="eastAsia" w:ascii="仿宋_GB2312" w:hAnsi="仿宋" w:eastAsia="仿宋_GB2312" w:cs="仿宋"/>
          <w:sz w:val="32"/>
          <w:szCs w:val="32"/>
          <w:highlight w:val="none"/>
          <w:lang w:val="en-US" w:eastAsia="zh-CN"/>
        </w:rPr>
        <w:t>17149</w:t>
      </w:r>
      <w:r>
        <w:rPr>
          <w:rFonts w:hint="eastAsia" w:ascii="仿宋_GB2312" w:hAnsi="仿宋" w:eastAsia="仿宋_GB2312" w:cs="仿宋"/>
          <w:sz w:val="32"/>
          <w:szCs w:val="32"/>
          <w:highlight w:val="none"/>
        </w:rPr>
        <w:t>万元，其中：社会保险待遇支出</w:t>
      </w:r>
      <w:r>
        <w:rPr>
          <w:rFonts w:hint="eastAsia" w:ascii="仿宋_GB2312" w:hAnsi="仿宋" w:eastAsia="仿宋_GB2312" w:cs="仿宋"/>
          <w:sz w:val="32"/>
          <w:szCs w:val="32"/>
          <w:highlight w:val="none"/>
          <w:lang w:val="en-US" w:eastAsia="zh-CN"/>
        </w:rPr>
        <w:t>16558</w:t>
      </w:r>
      <w:r>
        <w:rPr>
          <w:rFonts w:hint="eastAsia" w:ascii="仿宋_GB2312" w:hAnsi="仿宋" w:eastAsia="仿宋_GB2312" w:cs="仿宋"/>
          <w:sz w:val="32"/>
          <w:szCs w:val="32"/>
          <w:highlight w:val="none"/>
        </w:rPr>
        <w:t>万元，转移支出</w:t>
      </w:r>
      <w:r>
        <w:rPr>
          <w:rFonts w:hint="eastAsia" w:ascii="仿宋_GB2312" w:hAnsi="仿宋" w:eastAsia="仿宋_GB2312" w:cs="仿宋"/>
          <w:sz w:val="32"/>
          <w:szCs w:val="32"/>
          <w:highlight w:val="none"/>
          <w:lang w:val="en-US" w:eastAsia="zh-CN"/>
        </w:rPr>
        <w:t>563</w:t>
      </w:r>
      <w:r>
        <w:rPr>
          <w:rFonts w:hint="eastAsia" w:ascii="仿宋_GB2312" w:hAnsi="仿宋" w:eastAsia="仿宋_GB2312" w:cs="仿宋"/>
          <w:sz w:val="32"/>
          <w:szCs w:val="32"/>
          <w:highlight w:val="none"/>
        </w:rPr>
        <w:t>万元</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其他支出28万元</w:t>
      </w:r>
      <w:r>
        <w:rPr>
          <w:rFonts w:hint="eastAsia" w:ascii="仿宋_GB2312" w:hAnsi="仿宋" w:eastAsia="仿宋_GB2312" w:cs="仿宋"/>
          <w:sz w:val="32"/>
          <w:szCs w:val="32"/>
          <w:highlight w:val="none"/>
        </w:rPr>
        <w:t>。当年收支结余</w:t>
      </w:r>
      <w:r>
        <w:rPr>
          <w:rFonts w:hint="eastAsia" w:ascii="仿宋_GB2312" w:hAnsi="仿宋" w:eastAsia="仿宋_GB2312" w:cs="仿宋"/>
          <w:sz w:val="32"/>
          <w:szCs w:val="32"/>
          <w:highlight w:val="none"/>
          <w:lang w:val="en-US" w:eastAsia="zh-CN"/>
        </w:rPr>
        <w:t>-986</w:t>
      </w:r>
      <w:r>
        <w:rPr>
          <w:rFonts w:hint="eastAsia" w:ascii="仿宋_GB2312" w:hAnsi="仿宋" w:eastAsia="仿宋_GB2312" w:cs="仿宋"/>
          <w:sz w:val="32"/>
          <w:szCs w:val="32"/>
          <w:highlight w:val="none"/>
        </w:rPr>
        <w:t>万元，年末滚存结余</w:t>
      </w:r>
      <w:r>
        <w:rPr>
          <w:rFonts w:hint="eastAsia" w:ascii="仿宋_GB2312" w:hAnsi="仿宋" w:eastAsia="仿宋_GB2312" w:cs="仿宋"/>
          <w:sz w:val="32"/>
          <w:szCs w:val="32"/>
          <w:highlight w:val="none"/>
          <w:lang w:val="en-US" w:eastAsia="zh-CN"/>
        </w:rPr>
        <w:t>1968</w:t>
      </w:r>
      <w:r>
        <w:rPr>
          <w:rFonts w:hint="eastAsia" w:ascii="仿宋_GB2312" w:hAnsi="仿宋" w:eastAsia="仿宋_GB2312" w:cs="仿宋"/>
          <w:sz w:val="32"/>
          <w:szCs w:val="32"/>
          <w:highlight w:val="none"/>
        </w:rPr>
        <w:t>万元。</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Cs/>
          <w:sz w:val="32"/>
          <w:szCs w:val="32"/>
          <w:highlight w:val="none"/>
        </w:rPr>
        <w:t>（</w:t>
      </w:r>
      <w:r>
        <w:rPr>
          <w:rFonts w:hint="eastAsia" w:ascii="楷体_GB2312" w:hAnsi="楷体_GB2312" w:eastAsia="楷体_GB2312" w:cs="楷体_GB2312"/>
          <w:bCs/>
          <w:sz w:val="32"/>
          <w:szCs w:val="32"/>
          <w:highlight w:val="none"/>
          <w:lang w:eastAsia="zh-CN"/>
        </w:rPr>
        <w:t>三</w:t>
      </w:r>
      <w:r>
        <w:rPr>
          <w:rFonts w:hint="eastAsia" w:ascii="楷体_GB2312" w:hAnsi="楷体_GB2312" w:eastAsia="楷体_GB2312" w:cs="楷体_GB2312"/>
          <w:bCs/>
          <w:sz w:val="32"/>
          <w:szCs w:val="32"/>
          <w:highlight w:val="none"/>
        </w:rPr>
        <w:t>）</w:t>
      </w:r>
      <w:r>
        <w:rPr>
          <w:rFonts w:hint="eastAsia" w:ascii="楷体_GB2312" w:hAnsi="楷体_GB2312" w:eastAsia="楷体_GB2312" w:cs="楷体_GB2312"/>
          <w:bCs/>
          <w:sz w:val="32"/>
          <w:szCs w:val="32"/>
          <w:highlight w:val="none"/>
          <w:lang w:eastAsia="zh-CN"/>
        </w:rPr>
        <w:t>地方政府债务情况</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highlight w:val="none"/>
        </w:rPr>
      </w:pPr>
      <w:r>
        <w:rPr>
          <w:rFonts w:hint="eastAsia" w:ascii="仿宋_GB2312" w:hAnsi="仿宋" w:eastAsia="仿宋_GB2312" w:cs="仿宋"/>
          <w:sz w:val="32"/>
          <w:szCs w:val="32"/>
          <w:highlight w:val="none"/>
          <w:lang w:val="en-US" w:eastAsia="zh-CN"/>
        </w:rPr>
        <w:t>2023年末双台子区政府债务余额89.69亿元，其中，一般债务58.55亿元，专项债务31.14亿元。债务余额同比增加17.75亿元，其中，一般债券11.95亿元，专项债券5.8亿元。</w:t>
      </w:r>
    </w:p>
    <w:p>
      <w:pPr>
        <w:snapToGrid w:val="0"/>
        <w:spacing w:line="339"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二、2023年主要财税政策落实和重点财政工作情况</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2023年，财政部门坚持以习近平新时代中国特色社会主义思想为指导，积极组织收入，优化支出结构，防范重大风险，有效发挥财政职能作用，较好地完成了各项工作任务。</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default"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（一）落实积极的财政政策，激发经营主体活力</w:t>
      </w:r>
    </w:p>
    <w:p>
      <w:pPr>
        <w:snapToGrid w:val="0"/>
        <w:spacing w:line="339" w:lineRule="auto"/>
        <w:ind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落实落细组合式税费支持政策。全面落实延续的减税降费政策及增值税小规模纳税人增值税减免、小微企业和个体工商户所得税优惠等新增减税降费政策，全区增值税留抵退税共计8606万元，惠及8户企业；</w:t>
      </w:r>
      <w:r>
        <w:rPr>
          <w:rFonts w:hint="eastAsia" w:ascii="仿宋_GB2312" w:hAnsi="仿宋_GB2312" w:eastAsia="仿宋_GB2312" w:cs="仿宋_GB2312"/>
          <w:sz w:val="32"/>
          <w:szCs w:val="32"/>
          <w:highlight w:val="none"/>
          <w:lang w:val="en-US" w:eastAsia="zh-CN"/>
        </w:rPr>
        <w:t>减免各项税费14001户次，减免金额11988</w:t>
      </w:r>
      <w:r>
        <w:rPr>
          <w:rFonts w:hint="eastAsia" w:ascii="仿宋_GB2312" w:hAnsi="仿宋_GB2312" w:eastAsia="仿宋_GB2312" w:cs="仿宋_GB2312"/>
          <w:sz w:val="32"/>
          <w:szCs w:val="32"/>
          <w:highlight w:val="none"/>
          <w:lang w:val="en-US" w:eastAsia="zh-CN"/>
        </w:rPr>
        <w:t>万元，</w:t>
      </w:r>
      <w:r>
        <w:rPr>
          <w:rFonts w:hint="eastAsia" w:ascii="仿宋_GB2312" w:eastAsia="仿宋_GB2312" w:cs="Times New Roman"/>
          <w:sz w:val="32"/>
          <w:szCs w:val="32"/>
          <w:highlight w:val="none"/>
          <w:lang w:val="en-US" w:eastAsia="zh-CN"/>
        </w:rPr>
        <w:t>有效减轻了市场主体负担。加大政府采购支持中小微企业力度，免收中小微企业投标保证金，提高对小微企业价格评审优惠幅度，政府采购项目给予小微企业的价格扣除优惠提高为10%，有效缓解中小微企业资金压力。</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default"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（二）助力全面振兴新突破三年行动，支持高质量发展</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围绕双台子区全面振兴新突破三年行动总体目标和六个重点领域行动方案，加强财政资源统筹，力促</w:t>
      </w:r>
      <w:r>
        <w:rPr>
          <w:rFonts w:hint="eastAsia" w:ascii="仿宋_GB2312" w:hAnsi="仿宋_GB2312" w:eastAsia="仿宋_GB2312" w:cs="仿宋_GB2312"/>
          <w:b w:val="0"/>
          <w:bCs w:val="0"/>
          <w:color w:val="auto"/>
          <w:spacing w:val="11"/>
          <w:position w:val="0"/>
          <w:sz w:val="32"/>
          <w:szCs w:val="32"/>
          <w:highlight w:val="none"/>
        </w:rPr>
        <w:t>高质量发展迈上新台阶</w:t>
      </w:r>
      <w:r>
        <w:rPr>
          <w:rFonts w:hint="eastAsia" w:ascii="仿宋_GB2312" w:hAnsi="仿宋" w:eastAsia="仿宋_GB2312" w:cs="仿宋"/>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val="0"/>
        <w:spacing w:line="339" w:lineRule="auto"/>
        <w:ind w:firstLine="643"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b/>
          <w:bCs/>
          <w:sz w:val="32"/>
          <w:szCs w:val="32"/>
          <w:highlight w:val="none"/>
          <w:lang w:val="en-US" w:eastAsia="zh-CN"/>
        </w:rPr>
        <w:t>支持建设现代化产业体系。</w:t>
      </w:r>
      <w:r>
        <w:rPr>
          <w:rFonts w:hint="eastAsia" w:ascii="仿宋_GB2312" w:hAnsi="仿宋" w:eastAsia="仿宋_GB2312" w:cs="仿宋"/>
          <w:sz w:val="32"/>
          <w:szCs w:val="32"/>
          <w:highlight w:val="none"/>
          <w:lang w:val="en-US" w:eastAsia="zh-CN"/>
        </w:rPr>
        <w:t>安排数字辽宁智造强省专项资金931万元，重点支持产业基地建设、数字经济发展、技术改造升级等，深入做好结构调整“三篇大文章”。安排214万元，促进消费提质扩容。</w:t>
      </w:r>
      <w:r>
        <w:rPr>
          <w:rFonts w:hint="eastAsia" w:ascii="仿宋_GB2312" w:hAnsi="仿宋" w:eastAsia="仿宋_GB2312" w:cs="仿宋"/>
          <w:b/>
          <w:bCs/>
          <w:sz w:val="32"/>
          <w:szCs w:val="32"/>
          <w:highlight w:val="none"/>
          <w:lang w:val="en-US" w:eastAsia="zh-CN"/>
        </w:rPr>
        <w:t>支持塑造发展新动能。</w:t>
      </w:r>
      <w:r>
        <w:rPr>
          <w:rFonts w:hint="eastAsia" w:ascii="仿宋_GB2312" w:hAnsi="仿宋" w:eastAsia="仿宋_GB2312" w:cs="仿宋"/>
          <w:sz w:val="32"/>
          <w:szCs w:val="32"/>
          <w:highlight w:val="none"/>
          <w:lang w:val="en-US" w:eastAsia="zh-CN"/>
        </w:rPr>
        <w:t>新增发行专项债券资金2亿元用于盘锦精细化工中试基地建设项目，2023年已拨付9000万元，推动加快完成C区改造、D区建设，提高科技成果本地转化率，助力创新平台提质升级。</w:t>
      </w:r>
      <w:r>
        <w:rPr>
          <w:rFonts w:hint="eastAsia" w:ascii="仿宋_GB2312" w:hAnsi="仿宋" w:eastAsia="仿宋_GB2312" w:cs="仿宋"/>
          <w:b/>
          <w:bCs/>
          <w:sz w:val="32"/>
          <w:szCs w:val="32"/>
          <w:highlight w:val="none"/>
          <w:lang w:val="en-US" w:eastAsia="zh-CN"/>
        </w:rPr>
        <w:t>支持全面推进乡村振兴。</w:t>
      </w:r>
      <w:r>
        <w:rPr>
          <w:rFonts w:hint="eastAsia" w:ascii="仿宋_GB2312" w:hAnsi="仿宋" w:eastAsia="仿宋_GB2312" w:cs="仿宋"/>
          <w:sz w:val="32"/>
          <w:szCs w:val="32"/>
          <w:highlight w:val="none"/>
          <w:lang w:val="en-US" w:eastAsia="zh-CN"/>
        </w:rPr>
        <w:t>安排204万元用于高标准农田建设，安排300万元，用于扶持陆家镇新型农村集体经济项目3个，推动村集体经济发展壮大。安排324万元用于农村人居环境整治提升。</w:t>
      </w:r>
      <w:r>
        <w:rPr>
          <w:rFonts w:hint="eastAsia" w:ascii="仿宋_GB2312" w:hAnsi="仿宋" w:eastAsia="仿宋_GB2312" w:cs="仿宋"/>
          <w:b/>
          <w:bCs/>
          <w:sz w:val="32"/>
          <w:szCs w:val="32"/>
          <w:highlight w:val="none"/>
          <w:lang w:val="en-US" w:eastAsia="zh-CN"/>
        </w:rPr>
        <w:t>支持美丽双台子建设。</w:t>
      </w:r>
      <w:r>
        <w:rPr>
          <w:rFonts w:hint="eastAsia" w:ascii="仿宋_GB2312" w:hAnsi="仿宋" w:eastAsia="仿宋_GB2312" w:cs="仿宋"/>
          <w:sz w:val="32"/>
          <w:szCs w:val="32"/>
          <w:highlight w:val="none"/>
          <w:lang w:val="en-US" w:eastAsia="zh-CN"/>
        </w:rPr>
        <w:t>安排1558万元用于冬季清洁取暖项目，推进污染防治持续改善生态环境。</w:t>
      </w:r>
      <w:r>
        <w:rPr>
          <w:rFonts w:hint="eastAsia" w:ascii="仿宋_GB2312" w:hAnsi="仿宋" w:eastAsia="仿宋_GB2312" w:cs="仿宋"/>
          <w:b/>
          <w:bCs/>
          <w:sz w:val="32"/>
          <w:szCs w:val="32"/>
          <w:highlight w:val="none"/>
          <w:lang w:val="en-US" w:eastAsia="zh-CN"/>
        </w:rPr>
        <w:t>深入开展央地合作提升行动。</w:t>
      </w:r>
      <w:r>
        <w:rPr>
          <w:rFonts w:hint="eastAsia" w:ascii="仿宋_GB2312" w:hAnsi="仿宋_GB2312" w:eastAsia="仿宋_GB2312" w:cs="仿宋_GB2312"/>
          <w:color w:val="auto"/>
          <w:sz w:val="32"/>
          <w:szCs w:val="32"/>
          <w:highlight w:val="none"/>
          <w:lang w:val="en-US" w:eastAsia="zh-CN"/>
        </w:rPr>
        <w:t>充分利用央企的战略性资源，深入实</w:t>
      </w:r>
      <w:r>
        <w:rPr>
          <w:rFonts w:hint="eastAsia" w:ascii="仿宋_GB2312" w:hAnsi="仿宋_GB2312" w:eastAsia="仿宋_GB2312" w:cs="仿宋_GB2312"/>
          <w:color w:val="auto"/>
          <w:sz w:val="32"/>
          <w:szCs w:val="32"/>
          <w:highlight w:val="none"/>
          <w:lang w:val="en-US" w:eastAsia="zh-CN"/>
        </w:rPr>
        <w:t>施“央企+”行动，在产业发展、城市建设、科技创新、国企改革等领域与央企开展更多务实合作，推动央地合作走深走实、常态长效、互利共赢，截至2023年末中试基地项目累计完成工程量1.2亿元。</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（三）坚持以人民为中心，不断增进民生福祉</w:t>
      </w:r>
    </w:p>
    <w:p>
      <w:pPr>
        <w:keepNext w:val="0"/>
        <w:keepLines w:val="0"/>
        <w:pageBreakBefore w:val="0"/>
        <w:widowControl w:val="0"/>
        <w:kinsoku/>
        <w:wordWrap/>
        <w:overflowPunct w:val="0"/>
        <w:topLinePunct w:val="0"/>
        <w:autoSpaceDE/>
        <w:autoSpaceDN/>
        <w:bidi w:val="0"/>
        <w:adjustRightInd/>
        <w:snapToGrid w:val="0"/>
        <w:spacing w:line="339" w:lineRule="auto"/>
        <w:ind w:firstLine="643"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b/>
          <w:bCs/>
          <w:sz w:val="32"/>
          <w:szCs w:val="32"/>
          <w:highlight w:val="none"/>
          <w:lang w:val="en-US" w:eastAsia="zh-CN"/>
        </w:rPr>
        <w:t>落实稳岗扩就业政策。</w:t>
      </w:r>
      <w:r>
        <w:rPr>
          <w:rFonts w:hint="eastAsia" w:ascii="仿宋_GB2312" w:hAnsi="仿宋" w:eastAsia="仿宋_GB2312" w:cs="仿宋"/>
          <w:sz w:val="32"/>
          <w:szCs w:val="32"/>
          <w:highlight w:val="none"/>
          <w:lang w:val="en-US" w:eastAsia="zh-CN"/>
        </w:rPr>
        <w:t>安排就业补助资金4783万元，用于1853名公益性岗位人员支出、落实高校毕业生就业创业补贴及引进人才补贴政策。</w:t>
      </w:r>
      <w:r>
        <w:rPr>
          <w:rFonts w:hint="eastAsia" w:ascii="仿宋_GB2312" w:hAnsi="仿宋" w:eastAsia="仿宋_GB2312" w:cs="仿宋"/>
          <w:b/>
          <w:bCs/>
          <w:sz w:val="32"/>
          <w:szCs w:val="32"/>
          <w:highlight w:val="none"/>
          <w:lang w:val="en-US" w:eastAsia="zh-CN"/>
        </w:rPr>
        <w:t>完善多层次社会保障体系。</w:t>
      </w:r>
      <w:r>
        <w:rPr>
          <w:rFonts w:hint="eastAsia" w:ascii="仿宋_GB2312" w:hAnsi="仿宋" w:eastAsia="仿宋_GB2312" w:cs="仿宋"/>
          <w:sz w:val="32"/>
          <w:szCs w:val="32"/>
          <w:highlight w:val="none"/>
          <w:lang w:val="en-US" w:eastAsia="zh-CN"/>
        </w:rPr>
        <w:t>落实城乡低保提标政策，安排3194万元用于城乡困难群体救助。安排1063万元用于城乡居民基本医疗保险补助，将城乡居民基本医疗保险财政补助标准提高到年人均135元。安排2228万元用于落实城乡居民养老保险方面待遇。发放机关事业退休人员养老金15327万元，人均基本养老金提高3.9%。安排690万元用于基本公共卫生服务。安排2935万元用于提高社区工作者薪酬待遇。</w:t>
      </w:r>
      <w:r>
        <w:rPr>
          <w:rFonts w:hint="eastAsia" w:ascii="仿宋_GB2312" w:hAnsi="仿宋" w:eastAsia="仿宋_GB2312" w:cs="仿宋"/>
          <w:b/>
          <w:bCs/>
          <w:sz w:val="32"/>
          <w:szCs w:val="32"/>
          <w:highlight w:val="none"/>
          <w:lang w:val="en-US" w:eastAsia="zh-CN"/>
        </w:rPr>
        <w:t>支持教育事业发展。</w:t>
      </w:r>
      <w:r>
        <w:rPr>
          <w:rFonts w:hint="eastAsia" w:ascii="仿宋_GB2312" w:hAnsi="仿宋" w:eastAsia="仿宋_GB2312" w:cs="仿宋"/>
          <w:sz w:val="32"/>
          <w:szCs w:val="32"/>
          <w:highlight w:val="none"/>
          <w:lang w:val="en-US" w:eastAsia="zh-CN"/>
        </w:rPr>
        <w:t>安排480万元用于推进民办普惠性幼儿园发展，提升普惠性幼儿园覆盖率。安排1509万元用于城乡义务教育生均经费保障，安排584万元用于义务教育薄弱环节改造与提升，改善中小学办学条件。安排30万元落实农村教师差别化补助，为324名家庭经济困难学生发放生活补助23万元。</w:t>
      </w:r>
      <w:r>
        <w:rPr>
          <w:rFonts w:hint="eastAsia" w:ascii="仿宋_GB2312" w:hAnsi="仿宋" w:eastAsia="仿宋_GB2312" w:cs="仿宋"/>
          <w:b/>
          <w:bCs/>
          <w:sz w:val="32"/>
          <w:szCs w:val="32"/>
          <w:highlight w:val="none"/>
          <w:lang w:val="en-US" w:eastAsia="zh-CN"/>
        </w:rPr>
        <w:t>支持大力发展社会事业。</w:t>
      </w:r>
      <w:r>
        <w:rPr>
          <w:rFonts w:hint="eastAsia" w:ascii="仿宋_GB2312" w:hAnsi="仿宋" w:eastAsia="仿宋_GB2312" w:cs="仿宋"/>
          <w:b w:val="0"/>
          <w:bCs w:val="0"/>
          <w:sz w:val="32"/>
          <w:szCs w:val="32"/>
          <w:highlight w:val="none"/>
          <w:lang w:val="en-US" w:eastAsia="zh-CN"/>
        </w:rPr>
        <w:t>安排3950万元用于支</w:t>
      </w:r>
      <w:r>
        <w:rPr>
          <w:rFonts w:hint="eastAsia" w:ascii="仿宋_GB2312" w:hAnsi="仿宋" w:eastAsia="仿宋_GB2312" w:cs="仿宋"/>
          <w:sz w:val="32"/>
          <w:szCs w:val="32"/>
          <w:highlight w:val="none"/>
          <w:lang w:val="en-US" w:eastAsia="zh-CN"/>
        </w:rPr>
        <w:t>持老旧小区改造，为城镇特殊困难家庭发放住房补贴资金。</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（四）积极主动作为，切实防范化解财政风险</w:t>
      </w:r>
    </w:p>
    <w:p>
      <w:pPr>
        <w:pStyle w:val="3"/>
        <w:snapToGrid w:val="0"/>
        <w:spacing w:line="339" w:lineRule="auto"/>
        <w:ind w:firstLine="643" w:firstLineChars="200"/>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 w:eastAsia="仿宋_GB2312" w:cs="仿宋"/>
          <w:b/>
          <w:bCs/>
          <w:sz w:val="32"/>
          <w:szCs w:val="32"/>
          <w:highlight w:val="none"/>
          <w:lang w:val="en-US" w:eastAsia="zh-CN"/>
        </w:rPr>
        <w:t>兜牢“三保”底线。</w:t>
      </w:r>
      <w:r>
        <w:rPr>
          <w:rFonts w:hint="eastAsia" w:ascii="仿宋_GB2312" w:hAnsi="仿宋" w:eastAsia="仿宋_GB2312" w:cs="仿宋"/>
          <w:sz w:val="32"/>
          <w:szCs w:val="32"/>
          <w:highlight w:val="none"/>
          <w:lang w:val="en-US" w:eastAsia="zh-CN"/>
        </w:rPr>
        <w:t>健全覆盖“三保”（保基本民生、保工资、保运转）预算编制、预算审核、执行监控、专户管理、应急处置的全链条闭环管理机制，实时监控、精准调度国库资金，确保“三保”在预算支出中的优先顺序，实行预算管理一体化系统网上监测和“专人专区”线下调度有效结合，及时化解“三保”风险。全年“三保”支出</w:t>
      </w:r>
      <w:r>
        <w:rPr>
          <w:rFonts w:hint="eastAsia" w:ascii="仿宋_GB2312" w:hAnsi="仿宋" w:cs="仿宋"/>
          <w:sz w:val="32"/>
          <w:szCs w:val="32"/>
          <w:highlight w:val="none"/>
          <w:lang w:val="en-US" w:eastAsia="zh-CN"/>
        </w:rPr>
        <w:t>60893</w:t>
      </w:r>
      <w:r>
        <w:rPr>
          <w:rFonts w:hint="eastAsia" w:ascii="仿宋_GB2312" w:hAnsi="仿宋" w:eastAsia="仿宋_GB2312" w:cs="仿宋"/>
          <w:sz w:val="32"/>
          <w:szCs w:val="32"/>
          <w:highlight w:val="none"/>
          <w:lang w:val="en-US" w:eastAsia="zh-CN"/>
        </w:rPr>
        <w:t>万元，其中：保基本民生</w:t>
      </w:r>
      <w:r>
        <w:rPr>
          <w:rFonts w:hint="eastAsia" w:ascii="仿宋_GB2312" w:hAnsi="仿宋" w:cs="仿宋"/>
          <w:sz w:val="32"/>
          <w:szCs w:val="32"/>
          <w:highlight w:val="none"/>
          <w:lang w:val="en-US" w:eastAsia="zh-CN"/>
        </w:rPr>
        <w:t>21880</w:t>
      </w:r>
      <w:r>
        <w:rPr>
          <w:rFonts w:hint="eastAsia" w:ascii="仿宋_GB2312" w:hAnsi="仿宋" w:eastAsia="仿宋_GB2312" w:cs="仿宋"/>
          <w:sz w:val="32"/>
          <w:szCs w:val="32"/>
          <w:highlight w:val="none"/>
          <w:lang w:val="en-US" w:eastAsia="zh-CN"/>
        </w:rPr>
        <w:t>万元、保工资</w:t>
      </w:r>
      <w:r>
        <w:rPr>
          <w:rFonts w:hint="eastAsia" w:ascii="仿宋_GB2312" w:hAnsi="仿宋" w:cs="仿宋"/>
          <w:sz w:val="32"/>
          <w:szCs w:val="32"/>
          <w:highlight w:val="none"/>
          <w:lang w:val="en-US" w:eastAsia="zh-CN"/>
        </w:rPr>
        <w:t>35877</w:t>
      </w:r>
      <w:r>
        <w:rPr>
          <w:rFonts w:hint="eastAsia" w:ascii="仿宋_GB2312" w:hAnsi="仿宋" w:eastAsia="仿宋_GB2312" w:cs="仿宋"/>
          <w:sz w:val="32"/>
          <w:szCs w:val="32"/>
          <w:highlight w:val="none"/>
          <w:lang w:val="en-US" w:eastAsia="zh-CN"/>
        </w:rPr>
        <w:t>万元、保运转</w:t>
      </w:r>
      <w:r>
        <w:rPr>
          <w:rFonts w:hint="eastAsia" w:ascii="仿宋_GB2312" w:hAnsi="仿宋" w:cs="仿宋"/>
          <w:sz w:val="32"/>
          <w:szCs w:val="32"/>
          <w:highlight w:val="none"/>
          <w:lang w:val="en-US" w:eastAsia="zh-CN"/>
        </w:rPr>
        <w:t>3136</w:t>
      </w:r>
      <w:r>
        <w:rPr>
          <w:rFonts w:hint="eastAsia" w:ascii="仿宋_GB2312" w:hAnsi="仿宋" w:eastAsia="仿宋_GB2312" w:cs="仿宋"/>
          <w:sz w:val="32"/>
          <w:szCs w:val="32"/>
          <w:highlight w:val="none"/>
          <w:lang w:val="en-US" w:eastAsia="zh-CN"/>
        </w:rPr>
        <w:t>万元，兜牢兜实“三保”底线。</w:t>
      </w:r>
      <w:r>
        <w:rPr>
          <w:rFonts w:hint="eastAsia" w:ascii="仿宋_GB2312" w:hAnsi="仿宋" w:eastAsia="仿宋_GB2312" w:cs="仿宋"/>
          <w:b/>
          <w:bCs/>
          <w:sz w:val="32"/>
          <w:szCs w:val="32"/>
          <w:highlight w:val="none"/>
          <w:lang w:val="en-US" w:eastAsia="zh-CN"/>
        </w:rPr>
        <w:t>抓实债务风险防范化解。</w:t>
      </w:r>
      <w:r>
        <w:rPr>
          <w:rFonts w:hint="eastAsia" w:ascii="仿宋_GB2312" w:hAnsi="仿宋_GB2312" w:cs="仿宋_GB2312"/>
          <w:color w:val="auto"/>
          <w:kern w:val="2"/>
          <w:sz w:val="32"/>
          <w:szCs w:val="32"/>
          <w:highlight w:val="none"/>
          <w:shd w:val="clear" w:color="auto" w:fill="auto"/>
          <w:lang w:val="en-US" w:eastAsia="zh-CN" w:bidi="ar-SA"/>
        </w:rPr>
        <w:t>全</w:t>
      </w:r>
      <w:r>
        <w:rPr>
          <w:rFonts w:hint="eastAsia" w:ascii="仿宋_GB2312" w:hAnsi="仿宋_GB2312" w:eastAsia="仿宋_GB2312" w:cs="仿宋_GB2312"/>
          <w:color w:val="auto"/>
          <w:kern w:val="2"/>
          <w:sz w:val="32"/>
          <w:szCs w:val="32"/>
          <w:highlight w:val="none"/>
          <w:shd w:val="clear" w:color="auto" w:fill="auto"/>
          <w:lang w:val="en-US" w:eastAsia="zh-CN" w:bidi="ar-SA"/>
        </w:rPr>
        <w:t>区致力于在政策扶持下不断激活“自我造血”功能，始终坚持在发展中压缩债务，多渠道筹措资金，推动实现债务规模的压缩与债务风险的缓释。</w:t>
      </w:r>
      <w:r>
        <w:rPr>
          <w:rFonts w:hint="eastAsia" w:ascii="仿宋_GB2312" w:hAnsi="仿宋" w:eastAsia="仿宋_GB2312" w:cs="仿宋"/>
          <w:sz w:val="32"/>
          <w:szCs w:val="32"/>
          <w:highlight w:val="none"/>
          <w:lang w:val="en-US" w:eastAsia="zh-CN"/>
        </w:rPr>
        <w:t>筹措资金</w:t>
      </w:r>
      <w:r>
        <w:rPr>
          <w:rFonts w:hint="eastAsia" w:ascii="仿宋_GB2312" w:hAnsi="仿宋" w:cs="仿宋"/>
          <w:sz w:val="32"/>
          <w:szCs w:val="32"/>
          <w:highlight w:val="none"/>
          <w:lang w:val="en-US" w:eastAsia="zh-CN"/>
        </w:rPr>
        <w:t>7.05亿元</w:t>
      </w:r>
      <w:r>
        <w:rPr>
          <w:rFonts w:hint="eastAsia" w:ascii="仿宋_GB2312" w:hAnsi="仿宋" w:eastAsia="仿宋_GB2312" w:cs="仿宋"/>
          <w:sz w:val="32"/>
          <w:szCs w:val="32"/>
          <w:highlight w:val="none"/>
          <w:lang w:val="en-US" w:eastAsia="zh-CN"/>
        </w:rPr>
        <w:t>用于全区</w:t>
      </w:r>
      <w:r>
        <w:rPr>
          <w:rFonts w:hint="eastAsia" w:ascii="仿宋_GB2312" w:hAnsi="仿宋" w:cs="仿宋"/>
          <w:sz w:val="32"/>
          <w:szCs w:val="32"/>
          <w:highlight w:val="none"/>
          <w:lang w:val="en-US" w:eastAsia="zh-CN"/>
        </w:rPr>
        <w:t>法定</w:t>
      </w:r>
      <w:r>
        <w:rPr>
          <w:rFonts w:hint="eastAsia" w:ascii="仿宋_GB2312" w:hAnsi="仿宋" w:eastAsia="仿宋_GB2312" w:cs="仿宋"/>
          <w:sz w:val="32"/>
          <w:szCs w:val="32"/>
          <w:highlight w:val="none"/>
          <w:lang w:val="en-US" w:eastAsia="zh-CN"/>
        </w:rPr>
        <w:t>债务还本付息，其中，法定债务还本</w:t>
      </w:r>
      <w:r>
        <w:rPr>
          <w:rFonts w:hint="eastAsia" w:ascii="仿宋_GB2312" w:hAnsi="仿宋" w:cs="仿宋"/>
          <w:sz w:val="32"/>
          <w:szCs w:val="32"/>
          <w:highlight w:val="none"/>
          <w:lang w:val="en-US" w:eastAsia="zh-CN"/>
        </w:rPr>
        <w:t>4.58亿元</w:t>
      </w:r>
      <w:r>
        <w:rPr>
          <w:rFonts w:hint="eastAsia" w:ascii="仿宋_GB2312" w:hAnsi="仿宋" w:eastAsia="仿宋_GB2312" w:cs="仿宋"/>
          <w:sz w:val="32"/>
          <w:szCs w:val="32"/>
          <w:highlight w:val="none"/>
          <w:lang w:val="en-US" w:eastAsia="zh-CN"/>
        </w:rPr>
        <w:t>，</w:t>
      </w:r>
      <w:r>
        <w:rPr>
          <w:rFonts w:hint="eastAsia" w:ascii="仿宋_GB2312" w:hAnsi="仿宋" w:cs="仿宋"/>
          <w:sz w:val="32"/>
          <w:szCs w:val="32"/>
          <w:highlight w:val="none"/>
          <w:lang w:val="en-US" w:eastAsia="zh-CN"/>
        </w:rPr>
        <w:t>通过再融资债券解决；</w:t>
      </w:r>
      <w:r>
        <w:rPr>
          <w:rFonts w:hint="eastAsia" w:ascii="仿宋_GB2312" w:hAnsi="仿宋" w:eastAsia="仿宋_GB2312" w:cs="仿宋"/>
          <w:sz w:val="32"/>
          <w:szCs w:val="32"/>
          <w:highlight w:val="none"/>
          <w:lang w:val="en-US" w:eastAsia="zh-CN"/>
        </w:rPr>
        <w:t>付息</w:t>
      </w:r>
      <w:r>
        <w:rPr>
          <w:rFonts w:hint="eastAsia" w:ascii="仿宋_GB2312" w:hAnsi="仿宋" w:cs="仿宋"/>
          <w:sz w:val="32"/>
          <w:szCs w:val="32"/>
          <w:highlight w:val="none"/>
          <w:lang w:val="en-US" w:eastAsia="zh-CN"/>
        </w:rPr>
        <w:t>2.47亿元，通过年初预算安排</w:t>
      </w:r>
      <w:r>
        <w:rPr>
          <w:rFonts w:hint="eastAsia" w:ascii="仿宋_GB2312" w:hAnsi="仿宋" w:eastAsia="仿宋_GB2312" w:cs="仿宋"/>
          <w:sz w:val="32"/>
          <w:szCs w:val="32"/>
          <w:highlight w:val="none"/>
          <w:lang w:val="en-US" w:eastAsia="zh-CN"/>
        </w:rPr>
        <w:t>。全年</w:t>
      </w:r>
      <w:r>
        <w:rPr>
          <w:rFonts w:hint="eastAsia" w:ascii="仿宋_GB2312" w:hAnsi="仿宋_GB2312" w:eastAsia="仿宋_GB2312" w:cs="仿宋_GB2312"/>
          <w:sz w:val="32"/>
          <w:szCs w:val="32"/>
          <w:highlight w:val="none"/>
          <w:lang w:val="en-US" w:eastAsia="zh-CN"/>
        </w:rPr>
        <w:t>共计争取</w:t>
      </w:r>
      <w:r>
        <w:rPr>
          <w:rFonts w:hint="eastAsia" w:ascii="仿宋_GB2312" w:hAnsi="仿宋_GB2312" w:cs="仿宋_GB2312"/>
          <w:sz w:val="32"/>
          <w:szCs w:val="32"/>
          <w:highlight w:val="none"/>
          <w:lang w:val="en-US" w:eastAsia="zh-CN"/>
        </w:rPr>
        <w:t>化债资金</w:t>
      </w:r>
      <w:r>
        <w:rPr>
          <w:rFonts w:hint="eastAsia" w:ascii="仿宋_GB2312" w:hAnsi="仿宋_GB2312" w:eastAsia="仿宋_GB2312" w:cs="仿宋_GB2312"/>
          <w:sz w:val="32"/>
          <w:szCs w:val="32"/>
          <w:highlight w:val="none"/>
          <w:lang w:val="en-US" w:eastAsia="zh-CN"/>
        </w:rPr>
        <w:t>11.75亿元，其中：隐性债务风险化解试点3.8亿元；清偿已纳入隐性债务管理的拖欠企业账款3.58亿元；清理上报国务院政府拖欠企业账款4.37亿元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bCs/>
          <w:color w:val="auto"/>
          <w:kern w:val="2"/>
          <w:sz w:val="32"/>
          <w:szCs w:val="32"/>
          <w:highlight w:val="none"/>
          <w:shd w:val="clear" w:color="auto" w:fill="auto"/>
          <w:lang w:val="en-US" w:eastAsia="zh-CN" w:bidi="ar-SA"/>
        </w:rPr>
        <w:t>防范化解金融风险。</w:t>
      </w:r>
      <w:r>
        <w:rPr>
          <w:rFonts w:hint="eastAsia" w:ascii="仿宋_GB2312" w:hAnsi="仿宋_GB2312" w:eastAsia="仿宋_GB2312" w:cs="仿宋_GB2312"/>
          <w:color w:val="auto"/>
          <w:kern w:val="2"/>
          <w:sz w:val="32"/>
          <w:szCs w:val="32"/>
          <w:highlight w:val="none"/>
          <w:shd w:val="clear" w:color="auto" w:fill="auto"/>
          <w:lang w:val="en-US" w:eastAsia="zh-CN" w:bidi="ar-SA"/>
        </w:rPr>
        <w:t>健全金融风险预警和早期干预机制，开展打击和防范非法集资宣传活动，积极做好非法集资案件排查、报送与处置工作</w:t>
      </w:r>
      <w:r>
        <w:rPr>
          <w:rFonts w:hint="eastAsia" w:ascii="仿宋_GB2312" w:hAnsi="仿宋_GB2312" w:cs="仿宋_GB2312"/>
          <w:color w:val="auto"/>
          <w:kern w:val="2"/>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zh-TW" w:eastAsia="zh-TW" w:bidi="ar-SA"/>
        </w:rPr>
        <w:t>加强对融资担保公司、小额贷款公司</w:t>
      </w:r>
      <w:r>
        <w:rPr>
          <w:rFonts w:hint="eastAsia" w:ascii="仿宋_GB2312" w:hAnsi="仿宋_GB2312" w:eastAsia="仿宋_GB2312" w:cs="仿宋_GB2312"/>
          <w:color w:val="auto"/>
          <w:kern w:val="2"/>
          <w:sz w:val="32"/>
          <w:szCs w:val="32"/>
          <w:highlight w:val="none"/>
          <w:shd w:val="clear" w:color="auto" w:fill="auto"/>
          <w:lang w:val="zh-TW" w:eastAsia="zh-CN" w:bidi="ar-SA"/>
        </w:rPr>
        <w:t>的日常</w:t>
      </w:r>
      <w:r>
        <w:rPr>
          <w:rFonts w:hint="eastAsia" w:ascii="仿宋_GB2312" w:hAnsi="仿宋_GB2312" w:eastAsia="仿宋_GB2312" w:cs="仿宋_GB2312"/>
          <w:color w:val="auto"/>
          <w:kern w:val="2"/>
          <w:sz w:val="32"/>
          <w:szCs w:val="32"/>
          <w:highlight w:val="none"/>
          <w:shd w:val="clear" w:color="auto" w:fill="auto"/>
          <w:lang w:val="zh-TW" w:eastAsia="zh-TW" w:bidi="ar-SA"/>
        </w:rPr>
        <w:t>监管</w:t>
      </w:r>
      <w:r>
        <w:rPr>
          <w:rFonts w:hint="eastAsia" w:ascii="仿宋_GB2312" w:hAnsi="仿宋_GB2312" w:eastAsia="仿宋_GB2312" w:cs="仿宋_GB2312"/>
          <w:color w:val="auto"/>
          <w:kern w:val="2"/>
          <w:sz w:val="32"/>
          <w:szCs w:val="32"/>
          <w:highlight w:val="none"/>
          <w:shd w:val="clear" w:color="auto" w:fill="auto"/>
          <w:lang w:val="zh-TW" w:eastAsia="zh-CN" w:bidi="ar-SA"/>
        </w:rPr>
        <w:t>，</w:t>
      </w:r>
      <w:r>
        <w:rPr>
          <w:rFonts w:hint="eastAsia" w:ascii="仿宋_GB2312" w:hAnsi="仿宋_GB2312" w:eastAsia="仿宋_GB2312" w:cs="仿宋_GB2312"/>
          <w:color w:val="auto"/>
          <w:kern w:val="2"/>
          <w:sz w:val="32"/>
          <w:szCs w:val="32"/>
          <w:highlight w:val="none"/>
          <w:shd w:val="clear" w:color="auto" w:fill="auto"/>
          <w:lang w:val="en-US" w:eastAsia="zh-CN" w:bidi="ar-SA"/>
        </w:rPr>
        <w:t>及时掌握机构经营情况，督促各公司合理合规开展业务</w:t>
      </w:r>
      <w:r>
        <w:rPr>
          <w:rFonts w:hint="eastAsia" w:ascii="仿宋_GB2312" w:hAnsi="仿宋_GB2312" w:cs="仿宋_GB2312"/>
          <w:color w:val="auto"/>
          <w:kern w:val="2"/>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en-US" w:eastAsia="zh-CN" w:bidi="ar-SA"/>
        </w:rPr>
        <w:t>杜绝爆发区域性金融风险。</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仿宋" w:hAnsi="仿宋" w:eastAsia="仿宋" w:cs="仿宋"/>
          <w:sz w:val="32"/>
          <w:szCs w:val="32"/>
          <w:highlight w:val="none"/>
          <w:lang w:val="en-US" w:eastAsia="zh-CN"/>
        </w:rPr>
      </w:pPr>
      <w:r>
        <w:rPr>
          <w:rFonts w:hint="eastAsia" w:ascii="楷体_GB2312" w:hAnsi="楷体_GB2312" w:eastAsia="楷体_GB2312" w:cs="楷体_GB2312"/>
          <w:bCs/>
          <w:sz w:val="32"/>
          <w:szCs w:val="32"/>
          <w:highlight w:val="none"/>
          <w:lang w:val="en-US" w:eastAsia="zh-CN"/>
        </w:rPr>
        <w:t>（五）深化改革强化管理，全面提升财政治理效能</w:t>
      </w:r>
    </w:p>
    <w:p>
      <w:pPr>
        <w:pStyle w:val="3"/>
        <w:snapToGrid w:val="0"/>
        <w:spacing w:line="339" w:lineRule="auto"/>
        <w:ind w:firstLine="643" w:firstLineChars="200"/>
        <w:rPr>
          <w:rFonts w:hint="default" w:ascii="仿宋_GB2312" w:hAnsi="仿宋" w:cs="仿宋"/>
          <w:szCs w:val="32"/>
          <w:highlight w:val="none"/>
          <w:lang w:val="en-US" w:eastAsia="zh-CN"/>
        </w:rPr>
      </w:pPr>
      <w:r>
        <w:rPr>
          <w:rFonts w:hint="eastAsia" w:ascii="仿宋_GB2312" w:hAnsi="仿宋" w:cs="仿宋"/>
          <w:b/>
          <w:bCs/>
          <w:szCs w:val="32"/>
          <w:highlight w:val="none"/>
        </w:rPr>
        <w:t>持续推进财政预算管理一体化建设。</w:t>
      </w:r>
      <w:r>
        <w:rPr>
          <w:rFonts w:hint="eastAsia" w:ascii="仿宋_GB2312" w:hAnsi="仿宋" w:cs="仿宋"/>
          <w:szCs w:val="32"/>
          <w:highlight w:val="none"/>
          <w:lang w:val="en-US" w:eastAsia="zh-CN"/>
        </w:rPr>
        <w:t>全区</w:t>
      </w:r>
      <w:r>
        <w:rPr>
          <w:rFonts w:hint="eastAsia" w:ascii="仿宋_GB2312" w:hAnsi="仿宋" w:cs="仿宋"/>
          <w:szCs w:val="32"/>
          <w:highlight w:val="none"/>
        </w:rPr>
        <w:t>严格贯彻落实上级财政关于深化预算管理制度改革部署要求，扎实推进预算管理一体化系统应用各项工作，对“三保”、转移支付资金和“三公”经费情况开展动态监控。</w:t>
      </w:r>
      <w:r>
        <w:rPr>
          <w:rFonts w:hint="eastAsia" w:ascii="仿宋_GB2312" w:hAnsi="仿宋" w:cs="仿宋"/>
          <w:b/>
          <w:bCs/>
          <w:szCs w:val="32"/>
          <w:highlight w:val="none"/>
          <w:lang w:val="en-US" w:eastAsia="zh-CN"/>
        </w:rPr>
        <w:t>完善预算</w:t>
      </w:r>
      <w:r>
        <w:rPr>
          <w:rFonts w:hint="eastAsia" w:ascii="仿宋_GB2312" w:hAnsi="仿宋" w:cs="仿宋"/>
          <w:b/>
          <w:bCs/>
          <w:szCs w:val="32"/>
          <w:highlight w:val="none"/>
        </w:rPr>
        <w:t>绩效管理</w:t>
      </w:r>
      <w:r>
        <w:rPr>
          <w:rFonts w:hint="eastAsia" w:ascii="仿宋_GB2312" w:hAnsi="仿宋" w:cs="仿宋"/>
          <w:b/>
          <w:bCs/>
          <w:szCs w:val="32"/>
          <w:highlight w:val="none"/>
          <w:lang w:val="en-US" w:eastAsia="zh-CN"/>
        </w:rPr>
        <w:t>体系</w:t>
      </w:r>
      <w:r>
        <w:rPr>
          <w:rFonts w:hint="eastAsia" w:ascii="仿宋_GB2312" w:hAnsi="仿宋" w:cs="仿宋"/>
          <w:b/>
          <w:bCs/>
          <w:szCs w:val="32"/>
          <w:highlight w:val="none"/>
        </w:rPr>
        <w:t>。</w:t>
      </w:r>
      <w:r>
        <w:rPr>
          <w:rFonts w:hint="eastAsia" w:ascii="仿宋_GB2312" w:hAnsi="仿宋" w:cs="仿宋"/>
          <w:szCs w:val="32"/>
          <w:highlight w:val="none"/>
        </w:rPr>
        <w:t>强化绩效目标管理，通过深入预算单位指导、业务培训、一体化系统融合等措施，全面</w:t>
      </w:r>
      <w:r>
        <w:rPr>
          <w:rFonts w:hint="eastAsia" w:ascii="仿宋_GB2312" w:hAnsi="仿宋" w:cs="仿宋"/>
          <w:szCs w:val="32"/>
          <w:highlight w:val="none"/>
          <w:lang w:val="en-US" w:eastAsia="zh-CN"/>
        </w:rPr>
        <w:t>加强</w:t>
      </w:r>
      <w:r>
        <w:rPr>
          <w:rFonts w:hint="eastAsia" w:ascii="仿宋_GB2312" w:hAnsi="仿宋" w:cs="仿宋"/>
          <w:szCs w:val="32"/>
          <w:highlight w:val="none"/>
        </w:rPr>
        <w:t>预算项目绩效目标审核工作。加大绩效评价力度</w:t>
      </w:r>
      <w:r>
        <w:rPr>
          <w:rFonts w:hint="eastAsia" w:ascii="仿宋_GB2312" w:hAnsi="仿宋" w:cs="仿宋"/>
          <w:szCs w:val="32"/>
          <w:highlight w:val="none"/>
          <w:lang w:eastAsia="zh-CN"/>
        </w:rPr>
        <w:t>，</w:t>
      </w:r>
      <w:r>
        <w:rPr>
          <w:rFonts w:hint="eastAsia" w:ascii="仿宋_GB2312" w:hAnsi="仿宋" w:cs="仿宋"/>
          <w:szCs w:val="32"/>
          <w:highlight w:val="none"/>
        </w:rPr>
        <w:t>启动重点项目绩效监控，提升绩效管理结果应用时效。</w:t>
      </w:r>
      <w:r>
        <w:rPr>
          <w:rFonts w:hint="eastAsia" w:ascii="仿宋_GB2312" w:hAnsi="仿宋" w:cs="仿宋"/>
          <w:b/>
          <w:bCs/>
          <w:szCs w:val="32"/>
          <w:highlight w:val="none"/>
        </w:rPr>
        <w:t>严格政府采购程序。</w:t>
      </w:r>
      <w:r>
        <w:rPr>
          <w:rFonts w:hint="eastAsia" w:ascii="仿宋_GB2312" w:hAnsi="仿宋" w:cs="仿宋"/>
          <w:szCs w:val="32"/>
          <w:highlight w:val="none"/>
          <w:lang w:val="en-US" w:eastAsia="zh-CN"/>
        </w:rPr>
        <w:t>完善</w:t>
      </w:r>
      <w:r>
        <w:rPr>
          <w:rFonts w:hint="eastAsia" w:ascii="仿宋_GB2312" w:hAnsi="仿宋" w:cs="仿宋"/>
          <w:szCs w:val="32"/>
          <w:highlight w:val="none"/>
        </w:rPr>
        <w:t>政府采购电子化，进一步提高效率效能、提升服务质量。</w:t>
      </w:r>
      <w:r>
        <w:rPr>
          <w:rFonts w:hint="eastAsia" w:ascii="仿宋_GB2312" w:hAnsi="仿宋" w:cs="仿宋"/>
          <w:szCs w:val="32"/>
          <w:highlight w:val="none"/>
          <w:lang w:val="en-US" w:eastAsia="zh-CN"/>
        </w:rPr>
        <w:t>全年</w:t>
      </w:r>
      <w:r>
        <w:rPr>
          <w:rFonts w:hint="eastAsia" w:ascii="仿宋_GB2312" w:hAnsi="仿宋" w:cs="仿宋"/>
          <w:szCs w:val="32"/>
          <w:highlight w:val="none"/>
        </w:rPr>
        <w:t>政府采购项目累计采购计划金额</w:t>
      </w:r>
      <w:r>
        <w:rPr>
          <w:rFonts w:hint="eastAsia" w:ascii="仿宋_GB2312" w:hAnsi="仿宋" w:cs="仿宋"/>
          <w:szCs w:val="32"/>
          <w:highlight w:val="none"/>
          <w:lang w:val="en-US" w:eastAsia="zh-CN"/>
        </w:rPr>
        <w:t>1759</w:t>
      </w:r>
      <w:r>
        <w:rPr>
          <w:rFonts w:hint="eastAsia" w:ascii="仿宋_GB2312" w:hAnsi="仿宋" w:cs="仿宋"/>
          <w:szCs w:val="32"/>
          <w:highlight w:val="none"/>
        </w:rPr>
        <w:t>万元，实际采购金额</w:t>
      </w:r>
      <w:r>
        <w:rPr>
          <w:rFonts w:hint="eastAsia" w:ascii="仿宋_GB2312" w:hAnsi="仿宋" w:cs="仿宋"/>
          <w:szCs w:val="32"/>
          <w:highlight w:val="none"/>
          <w:lang w:val="en-US" w:eastAsia="zh-CN"/>
        </w:rPr>
        <w:t>1534</w:t>
      </w:r>
      <w:r>
        <w:rPr>
          <w:rFonts w:hint="eastAsia" w:ascii="仿宋_GB2312" w:hAnsi="仿宋" w:cs="仿宋"/>
          <w:szCs w:val="32"/>
          <w:highlight w:val="none"/>
        </w:rPr>
        <w:t>万元，节约资金</w:t>
      </w:r>
      <w:r>
        <w:rPr>
          <w:rFonts w:hint="eastAsia" w:ascii="仿宋_GB2312" w:hAnsi="仿宋" w:cs="仿宋"/>
          <w:szCs w:val="32"/>
          <w:highlight w:val="none"/>
          <w:lang w:val="en-US" w:eastAsia="zh-CN"/>
        </w:rPr>
        <w:t>225</w:t>
      </w:r>
      <w:r>
        <w:rPr>
          <w:rFonts w:hint="eastAsia" w:ascii="仿宋_GB2312" w:hAnsi="仿宋" w:cs="仿宋"/>
          <w:szCs w:val="32"/>
          <w:highlight w:val="none"/>
        </w:rPr>
        <w:t>万元，</w:t>
      </w:r>
      <w:r>
        <w:rPr>
          <w:rFonts w:hint="eastAsia" w:ascii="仿宋_GB2312" w:hAnsi="仿宋" w:cs="仿宋"/>
          <w:szCs w:val="32"/>
          <w:highlight w:val="none"/>
          <w:lang w:val="en-US" w:eastAsia="zh-CN"/>
        </w:rPr>
        <w:t>资金节约</w:t>
      </w:r>
      <w:r>
        <w:rPr>
          <w:rFonts w:hint="eastAsia" w:ascii="仿宋_GB2312" w:hAnsi="仿宋" w:cs="仿宋"/>
          <w:szCs w:val="32"/>
          <w:highlight w:val="none"/>
        </w:rPr>
        <w:t>率达</w:t>
      </w:r>
      <w:r>
        <w:rPr>
          <w:rFonts w:hint="eastAsia" w:ascii="仿宋_GB2312" w:hAnsi="仿宋" w:cs="仿宋"/>
          <w:szCs w:val="32"/>
          <w:highlight w:val="none"/>
          <w:lang w:val="en-US" w:eastAsia="zh-CN"/>
        </w:rPr>
        <w:t>13</w:t>
      </w:r>
      <w:r>
        <w:rPr>
          <w:rFonts w:hint="eastAsia" w:ascii="仿宋_GB2312" w:hAnsi="仿宋" w:cs="仿宋"/>
          <w:szCs w:val="32"/>
          <w:highlight w:val="none"/>
        </w:rPr>
        <w:t>%。</w:t>
      </w:r>
      <w:r>
        <w:rPr>
          <w:rFonts w:hint="eastAsia" w:ascii="仿宋_GB2312" w:hAnsi="仿宋" w:cs="仿宋"/>
          <w:b/>
          <w:bCs/>
          <w:szCs w:val="32"/>
          <w:highlight w:val="none"/>
          <w:lang w:val="en-US" w:eastAsia="zh-CN"/>
        </w:rPr>
        <w:t>严肃财经纪律。</w:t>
      </w:r>
      <w:r>
        <w:rPr>
          <w:rFonts w:hint="eastAsia" w:ascii="仿宋_GB2312" w:hAnsi="仿宋" w:cs="仿宋"/>
          <w:szCs w:val="32"/>
          <w:highlight w:val="none"/>
          <w:lang w:val="en-US" w:eastAsia="zh-CN"/>
        </w:rPr>
        <w:t>开展财会监督和预算执行监督，落实《关于进一步加强财会监督工作的意见》，开展财会监督和预算执行监督专项行动，聚焦财政、财务、会计领域的短板和薄弱环节加强监督，对检查发现的典型问题立即整改。</w:t>
      </w:r>
      <w:r>
        <w:rPr>
          <w:rFonts w:hint="eastAsia" w:ascii="仿宋_GB2312" w:hAnsi="仿宋" w:cs="仿宋"/>
          <w:szCs w:val="32"/>
          <w:highlight w:val="none"/>
        </w:rPr>
        <w:t>主动接受社会监督，</w:t>
      </w:r>
      <w:r>
        <w:rPr>
          <w:rFonts w:hint="eastAsia" w:ascii="仿宋_GB2312" w:hAnsi="仿宋" w:cs="仿宋"/>
          <w:szCs w:val="32"/>
          <w:highlight w:val="none"/>
          <w:lang w:val="en-US" w:eastAsia="zh-CN"/>
        </w:rPr>
        <w:t>区</w:t>
      </w:r>
      <w:r>
        <w:rPr>
          <w:rFonts w:hint="eastAsia" w:ascii="仿宋_GB2312" w:hAnsi="仿宋" w:cs="仿宋"/>
          <w:szCs w:val="32"/>
          <w:highlight w:val="none"/>
        </w:rPr>
        <w:t>本级政府和部门预决算实现“双公开”，部门预决算公开实现公开面、及时率和完整性三个100%。</w:t>
      </w:r>
    </w:p>
    <w:p>
      <w:pPr>
        <w:keepNext w:val="0"/>
        <w:keepLines w:val="0"/>
        <w:pageBreakBefore w:val="0"/>
        <w:widowControl w:val="0"/>
        <w:kinsoku/>
        <w:wordWrap/>
        <w:overflowPunct w:val="0"/>
        <w:topLinePunct w:val="0"/>
        <w:autoSpaceDE/>
        <w:autoSpaceDN/>
        <w:bidi w:val="0"/>
        <w:adjustRightInd/>
        <w:snapToGrid w:val="0"/>
        <w:spacing w:line="339" w:lineRule="auto"/>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2023年全区财政工作整体情况较好，但财政运行中仍存在一些问题，如财政紧平衡状态愈发明显，收支矛盾不断加大，需纳入预算安排的政府债券利息和隐性债务利息规模激增，财政资金长期不足，库款保障水平较低等。在未来的工作中，我们将始终坚持问题导向，全力化解收支矛盾，防范财政运行风险，为全区各项事业的持续发展添砖加瓦。</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lang w:val="en-US" w:eastAsia="zh-CN"/>
        </w:rPr>
        <w:t>三</w:t>
      </w:r>
      <w:r>
        <w:rPr>
          <w:rFonts w:hint="eastAsia" w:ascii="黑体" w:hAnsi="黑体" w:eastAsia="黑体" w:cs="黑体"/>
          <w:bCs/>
          <w:sz w:val="32"/>
          <w:szCs w:val="32"/>
          <w:highlight w:val="none"/>
        </w:rPr>
        <w:t>、202</w:t>
      </w:r>
      <w:r>
        <w:rPr>
          <w:rFonts w:hint="eastAsia" w:ascii="黑体" w:hAnsi="黑体" w:eastAsia="黑体" w:cs="黑体"/>
          <w:bCs/>
          <w:sz w:val="32"/>
          <w:szCs w:val="32"/>
          <w:highlight w:val="none"/>
          <w:lang w:val="en-US" w:eastAsia="zh-CN"/>
        </w:rPr>
        <w:t>4</w:t>
      </w:r>
      <w:r>
        <w:rPr>
          <w:rFonts w:hint="eastAsia" w:ascii="黑体" w:hAnsi="黑体" w:eastAsia="黑体" w:cs="黑体"/>
          <w:bCs/>
          <w:sz w:val="32"/>
          <w:szCs w:val="32"/>
          <w:highlight w:val="none"/>
        </w:rPr>
        <w:t>年预算草案</w:t>
      </w:r>
    </w:p>
    <w:p>
      <w:pPr>
        <w:keepNext w:val="0"/>
        <w:keepLines w:val="0"/>
        <w:pageBreakBefore w:val="0"/>
        <w:widowControl w:val="0"/>
        <w:kinsoku/>
        <w:wordWrap/>
        <w:overflowPunct w:val="0"/>
        <w:topLinePunct w:val="0"/>
        <w:autoSpaceDE/>
        <w:autoSpaceDN/>
        <w:bidi w:val="0"/>
        <w:adjustRightInd/>
        <w:snapToGrid w:val="0"/>
        <w:spacing w:line="339" w:lineRule="auto"/>
        <w:ind w:left="0" w:leftChars="0"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2024年预算编制及财政工作的指导思想是：以习近平新时代中国特色社会主义思想为指导，全面贯彻落实党的二十大精神，深入贯彻习近平总书记关于东北、辽宁振兴发展的重要讲话和指示批示精神，落实中央、省、市经济工作会议要求，坚持稳中求进工作总基调，完整、准确、全面贯彻新发展理念，加快构建新发展格局，着力推动高质量发展。坚持积极的财政政策加力提效，加强财政资源统筹，保持适度支出强度；聚焦实施全面振兴新突破三年行动，加强重大战略任务财力保障；坚持党政机关过紧日子，坚持量入为出，大力优化支出结构，提高财政资源配置效率；兜牢基层“三保”底线，防范化解地方政府债务风险，加强财政承受能力评估，促进财政健康平稳可持续运行，为辽宁实现全面振兴新突破、</w:t>
      </w:r>
      <w:r>
        <w:rPr>
          <w:rFonts w:hint="eastAsia" w:ascii="仿宋_GB2312" w:hAnsi="仿宋_GB2312" w:eastAsia="仿宋_GB2312" w:cs="仿宋_GB2312"/>
          <w:b w:val="0"/>
          <w:bCs w:val="0"/>
          <w:color w:val="auto"/>
          <w:spacing w:val="11"/>
          <w:position w:val="0"/>
          <w:sz w:val="32"/>
          <w:szCs w:val="32"/>
          <w:highlight w:val="none"/>
        </w:rPr>
        <w:t>盘锦建设辽宁全面振兴全方位振兴先行区上展现更大担当和作为</w:t>
      </w:r>
      <w:r>
        <w:rPr>
          <w:rFonts w:hint="eastAsia" w:ascii="仿宋_GB2312" w:hAnsi="仿宋" w:eastAsia="仿宋_GB2312" w:cs="仿宋"/>
          <w:sz w:val="32"/>
          <w:szCs w:val="32"/>
          <w:highlight w:val="none"/>
          <w:lang w:val="en-US" w:eastAsia="zh-CN"/>
        </w:rPr>
        <w:t>提供有力保障。</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（一）全区202</w:t>
      </w: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rPr>
        <w:t>年预算草案</w:t>
      </w:r>
    </w:p>
    <w:p>
      <w:pPr>
        <w:pStyle w:val="3"/>
        <w:snapToGrid w:val="0"/>
        <w:spacing w:line="339" w:lineRule="auto"/>
        <w:ind w:firstLine="643" w:firstLineChars="200"/>
        <w:rPr>
          <w:rFonts w:ascii="仿宋_GB2312"/>
          <w:b/>
          <w:bCs/>
          <w:szCs w:val="32"/>
          <w:highlight w:val="none"/>
        </w:rPr>
      </w:pPr>
      <w:r>
        <w:rPr>
          <w:rFonts w:hint="eastAsia" w:ascii="仿宋_GB2312"/>
          <w:b/>
          <w:bCs/>
          <w:szCs w:val="32"/>
          <w:highlight w:val="none"/>
        </w:rPr>
        <w:t>1.一般公共预算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全区一般公共预算收入</w:t>
      </w:r>
      <w:r>
        <w:rPr>
          <w:rFonts w:hint="eastAsia" w:ascii="仿宋_GB2312" w:hAnsi="仿宋_GB2312" w:eastAsia="仿宋_GB2312" w:cs="仿宋_GB2312"/>
          <w:sz w:val="32"/>
          <w:szCs w:val="32"/>
          <w:highlight w:val="none"/>
          <w:lang w:val="en-US" w:eastAsia="zh-CN"/>
        </w:rPr>
        <w:t>53400</w:t>
      </w:r>
      <w:r>
        <w:rPr>
          <w:rFonts w:hint="eastAsia" w:ascii="仿宋_GB2312" w:hAnsi="仿宋_GB2312" w:eastAsia="仿宋_GB2312" w:cs="仿宋_GB2312"/>
          <w:sz w:val="32"/>
          <w:szCs w:val="32"/>
          <w:highlight w:val="none"/>
        </w:rPr>
        <w:t>万元，同比增长</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rPr>
        <w:t>税收收入4</w:t>
      </w:r>
      <w:r>
        <w:rPr>
          <w:rFonts w:hint="eastAsia" w:ascii="仿宋_GB2312" w:hAnsi="仿宋_GB2312" w:eastAsia="仿宋_GB2312" w:cs="仿宋_GB2312"/>
          <w:sz w:val="32"/>
          <w:szCs w:val="32"/>
          <w:highlight w:val="none"/>
          <w:lang w:val="en-US" w:eastAsia="zh-CN"/>
        </w:rPr>
        <w:t>890</w:t>
      </w:r>
      <w:r>
        <w:rPr>
          <w:rFonts w:hint="eastAsia" w:ascii="仿宋_GB2312" w:hAnsi="仿宋_GB2312" w:eastAsia="仿宋_GB2312" w:cs="仿宋_GB2312"/>
          <w:sz w:val="32"/>
          <w:szCs w:val="32"/>
          <w:highlight w:val="none"/>
        </w:rPr>
        <w:t>0万元，同比增长</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%，占比9</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%；非税收入</w:t>
      </w:r>
      <w:r>
        <w:rPr>
          <w:rFonts w:hint="eastAsia" w:ascii="仿宋_GB2312" w:hAnsi="仿宋_GB2312" w:eastAsia="仿宋_GB2312" w:cs="仿宋_GB2312"/>
          <w:sz w:val="32"/>
          <w:szCs w:val="32"/>
          <w:highlight w:val="none"/>
          <w:lang w:val="en-US" w:eastAsia="zh-CN"/>
        </w:rPr>
        <w:t>450</w:t>
      </w:r>
      <w:r>
        <w:rPr>
          <w:rFonts w:hint="eastAsia" w:ascii="仿宋_GB2312" w:hAnsi="仿宋_GB2312" w:eastAsia="仿宋_GB2312" w:cs="仿宋_GB2312"/>
          <w:sz w:val="32"/>
          <w:szCs w:val="32"/>
          <w:highlight w:val="none"/>
        </w:rPr>
        <w:t>0万元，</w:t>
      </w:r>
      <w:r>
        <w:rPr>
          <w:rFonts w:hint="eastAsia" w:ascii="仿宋_GB2312" w:hAnsi="仿宋_GB2312" w:eastAsia="仿宋_GB2312" w:cs="仿宋_GB2312"/>
          <w:sz w:val="32"/>
          <w:szCs w:val="32"/>
          <w:highlight w:val="none"/>
          <w:lang w:val="en-US" w:eastAsia="zh-CN"/>
        </w:rPr>
        <w:t>同比下降11.9%，</w:t>
      </w:r>
      <w:r>
        <w:rPr>
          <w:rFonts w:hint="eastAsia" w:ascii="仿宋_GB2312" w:hAnsi="仿宋_GB2312" w:eastAsia="仿宋_GB2312" w:cs="仿宋_GB2312"/>
          <w:sz w:val="32"/>
          <w:szCs w:val="32"/>
          <w:highlight w:val="none"/>
        </w:rPr>
        <w:t>占比</w:t>
      </w:r>
      <w:r>
        <w:rPr>
          <w:rFonts w:hint="eastAsia" w:ascii="仿宋_GB2312" w:hAnsi="仿宋_GB2312" w:eastAsia="仿宋_GB2312" w:cs="仿宋_GB2312"/>
          <w:sz w:val="32"/>
          <w:szCs w:val="32"/>
          <w:highlight w:val="none"/>
          <w:lang w:val="en-US" w:eastAsia="zh-CN"/>
        </w:rPr>
        <w:t>8.4</w:t>
      </w:r>
      <w:r>
        <w:rPr>
          <w:rFonts w:hint="eastAsia" w:ascii="仿宋_GB2312" w:hAnsi="仿宋_GB2312" w:eastAsia="仿宋_GB2312" w:cs="仿宋_GB2312"/>
          <w:sz w:val="32"/>
          <w:szCs w:val="32"/>
          <w:highlight w:val="none"/>
        </w:rPr>
        <w:t>%。</w:t>
      </w:r>
    </w:p>
    <w:p>
      <w:pPr>
        <w:snapToGrid w:val="0"/>
        <w:spacing w:line="339"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全区一般公共预算支出</w:t>
      </w:r>
      <w:r>
        <w:rPr>
          <w:rFonts w:hint="eastAsia" w:ascii="仿宋_GB2312" w:hAnsi="仿宋_GB2312" w:eastAsia="仿宋_GB2312" w:cs="仿宋_GB2312"/>
          <w:color w:val="auto"/>
          <w:sz w:val="32"/>
          <w:szCs w:val="32"/>
          <w:highlight w:val="none"/>
          <w:lang w:val="en-US" w:eastAsia="zh-CN"/>
        </w:rPr>
        <w:t>148779</w:t>
      </w:r>
      <w:r>
        <w:rPr>
          <w:rFonts w:hint="eastAsia" w:ascii="仿宋_GB2312" w:hAnsi="仿宋_GB2312" w:eastAsia="仿宋_GB2312" w:cs="仿宋_GB2312"/>
          <w:color w:val="auto"/>
          <w:sz w:val="32"/>
          <w:szCs w:val="32"/>
          <w:highlight w:val="none"/>
        </w:rPr>
        <w:t>万元，比上年预算</w:t>
      </w:r>
      <w:r>
        <w:rPr>
          <w:rFonts w:hint="eastAsia" w:ascii="仿宋_GB2312" w:hAnsi="仿宋_GB2312" w:eastAsia="仿宋_GB2312" w:cs="仿宋_GB2312"/>
          <w:color w:val="auto"/>
          <w:sz w:val="32"/>
          <w:szCs w:val="32"/>
          <w:highlight w:val="none"/>
          <w:lang w:val="en-US" w:eastAsia="zh-CN"/>
        </w:rPr>
        <w:t>下降6.8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snapToGrid w:val="0"/>
        <w:spacing w:line="339"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全区财政收支预算平衡情况是：收入</w:t>
      </w:r>
      <w:r>
        <w:rPr>
          <w:rFonts w:hint="eastAsia" w:ascii="仿宋_GB2312" w:hAnsi="仿宋_GB2312" w:eastAsia="仿宋_GB2312" w:cs="仿宋_GB2312"/>
          <w:color w:val="auto"/>
          <w:sz w:val="32"/>
          <w:szCs w:val="32"/>
          <w:highlight w:val="none"/>
          <w:lang w:eastAsia="zh-CN"/>
        </w:rPr>
        <w:t>总计</w:t>
      </w:r>
      <w:r>
        <w:rPr>
          <w:rFonts w:hint="eastAsia" w:ascii="仿宋_GB2312" w:hAnsi="仿宋_GB2312" w:eastAsia="仿宋_GB2312" w:cs="仿宋_GB2312"/>
          <w:color w:val="auto"/>
          <w:sz w:val="32"/>
          <w:szCs w:val="32"/>
          <w:highlight w:val="none"/>
          <w:lang w:val="en-US" w:eastAsia="zh-CN"/>
        </w:rPr>
        <w:t>206395</w:t>
      </w:r>
      <w:r>
        <w:rPr>
          <w:rFonts w:hint="eastAsia" w:ascii="仿宋_GB2312" w:hAnsi="仿宋_GB2312" w:eastAsia="仿宋_GB2312" w:cs="仿宋_GB2312"/>
          <w:color w:val="auto"/>
          <w:sz w:val="32"/>
          <w:szCs w:val="32"/>
          <w:highlight w:val="none"/>
        </w:rPr>
        <w:t>万元，其中，一般公共预算收入</w:t>
      </w:r>
      <w:r>
        <w:rPr>
          <w:rFonts w:hint="eastAsia" w:ascii="仿宋_GB2312" w:hAnsi="仿宋_GB2312" w:eastAsia="仿宋_GB2312" w:cs="仿宋_GB2312"/>
          <w:color w:val="auto"/>
          <w:sz w:val="32"/>
          <w:szCs w:val="32"/>
          <w:highlight w:val="none"/>
          <w:lang w:val="en-US" w:eastAsia="zh-CN"/>
        </w:rPr>
        <w:t>53400</w:t>
      </w:r>
      <w:r>
        <w:rPr>
          <w:rFonts w:hint="eastAsia" w:ascii="仿宋_GB2312" w:hAnsi="仿宋_GB2312" w:eastAsia="仿宋_GB2312" w:cs="仿宋_GB2312"/>
          <w:color w:val="auto"/>
          <w:sz w:val="32"/>
          <w:szCs w:val="32"/>
          <w:highlight w:val="none"/>
        </w:rPr>
        <w:t>万元，上级补助收入</w:t>
      </w:r>
      <w:r>
        <w:rPr>
          <w:rFonts w:hint="eastAsia" w:ascii="仿宋_GB2312" w:hAnsi="仿宋_GB2312" w:eastAsia="仿宋_GB2312" w:cs="仿宋_GB2312"/>
          <w:color w:val="auto"/>
          <w:sz w:val="32"/>
          <w:szCs w:val="32"/>
          <w:highlight w:val="none"/>
          <w:lang w:val="en-US" w:eastAsia="zh-CN"/>
        </w:rPr>
        <w:t>39632</w:t>
      </w:r>
      <w:r>
        <w:rPr>
          <w:rFonts w:hint="eastAsia" w:ascii="仿宋_GB2312" w:hAnsi="仿宋_GB2312" w:eastAsia="仿宋_GB2312" w:cs="仿宋_GB2312"/>
          <w:color w:val="auto"/>
          <w:sz w:val="32"/>
          <w:szCs w:val="32"/>
          <w:highlight w:val="none"/>
        </w:rPr>
        <w:t>万元，调入资金</w:t>
      </w:r>
      <w:r>
        <w:rPr>
          <w:rFonts w:hint="eastAsia" w:ascii="仿宋_GB2312" w:hAnsi="仿宋_GB2312" w:eastAsia="仿宋_GB2312" w:cs="仿宋_GB2312"/>
          <w:color w:val="auto"/>
          <w:sz w:val="32"/>
          <w:szCs w:val="32"/>
          <w:highlight w:val="none"/>
          <w:lang w:val="en-US" w:eastAsia="zh-CN"/>
        </w:rPr>
        <w:t>64309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上年结余6000万元，</w:t>
      </w:r>
      <w:r>
        <w:rPr>
          <w:rFonts w:hint="eastAsia" w:ascii="仿宋_GB2312" w:hAnsi="仿宋_GB2312" w:eastAsia="仿宋_GB2312" w:cs="仿宋_GB2312"/>
          <w:color w:val="auto"/>
          <w:sz w:val="32"/>
          <w:szCs w:val="32"/>
          <w:highlight w:val="none"/>
        </w:rPr>
        <w:t>债务转贷收入</w:t>
      </w:r>
      <w:r>
        <w:rPr>
          <w:rFonts w:hint="eastAsia" w:ascii="仿宋_GB2312" w:hAnsi="仿宋_GB2312" w:eastAsia="仿宋_GB2312" w:cs="仿宋_GB2312"/>
          <w:color w:val="auto"/>
          <w:sz w:val="32"/>
          <w:szCs w:val="32"/>
          <w:highlight w:val="none"/>
          <w:lang w:val="en-US" w:eastAsia="zh-CN"/>
        </w:rPr>
        <w:t>34615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，动用预算稳定调节基金</w:t>
      </w:r>
      <w:r>
        <w:rPr>
          <w:rFonts w:hint="eastAsia" w:ascii="仿宋_GB2312" w:hAnsi="仿宋_GB2312" w:eastAsia="仿宋_GB2312" w:cs="仿宋_GB2312"/>
          <w:color w:val="auto"/>
          <w:sz w:val="32"/>
          <w:szCs w:val="32"/>
          <w:highlight w:val="none"/>
          <w:lang w:val="en-US" w:eastAsia="zh-CN"/>
        </w:rPr>
        <w:t>8439万元</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eastAsia="zh-CN"/>
        </w:rPr>
        <w:t>总计</w:t>
      </w:r>
      <w:r>
        <w:rPr>
          <w:rFonts w:hint="eastAsia" w:ascii="仿宋_GB2312" w:hAnsi="仿宋_GB2312" w:eastAsia="仿宋_GB2312" w:cs="仿宋_GB2312"/>
          <w:color w:val="auto"/>
          <w:sz w:val="32"/>
          <w:szCs w:val="32"/>
          <w:highlight w:val="none"/>
          <w:lang w:val="en-US" w:eastAsia="zh-CN"/>
        </w:rPr>
        <w:t>206395</w:t>
      </w:r>
      <w:r>
        <w:rPr>
          <w:rFonts w:hint="eastAsia" w:ascii="仿宋_GB2312" w:hAnsi="仿宋_GB2312" w:eastAsia="仿宋_GB2312" w:cs="仿宋_GB2312"/>
          <w:color w:val="auto"/>
          <w:sz w:val="32"/>
          <w:szCs w:val="32"/>
          <w:highlight w:val="none"/>
        </w:rPr>
        <w:t>万元，其中，一般公共预算支出</w:t>
      </w:r>
      <w:r>
        <w:rPr>
          <w:rFonts w:hint="eastAsia" w:ascii="仿宋_GB2312" w:hAnsi="仿宋_GB2312" w:eastAsia="仿宋_GB2312" w:cs="仿宋_GB2312"/>
          <w:color w:val="auto"/>
          <w:sz w:val="32"/>
          <w:szCs w:val="32"/>
          <w:highlight w:val="none"/>
          <w:lang w:val="en-US" w:eastAsia="zh-CN"/>
        </w:rPr>
        <w:t>148779</w:t>
      </w:r>
      <w:r>
        <w:rPr>
          <w:rFonts w:hint="eastAsia" w:ascii="仿宋_GB2312" w:hAnsi="仿宋_GB2312" w:eastAsia="仿宋_GB2312" w:cs="仿宋_GB2312"/>
          <w:color w:val="auto"/>
          <w:sz w:val="32"/>
          <w:szCs w:val="32"/>
          <w:highlight w:val="none"/>
        </w:rPr>
        <w:t>万元，上解上级支出</w:t>
      </w:r>
      <w:r>
        <w:rPr>
          <w:rFonts w:hint="eastAsia" w:ascii="仿宋_GB2312" w:hAnsi="仿宋_GB2312" w:eastAsia="仿宋_GB2312" w:cs="仿宋_GB2312"/>
          <w:color w:val="auto"/>
          <w:sz w:val="32"/>
          <w:szCs w:val="32"/>
          <w:highlight w:val="none"/>
          <w:lang w:val="en-US" w:eastAsia="zh-CN"/>
        </w:rPr>
        <w:t>23001</w:t>
      </w:r>
      <w:r>
        <w:rPr>
          <w:rFonts w:hint="eastAsia" w:ascii="仿宋_GB2312" w:hAnsi="仿宋_GB2312" w:eastAsia="仿宋_GB2312" w:cs="仿宋_GB2312"/>
          <w:color w:val="auto"/>
          <w:sz w:val="32"/>
          <w:szCs w:val="32"/>
          <w:highlight w:val="none"/>
        </w:rPr>
        <w:t>万元，债务还本支出</w:t>
      </w:r>
      <w:r>
        <w:rPr>
          <w:rFonts w:hint="eastAsia" w:ascii="仿宋_GB2312" w:hAnsi="仿宋_GB2312" w:eastAsia="仿宋_GB2312" w:cs="仿宋_GB2312"/>
          <w:color w:val="auto"/>
          <w:sz w:val="32"/>
          <w:szCs w:val="32"/>
          <w:highlight w:val="none"/>
          <w:lang w:val="en-US" w:eastAsia="zh-CN"/>
        </w:rPr>
        <w:t>34615</w:t>
      </w:r>
      <w:r>
        <w:rPr>
          <w:rFonts w:hint="eastAsia" w:ascii="仿宋_GB2312" w:hAnsi="仿宋_GB2312" w:eastAsia="仿宋_GB2312" w:cs="仿宋_GB2312"/>
          <w:color w:val="auto"/>
          <w:sz w:val="32"/>
          <w:szCs w:val="32"/>
          <w:highlight w:val="none"/>
        </w:rPr>
        <w:t>万元，为收支平衡预算。</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2.政府性基金预算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全区政府性基金预算收入</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0000万元，债务转贷收入</w:t>
      </w:r>
      <w:r>
        <w:rPr>
          <w:rFonts w:hint="eastAsia" w:ascii="仿宋_GB2312" w:hAnsi="仿宋_GB2312" w:eastAsia="仿宋_GB2312" w:cs="仿宋_GB2312"/>
          <w:sz w:val="32"/>
          <w:szCs w:val="32"/>
          <w:highlight w:val="none"/>
          <w:lang w:val="en-US" w:eastAsia="zh-CN"/>
        </w:rPr>
        <w:t>12200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上年结余12275万元，</w:t>
      </w:r>
      <w:r>
        <w:rPr>
          <w:rFonts w:hint="eastAsia" w:ascii="仿宋_GB2312" w:hAnsi="仿宋_GB2312" w:eastAsia="仿宋_GB2312" w:cs="仿宋_GB2312"/>
          <w:sz w:val="32"/>
          <w:szCs w:val="32"/>
          <w:highlight w:val="none"/>
        </w:rPr>
        <w:t>收入</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44475</w:t>
      </w:r>
      <w:r>
        <w:rPr>
          <w:rFonts w:hint="eastAsia" w:ascii="仿宋_GB2312" w:hAnsi="仿宋_GB2312" w:eastAsia="仿宋_GB2312" w:cs="仿宋_GB2312"/>
          <w:sz w:val="32"/>
          <w:szCs w:val="32"/>
          <w:highlight w:val="none"/>
        </w:rPr>
        <w:t>万元。</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全区政府性基金预算支出</w:t>
      </w:r>
      <w:r>
        <w:rPr>
          <w:rFonts w:hint="eastAsia" w:ascii="仿宋_GB2312" w:hAnsi="仿宋_GB2312" w:eastAsia="仿宋_GB2312" w:cs="仿宋_GB2312"/>
          <w:sz w:val="32"/>
          <w:szCs w:val="32"/>
          <w:highlight w:val="none"/>
          <w:lang w:val="en-US" w:eastAsia="zh-CN"/>
        </w:rPr>
        <w:t>23938</w:t>
      </w:r>
      <w:r>
        <w:rPr>
          <w:rFonts w:hint="eastAsia" w:ascii="仿宋_GB2312" w:hAnsi="仿宋_GB2312" w:eastAsia="仿宋_GB2312" w:cs="仿宋_GB2312"/>
          <w:sz w:val="32"/>
          <w:szCs w:val="32"/>
          <w:highlight w:val="none"/>
        </w:rPr>
        <w:t>万元，上解上级支出</w:t>
      </w:r>
      <w:r>
        <w:rPr>
          <w:rFonts w:hint="eastAsia" w:ascii="仿宋_GB2312" w:hAnsi="仿宋_GB2312" w:eastAsia="仿宋_GB2312" w:cs="仿宋_GB2312"/>
          <w:sz w:val="32"/>
          <w:szCs w:val="32"/>
          <w:highlight w:val="none"/>
          <w:lang w:val="en-US" w:eastAsia="zh-CN"/>
        </w:rPr>
        <w:t>320</w:t>
      </w:r>
      <w:r>
        <w:rPr>
          <w:rFonts w:hint="eastAsia" w:ascii="仿宋_GB2312" w:hAnsi="仿宋_GB2312" w:eastAsia="仿宋_GB2312" w:cs="仿宋_GB2312"/>
          <w:sz w:val="32"/>
          <w:szCs w:val="32"/>
          <w:highlight w:val="none"/>
        </w:rPr>
        <w:t>万元，调出资金</w:t>
      </w:r>
      <w:r>
        <w:rPr>
          <w:rFonts w:hint="eastAsia" w:ascii="仿宋_GB2312" w:hAnsi="仿宋_GB2312" w:eastAsia="仿宋_GB2312" w:cs="仿宋_GB2312"/>
          <w:sz w:val="32"/>
          <w:szCs w:val="32"/>
          <w:highlight w:val="none"/>
          <w:lang w:val="en-US" w:eastAsia="zh-CN"/>
        </w:rPr>
        <w:t>3335</w:t>
      </w:r>
      <w:r>
        <w:rPr>
          <w:rFonts w:hint="eastAsia" w:ascii="仿宋_GB2312" w:hAnsi="仿宋_GB2312" w:eastAsia="仿宋_GB2312" w:cs="仿宋_GB2312"/>
          <w:sz w:val="32"/>
          <w:szCs w:val="32"/>
          <w:highlight w:val="none"/>
        </w:rPr>
        <w:t>万元，债务还本支出</w:t>
      </w:r>
      <w:r>
        <w:rPr>
          <w:rFonts w:hint="eastAsia" w:ascii="仿宋_GB2312" w:hAnsi="仿宋_GB2312" w:eastAsia="仿宋_GB2312" w:cs="仿宋_GB2312"/>
          <w:sz w:val="32"/>
          <w:szCs w:val="32"/>
          <w:highlight w:val="none"/>
          <w:lang w:val="en-US" w:eastAsia="zh-CN"/>
        </w:rPr>
        <w:t>16882</w:t>
      </w:r>
      <w:r>
        <w:rPr>
          <w:rFonts w:hint="eastAsia" w:ascii="仿宋_GB2312" w:hAnsi="仿宋_GB2312" w:eastAsia="仿宋_GB2312" w:cs="仿宋_GB2312"/>
          <w:sz w:val="32"/>
          <w:szCs w:val="32"/>
          <w:highlight w:val="none"/>
        </w:rPr>
        <w:t>万元，支出</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44475</w:t>
      </w:r>
      <w:r>
        <w:rPr>
          <w:rFonts w:hint="eastAsia" w:ascii="仿宋_GB2312" w:hAnsi="仿宋_GB2312" w:eastAsia="仿宋_GB2312" w:cs="仿宋_GB2312"/>
          <w:sz w:val="32"/>
          <w:szCs w:val="32"/>
          <w:highlight w:val="none"/>
        </w:rPr>
        <w:t>万元。</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3.国有资本经营预算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全区国有资本经营预算收入</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上年结余705万元，</w:t>
      </w:r>
      <w:r>
        <w:rPr>
          <w:rFonts w:hint="eastAsia" w:ascii="仿宋_GB2312" w:hAnsi="仿宋_GB2312" w:eastAsia="仿宋_GB2312" w:cs="仿宋_GB2312"/>
          <w:sz w:val="32"/>
          <w:szCs w:val="32"/>
          <w:highlight w:val="none"/>
        </w:rPr>
        <w:t>收入</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905</w:t>
      </w:r>
      <w:r>
        <w:rPr>
          <w:rFonts w:hint="eastAsia" w:ascii="仿宋_GB2312" w:hAnsi="仿宋_GB2312" w:eastAsia="仿宋_GB2312" w:cs="仿宋_GB2312"/>
          <w:sz w:val="32"/>
          <w:szCs w:val="32"/>
          <w:highlight w:val="none"/>
        </w:rPr>
        <w:t>万元。</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全区国有资本经营预算支出</w:t>
      </w:r>
      <w:r>
        <w:rPr>
          <w:rFonts w:hint="eastAsia" w:ascii="仿宋_GB2312" w:hAnsi="仿宋_GB2312" w:eastAsia="仿宋_GB2312" w:cs="仿宋_GB2312"/>
          <w:sz w:val="32"/>
          <w:szCs w:val="32"/>
          <w:highlight w:val="none"/>
          <w:lang w:val="en-US" w:eastAsia="zh-CN"/>
        </w:rPr>
        <w:t>805</w:t>
      </w:r>
      <w:r>
        <w:rPr>
          <w:rFonts w:hint="eastAsia" w:ascii="仿宋_GB2312" w:hAnsi="仿宋_GB2312" w:eastAsia="仿宋_GB2312" w:cs="仿宋_GB2312"/>
          <w:sz w:val="32"/>
          <w:szCs w:val="32"/>
          <w:highlight w:val="none"/>
        </w:rPr>
        <w:t>万元，上解上级支出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905</w:t>
      </w:r>
      <w:r>
        <w:rPr>
          <w:rFonts w:hint="eastAsia" w:ascii="仿宋_GB2312" w:hAnsi="仿宋_GB2312" w:eastAsia="仿宋_GB2312" w:cs="仿宋_GB2312"/>
          <w:sz w:val="32"/>
          <w:szCs w:val="32"/>
          <w:highlight w:val="none"/>
        </w:rPr>
        <w:t>万元。</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eastAsia="仿宋_GB2312"/>
          <w:b/>
          <w:bCs/>
          <w:sz w:val="32"/>
          <w:szCs w:val="32"/>
          <w:highlight w:val="none"/>
        </w:rPr>
        <w:t>4.社会保险基金预算</w:t>
      </w:r>
    </w:p>
    <w:p>
      <w:pPr>
        <w:snapToGrid w:val="0"/>
        <w:spacing w:line="339"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全区社会保险基金预算收入</w:t>
      </w:r>
      <w:r>
        <w:rPr>
          <w:rFonts w:hint="eastAsia" w:ascii="仿宋_GB2312" w:hAnsi="仿宋_GB2312" w:eastAsia="仿宋_GB2312" w:cs="仿宋_GB2312"/>
          <w:sz w:val="32"/>
          <w:szCs w:val="32"/>
          <w:highlight w:val="none"/>
          <w:lang w:val="en-US" w:eastAsia="zh-CN"/>
        </w:rPr>
        <w:t>19253</w:t>
      </w:r>
      <w:r>
        <w:rPr>
          <w:rFonts w:hint="eastAsia" w:ascii="仿宋_GB2312" w:hAnsi="仿宋_GB2312" w:eastAsia="仿宋_GB2312" w:cs="仿宋_GB2312"/>
          <w:sz w:val="32"/>
          <w:szCs w:val="32"/>
          <w:highlight w:val="none"/>
        </w:rPr>
        <w:t>万元，其中：社会保险费收入</w:t>
      </w:r>
      <w:r>
        <w:rPr>
          <w:rFonts w:hint="eastAsia" w:ascii="仿宋_GB2312" w:hAnsi="仿宋_GB2312" w:eastAsia="仿宋_GB2312" w:cs="仿宋_GB2312"/>
          <w:sz w:val="32"/>
          <w:szCs w:val="32"/>
          <w:highlight w:val="none"/>
          <w:lang w:val="en-US" w:eastAsia="zh-CN"/>
        </w:rPr>
        <w:t>6927</w:t>
      </w:r>
      <w:r>
        <w:rPr>
          <w:rFonts w:hint="eastAsia" w:ascii="仿宋_GB2312" w:hAnsi="仿宋_GB2312" w:eastAsia="仿宋_GB2312" w:cs="仿宋_GB2312"/>
          <w:sz w:val="32"/>
          <w:szCs w:val="32"/>
          <w:highlight w:val="none"/>
        </w:rPr>
        <w:t>万元，财政补贴收入</w:t>
      </w:r>
      <w:r>
        <w:rPr>
          <w:rFonts w:hint="eastAsia" w:ascii="仿宋_GB2312" w:hAnsi="仿宋_GB2312" w:eastAsia="仿宋_GB2312" w:cs="仿宋_GB2312"/>
          <w:sz w:val="32"/>
          <w:szCs w:val="32"/>
          <w:highlight w:val="none"/>
          <w:lang w:val="en-US" w:eastAsia="zh-CN"/>
        </w:rPr>
        <w:t>12044</w:t>
      </w:r>
      <w:r>
        <w:rPr>
          <w:rFonts w:hint="eastAsia" w:ascii="仿宋_GB2312" w:hAnsi="仿宋_GB2312" w:eastAsia="仿宋_GB2312" w:cs="仿宋_GB2312"/>
          <w:sz w:val="32"/>
          <w:szCs w:val="32"/>
          <w:highlight w:val="none"/>
        </w:rPr>
        <w:t>万元，利息收入</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万元，转移收入</w:t>
      </w:r>
      <w:r>
        <w:rPr>
          <w:rFonts w:hint="eastAsia" w:ascii="仿宋_GB2312" w:hAnsi="仿宋_GB2312" w:eastAsia="仿宋_GB2312" w:cs="仿宋_GB2312"/>
          <w:sz w:val="32"/>
          <w:szCs w:val="32"/>
          <w:highlight w:val="none"/>
          <w:lang w:val="en-US" w:eastAsia="zh-CN"/>
        </w:rPr>
        <w:t>251</w:t>
      </w:r>
      <w:r>
        <w:rPr>
          <w:rFonts w:hint="eastAsia" w:ascii="仿宋_GB2312" w:hAnsi="仿宋_GB2312" w:eastAsia="仿宋_GB2312" w:cs="仿宋_GB2312"/>
          <w:sz w:val="32"/>
          <w:szCs w:val="32"/>
          <w:highlight w:val="none"/>
        </w:rPr>
        <w:t>万元。</w:t>
      </w:r>
    </w:p>
    <w:p>
      <w:pPr>
        <w:snapToGrid w:val="0"/>
        <w:spacing w:line="339" w:lineRule="auto"/>
        <w:ind w:firstLine="640"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全区</w:t>
      </w:r>
      <w:r>
        <w:rPr>
          <w:rFonts w:hint="eastAsia" w:ascii="仿宋_GB2312" w:hAnsi="仿宋" w:eastAsia="仿宋_GB2312" w:cs="仿宋"/>
          <w:sz w:val="32"/>
          <w:szCs w:val="32"/>
          <w:highlight w:val="none"/>
        </w:rPr>
        <w:t>社会保险基金支出</w:t>
      </w:r>
      <w:r>
        <w:rPr>
          <w:rFonts w:hint="eastAsia" w:ascii="仿宋_GB2312" w:hAnsi="仿宋" w:eastAsia="仿宋_GB2312" w:cs="仿宋"/>
          <w:sz w:val="32"/>
          <w:szCs w:val="32"/>
          <w:highlight w:val="none"/>
          <w:lang w:val="en-US" w:eastAsia="zh-CN"/>
        </w:rPr>
        <w:t>19649</w:t>
      </w:r>
      <w:r>
        <w:rPr>
          <w:rFonts w:hint="eastAsia" w:ascii="仿宋_GB2312" w:hAnsi="仿宋" w:eastAsia="仿宋_GB2312" w:cs="仿宋"/>
          <w:sz w:val="32"/>
          <w:szCs w:val="32"/>
          <w:highlight w:val="none"/>
        </w:rPr>
        <w:t>万元，其中：社会保险待遇支出</w:t>
      </w:r>
      <w:r>
        <w:rPr>
          <w:rFonts w:hint="eastAsia" w:ascii="仿宋_GB2312" w:hAnsi="仿宋" w:eastAsia="仿宋_GB2312" w:cs="仿宋"/>
          <w:sz w:val="32"/>
          <w:szCs w:val="32"/>
          <w:highlight w:val="none"/>
          <w:lang w:val="en-US" w:eastAsia="zh-CN"/>
        </w:rPr>
        <w:t>19103</w:t>
      </w:r>
      <w:r>
        <w:rPr>
          <w:rFonts w:hint="eastAsia" w:ascii="仿宋_GB2312" w:hAnsi="仿宋" w:eastAsia="仿宋_GB2312" w:cs="仿宋"/>
          <w:sz w:val="32"/>
          <w:szCs w:val="32"/>
          <w:highlight w:val="none"/>
        </w:rPr>
        <w:t>万元，转移支出</w:t>
      </w:r>
      <w:r>
        <w:rPr>
          <w:rFonts w:hint="eastAsia" w:ascii="仿宋_GB2312" w:hAnsi="仿宋" w:eastAsia="仿宋_GB2312" w:cs="仿宋"/>
          <w:sz w:val="32"/>
          <w:szCs w:val="32"/>
          <w:highlight w:val="none"/>
          <w:lang w:val="en-US" w:eastAsia="zh-CN"/>
        </w:rPr>
        <w:t>500</w:t>
      </w:r>
      <w:r>
        <w:rPr>
          <w:rFonts w:hint="eastAsia" w:ascii="仿宋_GB2312" w:hAnsi="仿宋" w:eastAsia="仿宋_GB2312" w:cs="仿宋"/>
          <w:sz w:val="32"/>
          <w:szCs w:val="32"/>
          <w:highlight w:val="none"/>
        </w:rPr>
        <w:t>万元</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其他支出46万元</w:t>
      </w:r>
      <w:r>
        <w:rPr>
          <w:rFonts w:hint="eastAsia" w:ascii="仿宋_GB2312" w:hAnsi="仿宋" w:eastAsia="仿宋_GB2312" w:cs="仿宋"/>
          <w:sz w:val="32"/>
          <w:szCs w:val="32"/>
          <w:highlight w:val="none"/>
        </w:rPr>
        <w:t>。当年收支结余</w:t>
      </w:r>
      <w:r>
        <w:rPr>
          <w:rFonts w:hint="eastAsia" w:ascii="仿宋_GB2312" w:hAnsi="仿宋" w:eastAsia="仿宋_GB2312" w:cs="仿宋"/>
          <w:sz w:val="32"/>
          <w:szCs w:val="32"/>
          <w:highlight w:val="none"/>
          <w:lang w:val="en-US" w:eastAsia="zh-CN"/>
        </w:rPr>
        <w:t>-396</w:t>
      </w:r>
      <w:r>
        <w:rPr>
          <w:rFonts w:hint="eastAsia" w:ascii="仿宋_GB2312" w:hAnsi="仿宋" w:eastAsia="仿宋_GB2312" w:cs="仿宋"/>
          <w:sz w:val="32"/>
          <w:szCs w:val="32"/>
          <w:highlight w:val="none"/>
        </w:rPr>
        <w:t>万元，年末滚存结余</w:t>
      </w:r>
      <w:r>
        <w:rPr>
          <w:rFonts w:hint="eastAsia" w:ascii="仿宋_GB2312" w:hAnsi="仿宋" w:eastAsia="仿宋_GB2312" w:cs="仿宋"/>
          <w:sz w:val="32"/>
          <w:szCs w:val="32"/>
          <w:highlight w:val="none"/>
          <w:lang w:val="en-US" w:eastAsia="zh-CN"/>
        </w:rPr>
        <w:t>1572</w:t>
      </w:r>
      <w:r>
        <w:rPr>
          <w:rFonts w:hint="eastAsia" w:ascii="仿宋_GB2312" w:hAnsi="仿宋" w:eastAsia="仿宋_GB2312" w:cs="仿宋"/>
          <w:sz w:val="32"/>
          <w:szCs w:val="32"/>
          <w:highlight w:val="none"/>
        </w:rPr>
        <w:t>万元。</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（二）区本级202</w:t>
      </w: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rPr>
        <w:t>年预算草案</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1.一般公共预算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区本级一般公共预算收入</w:t>
      </w:r>
      <w:r>
        <w:rPr>
          <w:rFonts w:hint="eastAsia" w:ascii="仿宋_GB2312" w:hAnsi="仿宋_GB2312" w:eastAsia="仿宋_GB2312" w:cs="仿宋_GB2312"/>
          <w:sz w:val="32"/>
          <w:szCs w:val="32"/>
          <w:highlight w:val="none"/>
          <w:lang w:val="en-US" w:eastAsia="zh-CN"/>
        </w:rPr>
        <w:t>49286</w:t>
      </w:r>
      <w:r>
        <w:rPr>
          <w:rFonts w:hint="eastAsia" w:ascii="仿宋_GB2312" w:hAnsi="仿宋_GB2312" w:eastAsia="仿宋_GB2312" w:cs="仿宋_GB2312"/>
          <w:sz w:val="32"/>
          <w:szCs w:val="32"/>
          <w:highlight w:val="none"/>
        </w:rPr>
        <w:t>万元，同比增长</w:t>
      </w:r>
      <w:r>
        <w:rPr>
          <w:rFonts w:hint="eastAsia" w:ascii="仿宋_GB2312" w:hAnsi="仿宋_GB2312" w:eastAsia="仿宋_GB2312" w:cs="仿宋_GB2312"/>
          <w:sz w:val="32"/>
          <w:szCs w:val="32"/>
          <w:highlight w:val="none"/>
          <w:lang w:val="en-US" w:eastAsia="zh-CN"/>
        </w:rPr>
        <w:t>7.6</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rPr>
        <w:t>税收收入</w:t>
      </w:r>
      <w:r>
        <w:rPr>
          <w:rFonts w:hint="eastAsia" w:ascii="仿宋_GB2312" w:hAnsi="仿宋_GB2312" w:eastAsia="仿宋_GB2312" w:cs="仿宋_GB2312"/>
          <w:sz w:val="32"/>
          <w:szCs w:val="32"/>
          <w:highlight w:val="none"/>
          <w:lang w:val="en-US" w:eastAsia="zh-CN"/>
        </w:rPr>
        <w:t>44891</w:t>
      </w:r>
      <w:r>
        <w:rPr>
          <w:rFonts w:hint="eastAsia" w:ascii="仿宋_GB2312" w:hAnsi="仿宋_GB2312" w:eastAsia="仿宋_GB2312" w:cs="仿宋_GB2312"/>
          <w:sz w:val="32"/>
          <w:szCs w:val="32"/>
          <w:highlight w:val="none"/>
        </w:rPr>
        <w:t>万元，同比增长</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非税收入</w:t>
      </w:r>
      <w:r>
        <w:rPr>
          <w:rFonts w:hint="eastAsia" w:ascii="仿宋_GB2312" w:hAnsi="仿宋_GB2312" w:eastAsia="仿宋_GB2312" w:cs="仿宋_GB2312"/>
          <w:sz w:val="32"/>
          <w:szCs w:val="32"/>
          <w:highlight w:val="none"/>
          <w:lang w:val="en-US" w:eastAsia="zh-CN"/>
        </w:rPr>
        <w:t>4395</w:t>
      </w:r>
      <w:r>
        <w:rPr>
          <w:rFonts w:hint="eastAsia" w:ascii="仿宋_GB2312" w:hAnsi="仿宋_GB2312" w:eastAsia="仿宋_GB2312" w:cs="仿宋_GB2312"/>
          <w:sz w:val="32"/>
          <w:szCs w:val="32"/>
          <w:highlight w:val="none"/>
        </w:rPr>
        <w:t>万元，同比</w:t>
      </w:r>
      <w:r>
        <w:rPr>
          <w:rFonts w:hint="eastAsia" w:ascii="仿宋_GB2312" w:hAnsi="仿宋_GB2312" w:eastAsia="仿宋_GB2312" w:cs="仿宋_GB2312"/>
          <w:sz w:val="32"/>
          <w:szCs w:val="32"/>
          <w:highlight w:val="none"/>
          <w:lang w:val="en-US" w:eastAsia="zh-CN"/>
        </w:rPr>
        <w:t>下降12.1</w:t>
      </w:r>
      <w:r>
        <w:rPr>
          <w:rFonts w:hint="eastAsia" w:ascii="仿宋_GB2312" w:hAnsi="仿宋_GB2312" w:eastAsia="仿宋_GB2312" w:cs="仿宋_GB2312"/>
          <w:sz w:val="32"/>
          <w:szCs w:val="32"/>
          <w:highlight w:val="none"/>
        </w:rPr>
        <w:t>%。</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区本级一般公共预算支出</w:t>
      </w:r>
      <w:r>
        <w:rPr>
          <w:rFonts w:hint="eastAsia" w:ascii="仿宋_GB2312" w:hAnsi="仿宋_GB2312" w:eastAsia="仿宋_GB2312" w:cs="仿宋_GB2312"/>
          <w:sz w:val="32"/>
          <w:szCs w:val="32"/>
          <w:highlight w:val="none"/>
          <w:lang w:val="en-US" w:eastAsia="zh-CN"/>
        </w:rPr>
        <w:t>145088</w:t>
      </w:r>
      <w:r>
        <w:rPr>
          <w:rFonts w:hint="eastAsia" w:ascii="仿宋_GB2312" w:hAnsi="仿宋_GB2312" w:eastAsia="仿宋_GB2312" w:cs="仿宋_GB2312"/>
          <w:sz w:val="32"/>
          <w:szCs w:val="32"/>
          <w:highlight w:val="none"/>
        </w:rPr>
        <w:t>万元，比上年预算</w:t>
      </w:r>
      <w:r>
        <w:rPr>
          <w:rFonts w:hint="eastAsia" w:ascii="仿宋_GB2312" w:hAnsi="仿宋_GB2312" w:eastAsia="仿宋_GB2312" w:cs="仿宋_GB2312"/>
          <w:sz w:val="32"/>
          <w:szCs w:val="32"/>
          <w:highlight w:val="none"/>
          <w:lang w:val="en-US" w:eastAsia="zh-CN"/>
        </w:rPr>
        <w:t>下降6.8</w:t>
      </w:r>
      <w:r>
        <w:rPr>
          <w:rFonts w:hint="eastAsia" w:ascii="仿宋_GB2312" w:hAnsi="仿宋_GB2312" w:eastAsia="仿宋_GB2312" w:cs="仿宋_GB2312"/>
          <w:sz w:val="32"/>
          <w:szCs w:val="32"/>
          <w:highlight w:val="none"/>
        </w:rPr>
        <w:t>%。主要支出预算安排是：</w:t>
      </w:r>
      <w:r>
        <w:rPr>
          <w:rFonts w:hint="eastAsia" w:ascii="仿宋" w:hAnsi="仿宋" w:eastAsia="仿宋" w:cs="仿宋"/>
          <w:sz w:val="32"/>
          <w:szCs w:val="32"/>
          <w:highlight w:val="none"/>
        </w:rPr>
        <w:t>一般公共服务支出</w:t>
      </w:r>
      <w:r>
        <w:rPr>
          <w:rFonts w:hint="eastAsia" w:ascii="仿宋" w:hAnsi="仿宋" w:eastAsia="仿宋" w:cs="仿宋"/>
          <w:sz w:val="32"/>
          <w:szCs w:val="32"/>
          <w:highlight w:val="none"/>
          <w:lang w:val="en-US" w:eastAsia="zh-CN"/>
        </w:rPr>
        <w:t>15914万元，</w:t>
      </w:r>
      <w:r>
        <w:rPr>
          <w:rFonts w:hint="eastAsia" w:ascii="仿宋_GB2312" w:hAnsi="仿宋_GB2312" w:eastAsia="仿宋_GB2312" w:cs="仿宋_GB2312"/>
          <w:sz w:val="32"/>
          <w:szCs w:val="32"/>
          <w:highlight w:val="none"/>
        </w:rPr>
        <w:t>教育支出</w:t>
      </w:r>
      <w:r>
        <w:rPr>
          <w:rFonts w:hint="eastAsia" w:ascii="仿宋_GB2312" w:hAnsi="仿宋_GB2312" w:eastAsia="仿宋_GB2312" w:cs="仿宋_GB2312"/>
          <w:sz w:val="32"/>
          <w:szCs w:val="32"/>
          <w:highlight w:val="none"/>
          <w:lang w:val="en-US" w:eastAsia="zh-CN"/>
        </w:rPr>
        <w:t>16246</w:t>
      </w:r>
      <w:r>
        <w:rPr>
          <w:rFonts w:hint="eastAsia" w:ascii="仿宋_GB2312" w:hAnsi="仿宋_GB2312" w:eastAsia="仿宋_GB2312" w:cs="仿宋_GB2312"/>
          <w:sz w:val="32"/>
          <w:szCs w:val="32"/>
          <w:highlight w:val="none"/>
        </w:rPr>
        <w:t>万元，社会保障和就业支出</w:t>
      </w:r>
      <w:r>
        <w:rPr>
          <w:rFonts w:hint="eastAsia" w:ascii="仿宋_GB2312" w:hAnsi="仿宋_GB2312" w:eastAsia="仿宋_GB2312" w:cs="仿宋_GB2312"/>
          <w:sz w:val="32"/>
          <w:szCs w:val="32"/>
          <w:highlight w:val="none"/>
          <w:lang w:val="en-US" w:eastAsia="zh-CN"/>
        </w:rPr>
        <w:t>30679</w:t>
      </w:r>
      <w:r>
        <w:rPr>
          <w:rFonts w:hint="eastAsia" w:ascii="仿宋_GB2312" w:hAnsi="仿宋_GB2312" w:eastAsia="仿宋_GB2312" w:cs="仿宋_GB2312"/>
          <w:sz w:val="32"/>
          <w:szCs w:val="32"/>
          <w:highlight w:val="none"/>
        </w:rPr>
        <w:t>万元，卫生健康支出</w:t>
      </w:r>
      <w:r>
        <w:rPr>
          <w:rFonts w:hint="eastAsia" w:ascii="仿宋_GB2312" w:hAnsi="仿宋_GB2312" w:eastAsia="仿宋_GB2312" w:cs="仿宋_GB2312"/>
          <w:sz w:val="32"/>
          <w:szCs w:val="32"/>
          <w:highlight w:val="none"/>
          <w:lang w:val="en-US" w:eastAsia="zh-CN"/>
        </w:rPr>
        <w:t>6781</w:t>
      </w:r>
      <w:r>
        <w:rPr>
          <w:rFonts w:hint="eastAsia" w:ascii="仿宋_GB2312" w:hAnsi="仿宋_GB2312" w:eastAsia="仿宋_GB2312" w:cs="仿宋_GB2312"/>
          <w:sz w:val="32"/>
          <w:szCs w:val="32"/>
          <w:highlight w:val="none"/>
        </w:rPr>
        <w:t>万元，城乡社区支出</w:t>
      </w:r>
      <w:r>
        <w:rPr>
          <w:rFonts w:hint="eastAsia" w:ascii="仿宋_GB2312" w:hAnsi="仿宋_GB2312" w:eastAsia="仿宋_GB2312" w:cs="仿宋_GB2312"/>
          <w:sz w:val="32"/>
          <w:szCs w:val="32"/>
          <w:highlight w:val="none"/>
          <w:lang w:val="en-US" w:eastAsia="zh-CN"/>
        </w:rPr>
        <w:t>25734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农林水支出7154万元，住房保障支出15731万元，债务付息支出19359万元</w:t>
      </w:r>
      <w:r>
        <w:rPr>
          <w:rFonts w:hint="eastAsia" w:ascii="仿宋_GB2312" w:hAnsi="仿宋_GB2312" w:eastAsia="仿宋_GB2312" w:cs="仿宋_GB2312"/>
          <w:sz w:val="32"/>
          <w:szCs w:val="32"/>
          <w:highlight w:val="none"/>
        </w:rPr>
        <w:t>。</w:t>
      </w:r>
    </w:p>
    <w:p>
      <w:pPr>
        <w:snapToGrid w:val="0"/>
        <w:spacing w:line="339"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区本级财政收支预算平衡情况：收入</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204483</w:t>
      </w:r>
      <w:r>
        <w:rPr>
          <w:rFonts w:hint="eastAsia" w:ascii="仿宋_GB2312" w:hAnsi="仿宋_GB2312" w:eastAsia="仿宋_GB2312" w:cs="仿宋_GB2312"/>
          <w:sz w:val="32"/>
          <w:szCs w:val="32"/>
          <w:highlight w:val="none"/>
        </w:rPr>
        <w:t>万元，其中，一般公共预算收入</w:t>
      </w:r>
      <w:r>
        <w:rPr>
          <w:rFonts w:hint="eastAsia" w:ascii="仿宋_GB2312" w:hAnsi="仿宋_GB2312" w:eastAsia="仿宋_GB2312" w:cs="仿宋_GB2312"/>
          <w:sz w:val="32"/>
          <w:szCs w:val="32"/>
          <w:highlight w:val="none"/>
          <w:lang w:val="en-US" w:eastAsia="zh-CN"/>
        </w:rPr>
        <w:t>49286</w:t>
      </w:r>
      <w:r>
        <w:rPr>
          <w:rFonts w:hint="eastAsia" w:ascii="仿宋_GB2312" w:hAnsi="仿宋_GB2312" w:eastAsia="仿宋_GB2312" w:cs="仿宋_GB2312"/>
          <w:sz w:val="32"/>
          <w:szCs w:val="32"/>
          <w:highlight w:val="none"/>
        </w:rPr>
        <w:t>万元，上级补助收入</w:t>
      </w:r>
      <w:r>
        <w:rPr>
          <w:rFonts w:hint="eastAsia" w:ascii="仿宋_GB2312" w:hAnsi="仿宋_GB2312" w:eastAsia="仿宋_GB2312" w:cs="仿宋_GB2312"/>
          <w:sz w:val="32"/>
          <w:szCs w:val="32"/>
          <w:highlight w:val="none"/>
          <w:lang w:val="en-US" w:eastAsia="zh-CN"/>
        </w:rPr>
        <w:t>39632</w:t>
      </w:r>
      <w:r>
        <w:rPr>
          <w:rFonts w:hint="eastAsia" w:ascii="仿宋_GB2312" w:hAnsi="仿宋_GB2312" w:eastAsia="仿宋_GB2312" w:cs="仿宋_GB2312"/>
          <w:sz w:val="32"/>
          <w:szCs w:val="32"/>
          <w:highlight w:val="none"/>
        </w:rPr>
        <w:t>万元，下级上解收入</w:t>
      </w:r>
      <w:r>
        <w:rPr>
          <w:rFonts w:hint="eastAsia" w:ascii="仿宋_GB2312" w:hAnsi="仿宋_GB2312" w:eastAsia="仿宋_GB2312" w:cs="仿宋_GB2312"/>
          <w:sz w:val="32"/>
          <w:szCs w:val="32"/>
          <w:highlight w:val="none"/>
          <w:lang w:val="en-US" w:eastAsia="zh-CN"/>
        </w:rPr>
        <w:t>2202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上年结余6000万元，</w:t>
      </w:r>
      <w:r>
        <w:rPr>
          <w:rFonts w:hint="eastAsia" w:ascii="仿宋_GB2312" w:hAnsi="仿宋_GB2312" w:eastAsia="仿宋_GB2312" w:cs="仿宋_GB2312"/>
          <w:sz w:val="32"/>
          <w:szCs w:val="32"/>
          <w:highlight w:val="none"/>
        </w:rPr>
        <w:t>调入资金</w:t>
      </w:r>
      <w:r>
        <w:rPr>
          <w:rFonts w:hint="eastAsia" w:ascii="仿宋_GB2312" w:hAnsi="仿宋_GB2312" w:eastAsia="仿宋_GB2312" w:cs="仿宋_GB2312"/>
          <w:sz w:val="32"/>
          <w:szCs w:val="32"/>
          <w:highlight w:val="none"/>
          <w:lang w:val="en-US" w:eastAsia="zh-CN"/>
        </w:rPr>
        <w:t>64309</w:t>
      </w:r>
      <w:r>
        <w:rPr>
          <w:rFonts w:hint="eastAsia" w:ascii="仿宋_GB2312" w:hAnsi="仿宋_GB2312" w:eastAsia="仿宋_GB2312" w:cs="仿宋_GB2312"/>
          <w:sz w:val="32"/>
          <w:szCs w:val="32"/>
          <w:highlight w:val="none"/>
        </w:rPr>
        <w:t>万元，债务转贷收入</w:t>
      </w:r>
      <w:r>
        <w:rPr>
          <w:rFonts w:hint="eastAsia" w:ascii="仿宋_GB2312" w:hAnsi="仿宋_GB2312" w:eastAsia="仿宋_GB2312" w:cs="仿宋_GB2312"/>
          <w:sz w:val="32"/>
          <w:szCs w:val="32"/>
          <w:highlight w:val="none"/>
          <w:lang w:val="en-US" w:eastAsia="zh-CN"/>
        </w:rPr>
        <w:t>34615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，动用预算稳定调节基金</w:t>
      </w:r>
      <w:r>
        <w:rPr>
          <w:rFonts w:hint="eastAsia" w:ascii="仿宋_GB2312" w:hAnsi="仿宋_GB2312" w:eastAsia="仿宋_GB2312" w:cs="仿宋_GB2312"/>
          <w:sz w:val="32"/>
          <w:szCs w:val="32"/>
          <w:highlight w:val="none"/>
          <w:lang w:val="en-US" w:eastAsia="zh-CN"/>
        </w:rPr>
        <w:t>8439万元</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204483</w:t>
      </w:r>
      <w:r>
        <w:rPr>
          <w:rFonts w:hint="eastAsia" w:ascii="仿宋_GB2312" w:hAnsi="仿宋_GB2312" w:eastAsia="仿宋_GB2312" w:cs="仿宋_GB2312"/>
          <w:sz w:val="32"/>
          <w:szCs w:val="32"/>
          <w:highlight w:val="none"/>
        </w:rPr>
        <w:t>万元，其中，一般公共预算支出</w:t>
      </w:r>
      <w:r>
        <w:rPr>
          <w:rFonts w:hint="eastAsia" w:ascii="仿宋_GB2312" w:hAnsi="仿宋_GB2312" w:eastAsia="仿宋_GB2312" w:cs="仿宋_GB2312"/>
          <w:sz w:val="32"/>
          <w:szCs w:val="32"/>
          <w:highlight w:val="none"/>
          <w:lang w:val="en-US" w:eastAsia="zh-CN"/>
        </w:rPr>
        <w:t>145088</w:t>
      </w:r>
      <w:r>
        <w:rPr>
          <w:rFonts w:hint="eastAsia" w:ascii="仿宋_GB2312" w:hAnsi="仿宋_GB2312" w:eastAsia="仿宋_GB2312" w:cs="仿宋_GB2312"/>
          <w:sz w:val="32"/>
          <w:szCs w:val="32"/>
          <w:highlight w:val="none"/>
        </w:rPr>
        <w:t>万元，补助下级支出</w:t>
      </w:r>
      <w:r>
        <w:rPr>
          <w:rFonts w:hint="eastAsia" w:ascii="仿宋_GB2312" w:hAnsi="仿宋_GB2312" w:eastAsia="仿宋_GB2312" w:cs="仿宋_GB2312"/>
          <w:sz w:val="32"/>
          <w:szCs w:val="32"/>
          <w:highlight w:val="none"/>
          <w:lang w:val="en-US" w:eastAsia="zh-CN"/>
        </w:rPr>
        <w:t>1779</w:t>
      </w:r>
      <w:r>
        <w:rPr>
          <w:rFonts w:hint="eastAsia" w:ascii="仿宋_GB2312" w:hAnsi="仿宋_GB2312" w:eastAsia="仿宋_GB2312" w:cs="仿宋_GB2312"/>
          <w:sz w:val="32"/>
          <w:szCs w:val="32"/>
          <w:highlight w:val="none"/>
        </w:rPr>
        <w:t>万元，上解上级支出</w:t>
      </w:r>
      <w:r>
        <w:rPr>
          <w:rFonts w:hint="eastAsia" w:ascii="仿宋_GB2312" w:hAnsi="仿宋_GB2312" w:eastAsia="仿宋_GB2312" w:cs="仿宋_GB2312"/>
          <w:sz w:val="32"/>
          <w:szCs w:val="32"/>
          <w:highlight w:val="none"/>
          <w:lang w:val="en-US" w:eastAsia="zh-CN"/>
        </w:rPr>
        <w:t>23001</w:t>
      </w:r>
      <w:r>
        <w:rPr>
          <w:rFonts w:hint="eastAsia" w:ascii="仿宋_GB2312" w:hAnsi="仿宋_GB2312" w:eastAsia="仿宋_GB2312" w:cs="仿宋_GB2312"/>
          <w:sz w:val="32"/>
          <w:szCs w:val="32"/>
          <w:highlight w:val="none"/>
        </w:rPr>
        <w:t>万元，债务还本支出</w:t>
      </w:r>
      <w:r>
        <w:rPr>
          <w:rFonts w:hint="eastAsia" w:ascii="仿宋_GB2312" w:hAnsi="仿宋_GB2312" w:eastAsia="仿宋_GB2312" w:cs="仿宋_GB2312"/>
          <w:sz w:val="32"/>
          <w:szCs w:val="32"/>
          <w:highlight w:val="none"/>
          <w:lang w:val="en-US" w:eastAsia="zh-CN"/>
        </w:rPr>
        <w:t>34615</w:t>
      </w:r>
      <w:r>
        <w:rPr>
          <w:rFonts w:hint="eastAsia" w:ascii="仿宋_GB2312" w:hAnsi="仿宋_GB2312" w:eastAsia="仿宋_GB2312" w:cs="仿宋_GB2312"/>
          <w:sz w:val="32"/>
          <w:szCs w:val="32"/>
          <w:highlight w:val="none"/>
        </w:rPr>
        <w:t>万元，为收支平衡预算。</w:t>
      </w:r>
    </w:p>
    <w:p>
      <w:pPr>
        <w:snapToGrid w:val="0"/>
        <w:spacing w:line="339" w:lineRule="auto"/>
        <w:ind w:firstLine="640" w:firstLineChars="200"/>
        <w:rPr>
          <w:rFonts w:hint="default" w:ascii="仿宋_GB2312" w:hAnsi="仿宋_GB2312" w:eastAsia="仿宋" w:cs="仿宋_GB2312"/>
          <w:color w:val="auto"/>
          <w:sz w:val="32"/>
          <w:szCs w:val="32"/>
          <w:highlight w:val="none"/>
          <w:lang w:val="en-US" w:eastAsia="zh-CN"/>
        </w:rPr>
      </w:pPr>
      <w:r>
        <w:rPr>
          <w:rFonts w:hint="eastAsia" w:ascii="仿宋" w:hAnsi="仿宋" w:eastAsia="仿宋" w:cs="仿宋"/>
          <w:color w:val="auto"/>
          <w:sz w:val="32"/>
          <w:szCs w:val="32"/>
          <w:highlight w:val="none"/>
          <w:lang w:val="en-US" w:eastAsia="zh-CN"/>
        </w:rPr>
        <w:t>区本级</w:t>
      </w:r>
      <w:r>
        <w:rPr>
          <w:rFonts w:hint="eastAsia" w:ascii="仿宋" w:hAnsi="仿宋" w:eastAsia="仿宋" w:cs="仿宋"/>
          <w:color w:val="auto"/>
          <w:sz w:val="32"/>
          <w:szCs w:val="32"/>
          <w:highlight w:val="none"/>
        </w:rPr>
        <w:t>对下转移性支出</w:t>
      </w:r>
      <w:r>
        <w:rPr>
          <w:rFonts w:hint="eastAsia" w:ascii="仿宋" w:hAnsi="仿宋" w:eastAsia="仿宋" w:cs="仿宋"/>
          <w:color w:val="auto"/>
          <w:sz w:val="32"/>
          <w:szCs w:val="32"/>
          <w:highlight w:val="none"/>
          <w:lang w:val="en-US" w:eastAsia="zh-CN"/>
        </w:rPr>
        <w:t>1779万</w:t>
      </w:r>
      <w:r>
        <w:rPr>
          <w:rFonts w:hint="eastAsia" w:ascii="仿宋" w:hAnsi="仿宋" w:eastAsia="仿宋" w:cs="仿宋"/>
          <w:color w:val="auto"/>
          <w:sz w:val="32"/>
          <w:szCs w:val="32"/>
          <w:highlight w:val="none"/>
        </w:rPr>
        <w:t>元，其中</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返还性支出</w:t>
      </w:r>
      <w:r>
        <w:rPr>
          <w:rFonts w:hint="eastAsia" w:ascii="仿宋" w:hAnsi="仿宋" w:eastAsia="仿宋" w:cs="仿宋"/>
          <w:color w:val="auto"/>
          <w:sz w:val="32"/>
          <w:szCs w:val="32"/>
          <w:highlight w:val="none"/>
          <w:lang w:val="en-US" w:eastAsia="zh-CN"/>
        </w:rPr>
        <w:t>14万</w:t>
      </w:r>
      <w:r>
        <w:rPr>
          <w:rFonts w:hint="eastAsia" w:ascii="仿宋" w:hAnsi="仿宋" w:eastAsia="仿宋" w:cs="仿宋"/>
          <w:color w:val="auto"/>
          <w:sz w:val="32"/>
          <w:szCs w:val="32"/>
          <w:highlight w:val="none"/>
        </w:rPr>
        <w:t>元；一般性转移支付支出</w:t>
      </w:r>
      <w:r>
        <w:rPr>
          <w:rFonts w:hint="eastAsia" w:ascii="仿宋" w:hAnsi="仿宋" w:eastAsia="仿宋" w:cs="仿宋"/>
          <w:color w:val="auto"/>
          <w:sz w:val="32"/>
          <w:szCs w:val="32"/>
          <w:highlight w:val="none"/>
          <w:lang w:val="en-US" w:eastAsia="zh-CN"/>
        </w:rPr>
        <w:t>1135万</w:t>
      </w:r>
      <w:r>
        <w:rPr>
          <w:rFonts w:hint="eastAsia" w:ascii="仿宋" w:hAnsi="仿宋" w:eastAsia="仿宋" w:cs="仿宋"/>
          <w:color w:val="auto"/>
          <w:sz w:val="32"/>
          <w:szCs w:val="32"/>
          <w:highlight w:val="none"/>
        </w:rPr>
        <w:t>元，专项转移支付支出</w:t>
      </w:r>
      <w:r>
        <w:rPr>
          <w:rFonts w:hint="eastAsia" w:ascii="仿宋" w:hAnsi="仿宋" w:eastAsia="仿宋" w:cs="仿宋"/>
          <w:color w:val="auto"/>
          <w:sz w:val="32"/>
          <w:szCs w:val="32"/>
          <w:highlight w:val="none"/>
          <w:lang w:val="en-US" w:eastAsia="zh-CN"/>
        </w:rPr>
        <w:t>630万元。</w:t>
      </w:r>
    </w:p>
    <w:p>
      <w:pPr>
        <w:pStyle w:val="3"/>
        <w:snapToGrid w:val="0"/>
        <w:spacing w:line="339" w:lineRule="auto"/>
        <w:ind w:firstLine="643" w:firstLineChars="200"/>
        <w:rPr>
          <w:rFonts w:ascii="仿宋_GB2312"/>
          <w:b/>
          <w:bCs/>
          <w:szCs w:val="32"/>
          <w:highlight w:val="none"/>
        </w:rPr>
      </w:pPr>
      <w:r>
        <w:rPr>
          <w:rFonts w:hint="eastAsia" w:ascii="仿宋_GB2312"/>
          <w:b/>
          <w:bCs/>
          <w:szCs w:val="32"/>
          <w:highlight w:val="none"/>
        </w:rPr>
        <w:t>2.政府性基金预算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区本级政府性基金预算收入</w:t>
      </w:r>
      <w:r>
        <w:rPr>
          <w:rFonts w:hint="eastAsia" w:ascii="仿宋_GB2312" w:hAnsi="仿宋_GB2312" w:eastAsia="仿宋_GB2312" w:cs="仿宋_GB2312"/>
          <w:sz w:val="32"/>
          <w:szCs w:val="32"/>
          <w:highlight w:val="none"/>
          <w:lang w:val="en-US" w:eastAsia="zh-CN"/>
        </w:rPr>
        <w:t>20000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上年结余12275万元，</w:t>
      </w:r>
      <w:r>
        <w:rPr>
          <w:rFonts w:hint="eastAsia" w:ascii="仿宋_GB2312" w:hAnsi="仿宋_GB2312" w:eastAsia="仿宋_GB2312" w:cs="仿宋_GB2312"/>
          <w:sz w:val="32"/>
          <w:szCs w:val="32"/>
          <w:highlight w:val="none"/>
        </w:rPr>
        <w:t>债务转贷收入</w:t>
      </w:r>
      <w:r>
        <w:rPr>
          <w:rFonts w:hint="eastAsia" w:ascii="仿宋_GB2312" w:hAnsi="仿宋_GB2312" w:eastAsia="仿宋_GB2312" w:cs="仿宋_GB2312"/>
          <w:sz w:val="32"/>
          <w:szCs w:val="32"/>
          <w:highlight w:val="none"/>
          <w:lang w:val="en-US" w:eastAsia="zh-CN"/>
        </w:rPr>
        <w:t>12200</w:t>
      </w:r>
      <w:r>
        <w:rPr>
          <w:rFonts w:hint="eastAsia" w:ascii="仿宋_GB2312" w:hAnsi="仿宋_GB2312" w:eastAsia="仿宋_GB2312" w:cs="仿宋_GB2312"/>
          <w:sz w:val="32"/>
          <w:szCs w:val="32"/>
          <w:highlight w:val="none"/>
        </w:rPr>
        <w:t>万元，收入总量</w:t>
      </w:r>
      <w:r>
        <w:rPr>
          <w:rFonts w:hint="eastAsia" w:ascii="仿宋_GB2312" w:hAnsi="仿宋_GB2312" w:eastAsia="仿宋_GB2312" w:cs="仿宋_GB2312"/>
          <w:sz w:val="32"/>
          <w:szCs w:val="32"/>
          <w:highlight w:val="none"/>
          <w:lang w:val="en-US" w:eastAsia="zh-CN"/>
        </w:rPr>
        <w:t>44475</w:t>
      </w:r>
      <w:r>
        <w:rPr>
          <w:rFonts w:hint="eastAsia" w:ascii="仿宋_GB2312" w:hAnsi="仿宋_GB2312" w:eastAsia="仿宋_GB2312" w:cs="仿宋_GB2312"/>
          <w:sz w:val="32"/>
          <w:szCs w:val="32"/>
          <w:highlight w:val="none"/>
        </w:rPr>
        <w:t>万元。</w:t>
      </w:r>
    </w:p>
    <w:p>
      <w:pPr>
        <w:snapToGrid w:val="0"/>
        <w:spacing w:line="339" w:lineRule="auto"/>
        <w:ind w:firstLine="640" w:firstLineChars="200"/>
        <w:rPr>
          <w:rFonts w:ascii="仿宋_GB2312"/>
          <w:b/>
          <w:bCs/>
          <w:szCs w:val="32"/>
          <w:highlight w:val="none"/>
        </w:rPr>
      </w:pPr>
      <w:r>
        <w:rPr>
          <w:rFonts w:hint="eastAsia" w:ascii="仿宋_GB2312" w:hAnsi="仿宋_GB2312" w:eastAsia="仿宋_GB2312" w:cs="仿宋_GB2312"/>
          <w:sz w:val="32"/>
          <w:szCs w:val="32"/>
          <w:highlight w:val="none"/>
        </w:rPr>
        <w:t>区本级政府性基金预算支出</w:t>
      </w:r>
      <w:r>
        <w:rPr>
          <w:rFonts w:hint="eastAsia" w:ascii="仿宋_GB2312" w:hAnsi="仿宋_GB2312" w:eastAsia="仿宋_GB2312" w:cs="仿宋_GB2312"/>
          <w:sz w:val="32"/>
          <w:szCs w:val="32"/>
          <w:highlight w:val="none"/>
          <w:lang w:val="en-US" w:eastAsia="zh-CN"/>
        </w:rPr>
        <w:t>23938</w:t>
      </w:r>
      <w:r>
        <w:rPr>
          <w:rFonts w:hint="eastAsia" w:ascii="仿宋_GB2312" w:hAnsi="仿宋_GB2312" w:eastAsia="仿宋_GB2312" w:cs="仿宋_GB2312"/>
          <w:sz w:val="32"/>
          <w:szCs w:val="32"/>
          <w:highlight w:val="none"/>
        </w:rPr>
        <w:t>万元，上解上级支出</w:t>
      </w:r>
      <w:r>
        <w:rPr>
          <w:rFonts w:hint="eastAsia" w:ascii="仿宋_GB2312" w:hAnsi="仿宋_GB2312" w:eastAsia="仿宋_GB2312" w:cs="仿宋_GB2312"/>
          <w:sz w:val="32"/>
          <w:szCs w:val="32"/>
          <w:highlight w:val="none"/>
          <w:lang w:val="en-US" w:eastAsia="zh-CN"/>
        </w:rPr>
        <w:t>320</w:t>
      </w:r>
      <w:r>
        <w:rPr>
          <w:rFonts w:hint="eastAsia" w:ascii="仿宋_GB2312" w:hAnsi="仿宋_GB2312" w:eastAsia="仿宋_GB2312" w:cs="仿宋_GB2312"/>
          <w:sz w:val="32"/>
          <w:szCs w:val="32"/>
          <w:highlight w:val="none"/>
        </w:rPr>
        <w:t>万元，调出资金</w:t>
      </w:r>
      <w:r>
        <w:rPr>
          <w:rFonts w:hint="eastAsia" w:ascii="仿宋_GB2312" w:hAnsi="仿宋_GB2312" w:eastAsia="仿宋_GB2312" w:cs="仿宋_GB2312"/>
          <w:sz w:val="32"/>
          <w:szCs w:val="32"/>
          <w:highlight w:val="none"/>
          <w:lang w:val="en-US" w:eastAsia="zh-CN"/>
        </w:rPr>
        <w:t>6797</w:t>
      </w:r>
      <w:r>
        <w:rPr>
          <w:rFonts w:hint="eastAsia" w:ascii="仿宋_GB2312" w:hAnsi="仿宋_GB2312" w:eastAsia="仿宋_GB2312" w:cs="仿宋_GB2312"/>
          <w:sz w:val="32"/>
          <w:szCs w:val="32"/>
          <w:highlight w:val="none"/>
        </w:rPr>
        <w:t>万元，债务还本支出</w:t>
      </w:r>
      <w:r>
        <w:rPr>
          <w:rFonts w:hint="eastAsia" w:ascii="仿宋_GB2312" w:hAnsi="仿宋_GB2312" w:eastAsia="仿宋_GB2312" w:cs="仿宋_GB2312"/>
          <w:sz w:val="32"/>
          <w:szCs w:val="32"/>
          <w:highlight w:val="none"/>
          <w:lang w:val="en-US" w:eastAsia="zh-CN"/>
        </w:rPr>
        <w:t>13420</w:t>
      </w:r>
      <w:r>
        <w:rPr>
          <w:rFonts w:hint="eastAsia" w:ascii="仿宋_GB2312" w:hAnsi="仿宋_GB2312" w:eastAsia="仿宋_GB2312" w:cs="仿宋_GB2312"/>
          <w:sz w:val="32"/>
          <w:szCs w:val="32"/>
          <w:highlight w:val="none"/>
        </w:rPr>
        <w:t>万元，支出总量</w:t>
      </w:r>
      <w:r>
        <w:rPr>
          <w:rFonts w:hint="eastAsia" w:ascii="仿宋_GB2312" w:hAnsi="仿宋_GB2312" w:eastAsia="仿宋_GB2312" w:cs="仿宋_GB2312"/>
          <w:sz w:val="32"/>
          <w:szCs w:val="32"/>
          <w:highlight w:val="none"/>
          <w:lang w:val="en-US" w:eastAsia="zh-CN"/>
        </w:rPr>
        <w:t>44475</w:t>
      </w:r>
      <w:r>
        <w:rPr>
          <w:rFonts w:hint="eastAsia" w:ascii="仿宋_GB2312" w:hAnsi="仿宋_GB2312" w:eastAsia="仿宋_GB2312" w:cs="仿宋_GB2312"/>
          <w:sz w:val="32"/>
          <w:szCs w:val="32"/>
          <w:highlight w:val="none"/>
        </w:rPr>
        <w:t>万元。</w:t>
      </w:r>
    </w:p>
    <w:p>
      <w:pPr>
        <w:pStyle w:val="3"/>
        <w:snapToGrid w:val="0"/>
        <w:spacing w:line="339" w:lineRule="auto"/>
        <w:ind w:firstLine="643" w:firstLineChars="200"/>
        <w:rPr>
          <w:highlight w:val="none"/>
        </w:rPr>
      </w:pPr>
      <w:r>
        <w:rPr>
          <w:rFonts w:hint="eastAsia" w:ascii="仿宋_GB2312"/>
          <w:b/>
          <w:bCs/>
          <w:szCs w:val="32"/>
          <w:highlight w:val="none"/>
        </w:rPr>
        <w:t>3.国有资本经营预算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区本级国有资本经营预算收入</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上年结余705万元，</w:t>
      </w:r>
      <w:r>
        <w:rPr>
          <w:rFonts w:hint="eastAsia" w:ascii="仿宋_GB2312" w:hAnsi="仿宋_GB2312" w:eastAsia="仿宋_GB2312" w:cs="仿宋_GB2312"/>
          <w:sz w:val="32"/>
          <w:szCs w:val="32"/>
          <w:highlight w:val="none"/>
        </w:rPr>
        <w:t>收入总量</w:t>
      </w:r>
      <w:r>
        <w:rPr>
          <w:rFonts w:hint="eastAsia" w:ascii="仿宋_GB2312" w:hAnsi="仿宋_GB2312" w:eastAsia="仿宋_GB2312" w:cs="仿宋_GB2312"/>
          <w:sz w:val="32"/>
          <w:szCs w:val="32"/>
          <w:highlight w:val="none"/>
          <w:lang w:val="en-US" w:eastAsia="zh-CN"/>
        </w:rPr>
        <w:t>905</w:t>
      </w:r>
      <w:r>
        <w:rPr>
          <w:rFonts w:hint="eastAsia" w:ascii="仿宋_GB2312" w:hAnsi="仿宋_GB2312" w:eastAsia="仿宋_GB2312" w:cs="仿宋_GB2312"/>
          <w:sz w:val="32"/>
          <w:szCs w:val="32"/>
          <w:highlight w:val="none"/>
        </w:rPr>
        <w:t>万元。</w:t>
      </w:r>
    </w:p>
    <w:p>
      <w:pPr>
        <w:snapToGrid w:val="0"/>
        <w:spacing w:line="339" w:lineRule="auto"/>
        <w:ind w:firstLine="640" w:firstLineChars="200"/>
        <w:rPr>
          <w:rFonts w:ascii="仿宋_GB2312"/>
          <w:b/>
          <w:bCs/>
          <w:szCs w:val="32"/>
          <w:highlight w:val="none"/>
        </w:rPr>
      </w:pPr>
      <w:r>
        <w:rPr>
          <w:rFonts w:hint="eastAsia" w:ascii="仿宋_GB2312" w:hAnsi="仿宋_GB2312" w:eastAsia="仿宋_GB2312" w:cs="仿宋_GB2312"/>
          <w:sz w:val="32"/>
          <w:szCs w:val="32"/>
          <w:highlight w:val="none"/>
        </w:rPr>
        <w:t>区本级国有资本经营预算支出</w:t>
      </w:r>
      <w:r>
        <w:rPr>
          <w:rFonts w:hint="eastAsia" w:ascii="仿宋_GB2312" w:hAnsi="仿宋_GB2312" w:eastAsia="仿宋_GB2312" w:cs="仿宋_GB2312"/>
          <w:sz w:val="32"/>
          <w:szCs w:val="32"/>
          <w:highlight w:val="none"/>
          <w:lang w:val="en-US" w:eastAsia="zh-CN"/>
        </w:rPr>
        <w:t>805</w:t>
      </w:r>
      <w:r>
        <w:rPr>
          <w:rFonts w:hint="eastAsia" w:ascii="仿宋_GB2312" w:hAnsi="仿宋_GB2312" w:eastAsia="仿宋_GB2312" w:cs="仿宋_GB2312"/>
          <w:sz w:val="32"/>
          <w:szCs w:val="32"/>
          <w:highlight w:val="none"/>
        </w:rPr>
        <w:t>万元，上解上级支出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万元，支出总量</w:t>
      </w:r>
      <w:r>
        <w:rPr>
          <w:rFonts w:hint="eastAsia" w:ascii="仿宋_GB2312" w:hAnsi="仿宋_GB2312" w:eastAsia="仿宋_GB2312" w:cs="仿宋_GB2312"/>
          <w:sz w:val="32"/>
          <w:szCs w:val="32"/>
          <w:highlight w:val="none"/>
          <w:lang w:val="en-US" w:eastAsia="zh-CN"/>
        </w:rPr>
        <w:t>905</w:t>
      </w:r>
      <w:r>
        <w:rPr>
          <w:rFonts w:hint="eastAsia" w:ascii="仿宋_GB2312" w:hAnsi="仿宋_GB2312" w:eastAsia="仿宋_GB2312" w:cs="仿宋_GB2312"/>
          <w:sz w:val="32"/>
          <w:szCs w:val="32"/>
          <w:highlight w:val="none"/>
        </w:rPr>
        <w:t>万元。</w:t>
      </w:r>
    </w:p>
    <w:p>
      <w:pPr>
        <w:pStyle w:val="3"/>
        <w:snapToGrid w:val="0"/>
        <w:spacing w:line="339" w:lineRule="auto"/>
        <w:ind w:firstLine="643" w:firstLineChars="200"/>
        <w:rPr>
          <w:rFonts w:ascii="仿宋_GB2312"/>
          <w:b/>
          <w:bCs/>
          <w:szCs w:val="32"/>
          <w:highlight w:val="none"/>
        </w:rPr>
      </w:pPr>
      <w:r>
        <w:rPr>
          <w:rFonts w:hint="eastAsia" w:ascii="仿宋_GB2312"/>
          <w:b/>
          <w:bCs/>
          <w:szCs w:val="32"/>
          <w:highlight w:val="none"/>
        </w:rPr>
        <w:t>4.社会保险基金预算</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hAnsi="仿宋_GB2312" w:eastAsia="仿宋_GB2312" w:cs="仿宋_GB2312"/>
          <w:sz w:val="32"/>
          <w:szCs w:val="32"/>
          <w:highlight w:val="none"/>
        </w:rPr>
        <w:t>区本级</w:t>
      </w:r>
      <w:r>
        <w:rPr>
          <w:rFonts w:hint="eastAsia" w:ascii="仿宋_GB2312" w:hAnsi="仿宋" w:eastAsia="仿宋_GB2312" w:cs="仿宋"/>
          <w:sz w:val="32"/>
          <w:szCs w:val="32"/>
          <w:highlight w:val="none"/>
        </w:rPr>
        <w:t>社会保险基金预算收入</w:t>
      </w:r>
      <w:r>
        <w:rPr>
          <w:rFonts w:hint="eastAsia" w:ascii="仿宋_GB2312" w:hAnsi="仿宋" w:eastAsia="仿宋_GB2312" w:cs="仿宋"/>
          <w:sz w:val="32"/>
          <w:szCs w:val="32"/>
          <w:highlight w:val="none"/>
          <w:lang w:val="en-US" w:eastAsia="zh-CN"/>
        </w:rPr>
        <w:t>19253</w:t>
      </w:r>
      <w:r>
        <w:rPr>
          <w:rFonts w:hint="eastAsia" w:ascii="仿宋_GB2312" w:hAnsi="仿宋" w:eastAsia="仿宋_GB2312" w:cs="仿宋"/>
          <w:sz w:val="32"/>
          <w:szCs w:val="32"/>
          <w:highlight w:val="none"/>
        </w:rPr>
        <w:t>万元，其中：社会保险费收入</w:t>
      </w:r>
      <w:r>
        <w:rPr>
          <w:rFonts w:hint="eastAsia" w:ascii="仿宋_GB2312" w:hAnsi="仿宋" w:eastAsia="仿宋_GB2312" w:cs="仿宋"/>
          <w:sz w:val="32"/>
          <w:szCs w:val="32"/>
          <w:highlight w:val="none"/>
          <w:lang w:val="en-US" w:eastAsia="zh-CN"/>
        </w:rPr>
        <w:t>6927</w:t>
      </w:r>
      <w:r>
        <w:rPr>
          <w:rFonts w:hint="eastAsia" w:ascii="仿宋_GB2312" w:hAnsi="仿宋" w:eastAsia="仿宋_GB2312" w:cs="仿宋"/>
          <w:sz w:val="32"/>
          <w:szCs w:val="32"/>
          <w:highlight w:val="none"/>
        </w:rPr>
        <w:t>万元，财政补贴收入</w:t>
      </w:r>
      <w:r>
        <w:rPr>
          <w:rFonts w:hint="eastAsia" w:ascii="仿宋_GB2312" w:hAnsi="仿宋" w:eastAsia="仿宋_GB2312" w:cs="仿宋"/>
          <w:sz w:val="32"/>
          <w:szCs w:val="32"/>
          <w:highlight w:val="none"/>
          <w:lang w:val="en-US" w:eastAsia="zh-CN"/>
        </w:rPr>
        <w:t>12044</w:t>
      </w:r>
      <w:r>
        <w:rPr>
          <w:rFonts w:hint="eastAsia" w:ascii="仿宋_GB2312" w:hAnsi="仿宋" w:eastAsia="仿宋_GB2312" w:cs="仿宋"/>
          <w:sz w:val="32"/>
          <w:szCs w:val="32"/>
          <w:highlight w:val="none"/>
        </w:rPr>
        <w:t>万元，利息收入</w:t>
      </w:r>
      <w:r>
        <w:rPr>
          <w:rFonts w:hint="eastAsia" w:ascii="仿宋_GB2312" w:hAnsi="仿宋" w:eastAsia="仿宋_GB2312" w:cs="仿宋"/>
          <w:sz w:val="32"/>
          <w:szCs w:val="32"/>
          <w:highlight w:val="none"/>
          <w:lang w:val="en-US" w:eastAsia="zh-CN"/>
        </w:rPr>
        <w:t>31</w:t>
      </w:r>
      <w:r>
        <w:rPr>
          <w:rFonts w:hint="eastAsia" w:ascii="仿宋_GB2312" w:hAnsi="仿宋" w:eastAsia="仿宋_GB2312" w:cs="仿宋"/>
          <w:sz w:val="32"/>
          <w:szCs w:val="32"/>
          <w:highlight w:val="none"/>
        </w:rPr>
        <w:t>万元，转移收入</w:t>
      </w:r>
      <w:r>
        <w:rPr>
          <w:rFonts w:hint="eastAsia" w:ascii="仿宋_GB2312" w:hAnsi="仿宋" w:eastAsia="仿宋_GB2312" w:cs="仿宋"/>
          <w:sz w:val="32"/>
          <w:szCs w:val="32"/>
          <w:highlight w:val="none"/>
          <w:lang w:val="en-US" w:eastAsia="zh-CN"/>
        </w:rPr>
        <w:t>251</w:t>
      </w:r>
      <w:r>
        <w:rPr>
          <w:rFonts w:hint="eastAsia" w:ascii="仿宋_GB2312" w:hAnsi="仿宋" w:eastAsia="仿宋_GB2312" w:cs="仿宋"/>
          <w:sz w:val="32"/>
          <w:szCs w:val="32"/>
          <w:highlight w:val="none"/>
        </w:rPr>
        <w:t>万元。</w:t>
      </w:r>
    </w:p>
    <w:p>
      <w:pPr>
        <w:snapToGrid w:val="0"/>
        <w:spacing w:line="339" w:lineRule="auto"/>
        <w:ind w:firstLine="640" w:firstLineChars="200"/>
        <w:rPr>
          <w:rFonts w:ascii="楷体_GB2312" w:hAnsi="楷体_GB2312" w:eastAsia="楷体_GB2312" w:cs="楷体_GB2312"/>
          <w:szCs w:val="32"/>
          <w:highlight w:val="none"/>
        </w:rPr>
      </w:pPr>
      <w:r>
        <w:rPr>
          <w:rFonts w:hint="eastAsia" w:ascii="仿宋_GB2312" w:hAnsi="仿宋_GB2312" w:eastAsia="仿宋_GB2312" w:cs="仿宋_GB2312"/>
          <w:sz w:val="32"/>
          <w:szCs w:val="32"/>
          <w:highlight w:val="none"/>
        </w:rPr>
        <w:t>区本级社会保险基金支出</w:t>
      </w:r>
      <w:r>
        <w:rPr>
          <w:rFonts w:hint="eastAsia" w:ascii="仿宋_GB2312" w:hAnsi="仿宋_GB2312" w:eastAsia="仿宋_GB2312" w:cs="仿宋_GB2312"/>
          <w:sz w:val="32"/>
          <w:szCs w:val="32"/>
          <w:highlight w:val="none"/>
          <w:lang w:val="en-US" w:eastAsia="zh-CN"/>
        </w:rPr>
        <w:t>19649</w:t>
      </w:r>
      <w:r>
        <w:rPr>
          <w:rFonts w:hint="eastAsia" w:ascii="仿宋_GB2312" w:hAnsi="仿宋_GB2312" w:eastAsia="仿宋_GB2312" w:cs="仿宋_GB2312"/>
          <w:sz w:val="32"/>
          <w:szCs w:val="32"/>
          <w:highlight w:val="none"/>
        </w:rPr>
        <w:t>万元，其中：社会保险待遇支出</w:t>
      </w:r>
      <w:r>
        <w:rPr>
          <w:rFonts w:hint="eastAsia" w:ascii="仿宋_GB2312" w:hAnsi="仿宋_GB2312" w:eastAsia="仿宋_GB2312" w:cs="仿宋_GB2312"/>
          <w:sz w:val="32"/>
          <w:szCs w:val="32"/>
          <w:highlight w:val="none"/>
          <w:lang w:val="en-US" w:eastAsia="zh-CN"/>
        </w:rPr>
        <w:t>19103</w:t>
      </w:r>
      <w:r>
        <w:rPr>
          <w:rFonts w:hint="eastAsia" w:ascii="仿宋_GB2312" w:hAnsi="仿宋_GB2312" w:eastAsia="仿宋_GB2312" w:cs="仿宋_GB2312"/>
          <w:sz w:val="32"/>
          <w:szCs w:val="32"/>
          <w:highlight w:val="none"/>
        </w:rPr>
        <w:t>万元，转移支出</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其他支出46万元</w:t>
      </w:r>
      <w:r>
        <w:rPr>
          <w:rFonts w:hint="eastAsia" w:ascii="仿宋_GB2312" w:hAnsi="仿宋_GB2312" w:eastAsia="仿宋_GB2312" w:cs="仿宋_GB2312"/>
          <w:sz w:val="32"/>
          <w:szCs w:val="32"/>
          <w:highlight w:val="none"/>
        </w:rPr>
        <w:t>。当年收支结余</w:t>
      </w:r>
      <w:r>
        <w:rPr>
          <w:rFonts w:hint="eastAsia" w:ascii="仿宋_GB2312" w:hAnsi="仿宋_GB2312" w:eastAsia="仿宋_GB2312" w:cs="仿宋_GB2312"/>
          <w:sz w:val="32"/>
          <w:szCs w:val="32"/>
          <w:highlight w:val="none"/>
          <w:lang w:val="en-US" w:eastAsia="zh-CN"/>
        </w:rPr>
        <w:t>-396</w:t>
      </w:r>
      <w:r>
        <w:rPr>
          <w:rFonts w:hint="eastAsia" w:ascii="仿宋_GB2312" w:hAnsi="仿宋_GB2312" w:eastAsia="仿宋_GB2312" w:cs="仿宋_GB2312"/>
          <w:sz w:val="32"/>
          <w:szCs w:val="32"/>
          <w:highlight w:val="none"/>
        </w:rPr>
        <w:t>万元，年末滚存结余</w:t>
      </w:r>
      <w:r>
        <w:rPr>
          <w:rFonts w:hint="eastAsia" w:ascii="仿宋_GB2312" w:hAnsi="仿宋_GB2312" w:eastAsia="仿宋_GB2312" w:cs="仿宋_GB2312"/>
          <w:sz w:val="32"/>
          <w:szCs w:val="32"/>
          <w:highlight w:val="none"/>
          <w:lang w:val="en-US" w:eastAsia="zh-CN"/>
        </w:rPr>
        <w:t>1572</w:t>
      </w:r>
      <w:r>
        <w:rPr>
          <w:rFonts w:hint="eastAsia" w:ascii="仿宋_GB2312" w:hAnsi="仿宋_GB2312" w:eastAsia="仿宋_GB2312" w:cs="仿宋_GB2312"/>
          <w:sz w:val="32"/>
          <w:szCs w:val="32"/>
          <w:highlight w:val="none"/>
        </w:rPr>
        <w:t>万元。</w:t>
      </w:r>
    </w:p>
    <w:p>
      <w:pPr>
        <w:snapToGrid w:val="0"/>
        <w:spacing w:line="339" w:lineRule="auto"/>
        <w:ind w:firstLine="640" w:firstLineChars="200"/>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rPr>
        <w:t>（三）</w:t>
      </w:r>
      <w:r>
        <w:rPr>
          <w:rFonts w:hint="eastAsia" w:ascii="楷体_GB2312" w:hAnsi="楷体_GB2312" w:eastAsia="楷体_GB2312" w:cs="楷体_GB2312"/>
          <w:sz w:val="32"/>
          <w:szCs w:val="32"/>
          <w:highlight w:val="none"/>
          <w:lang w:val="en-US" w:eastAsia="zh-CN"/>
        </w:rPr>
        <w:t>2024年预算重点说明事项</w:t>
      </w:r>
    </w:p>
    <w:p>
      <w:pPr>
        <w:snapToGrid w:val="0"/>
        <w:spacing w:line="339" w:lineRule="auto"/>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1.“三保”预算安排情况</w:t>
      </w:r>
    </w:p>
    <w:p>
      <w:pPr>
        <w:snapToGrid w:val="0"/>
        <w:spacing w:line="339" w:lineRule="auto"/>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基层“三保”关系人民群众切身利益和基层正常运转，是落实党中央、国务院决策部署的重要举措，是财政部门的重大政治责任。为切实做好202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全区</w:t>
      </w:r>
      <w:r>
        <w:rPr>
          <w:rFonts w:hint="eastAsia" w:ascii="仿宋_GB2312" w:hAnsi="仿宋_GB2312" w:eastAsia="仿宋_GB2312" w:cs="仿宋_GB2312"/>
          <w:sz w:val="32"/>
          <w:szCs w:val="32"/>
          <w:highlight w:val="none"/>
        </w:rPr>
        <w:t>“三保”工作，兜牢兜实“三保”底线，夯实“六稳”“六保”基础，</w:t>
      </w:r>
      <w:r>
        <w:rPr>
          <w:rFonts w:hint="eastAsia" w:ascii="仿宋_GB2312" w:hAnsi="仿宋_GB2312" w:eastAsia="仿宋_GB2312" w:cs="仿宋_GB2312"/>
          <w:sz w:val="32"/>
          <w:szCs w:val="32"/>
          <w:highlight w:val="none"/>
          <w:lang w:val="en-US" w:eastAsia="zh-CN"/>
        </w:rPr>
        <w:t>双台子区制定并印发了本级2024年</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外刚性支出项目清单，明确了</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保障范围和标准，并按照区级支出责任足额编入预算，在预算一体化系统中做好</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外刚性支出项目标识，确保能够准确提取</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数据并监控执行情况，为迎接省财政厅</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预算核查打下坚实基础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2024年，全区</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支出安排58226万元，其中，保基本民生20413万元，保工资34322万元，保运转3491万元，</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预算足额安排。</w:t>
      </w:r>
    </w:p>
    <w:p>
      <w:pPr>
        <w:snapToGrid w:val="0"/>
        <w:spacing w:line="339" w:lineRule="auto"/>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2.落实过紧日子情况</w:t>
      </w:r>
    </w:p>
    <w:p>
      <w:pPr>
        <w:snapToGrid w:val="0"/>
        <w:spacing w:line="339"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贯彻落实省委省政府《关于印发&lt;辽宁省贯彻落实“过紧日子”若干措施&gt;的通知》（辽委办发〔2023〕17号）、省财政厅《关于贯彻落实“过紧日子”要求做好2024年预算编制工作的通知》（辽财预〔2023〕58号）等有关要求，全区坚持过紧日子，有保有压编制支出预算，在保障</w:t>
      </w:r>
      <w:r>
        <w:rPr>
          <w:rFonts w:hint="eastAsia" w:ascii="仿宋_GB2312" w:hAnsi="仿宋_GB2312" w:eastAsia="仿宋_GB2312" w:cs="仿宋_GB2312"/>
          <w:sz w:val="32"/>
          <w:szCs w:val="32"/>
          <w:highlight w:val="none"/>
        </w:rPr>
        <w:t>“三保”</w:t>
      </w:r>
      <w:r>
        <w:rPr>
          <w:rFonts w:hint="eastAsia" w:ascii="仿宋_GB2312" w:hAnsi="仿宋_GB2312" w:eastAsia="仿宋_GB2312" w:cs="仿宋_GB2312"/>
          <w:sz w:val="32"/>
          <w:szCs w:val="32"/>
          <w:highlight w:val="none"/>
          <w:lang w:val="en-US" w:eastAsia="zh-CN"/>
        </w:rPr>
        <w:t>支出</w:t>
      </w:r>
      <w:r>
        <w:rPr>
          <w:rFonts w:hint="eastAsia" w:ascii="仿宋_GB2312" w:hAnsi="仿宋_GB2312" w:eastAsia="仿宋_GB2312" w:cs="仿宋_GB2312"/>
          <w:sz w:val="32"/>
          <w:szCs w:val="32"/>
          <w:highlight w:val="none"/>
        </w:rPr>
        <w:t>以及债务还本付息、防范化解风险等重点领域支出</w:t>
      </w:r>
      <w:r>
        <w:rPr>
          <w:rFonts w:hint="eastAsia" w:ascii="仿宋_GB2312" w:hAnsi="仿宋_GB2312" w:eastAsia="仿宋_GB2312" w:cs="仿宋_GB2312"/>
          <w:sz w:val="32"/>
          <w:szCs w:val="32"/>
          <w:highlight w:val="none"/>
          <w:lang w:val="en-US" w:eastAsia="zh-CN"/>
        </w:rPr>
        <w:t>的基础上</w:t>
      </w:r>
      <w:r>
        <w:rPr>
          <w:rFonts w:hint="eastAsia" w:ascii="仿宋_GB2312" w:hAnsi="仿宋_GB2312" w:eastAsia="仿宋_GB2312" w:cs="仿宋_GB2312"/>
          <w:sz w:val="32"/>
          <w:szCs w:val="32"/>
          <w:highlight w:val="none"/>
        </w:rPr>
        <w:t>，大力优化支出结构，大幅压减一般性支出等非急需、非刚性支出。建立“一般性支出项目清单”，将会议费、培训费、</w:t>
      </w:r>
      <w:r>
        <w:rPr>
          <w:rFonts w:hint="eastAsia" w:ascii="仿宋_GB2312" w:hAnsi="仿宋_GB2312" w:eastAsia="仿宋_GB2312" w:cs="仿宋_GB2312"/>
          <w:sz w:val="32"/>
          <w:szCs w:val="32"/>
          <w:highlight w:val="none"/>
          <w:lang w:eastAsia="zh-CN"/>
        </w:rPr>
        <w:t>调研经费、</w:t>
      </w:r>
      <w:r>
        <w:rPr>
          <w:rFonts w:hint="eastAsia" w:ascii="仿宋_GB2312" w:hAnsi="仿宋_GB2312" w:eastAsia="仿宋_GB2312" w:cs="仿宋_GB2312"/>
          <w:sz w:val="32"/>
          <w:szCs w:val="32"/>
          <w:highlight w:val="none"/>
        </w:rPr>
        <w:t>业务经费</w:t>
      </w:r>
      <w:r>
        <w:rPr>
          <w:rFonts w:hint="eastAsia" w:ascii="仿宋_GB2312" w:hAnsi="仿宋_GB2312" w:eastAsia="仿宋_GB2312" w:cs="仿宋_GB2312"/>
          <w:sz w:val="32"/>
          <w:szCs w:val="32"/>
          <w:highlight w:val="none"/>
          <w:lang w:eastAsia="zh-CN"/>
        </w:rPr>
        <w:t>、党政机关及公共场馆运行维护费</w:t>
      </w:r>
      <w:r>
        <w:rPr>
          <w:rFonts w:hint="eastAsia" w:ascii="仿宋_GB2312" w:hAnsi="仿宋_GB2312" w:eastAsia="仿宋_GB2312" w:cs="仿宋_GB2312"/>
          <w:sz w:val="32"/>
          <w:szCs w:val="32"/>
          <w:highlight w:val="none"/>
        </w:rPr>
        <w:t>等项目纳入一般性支出管理范畴，实施清单化管理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以2023年预算为基数，2024年预算纳入“一般性支出项目清单”的项目总体压减比例不低于20%</w:t>
      </w:r>
      <w:r>
        <w:rPr>
          <w:rFonts w:hint="eastAsia" w:ascii="仿宋_GB2312" w:hAnsi="仿宋_GB2312" w:eastAsia="仿宋_GB2312" w:cs="仿宋_GB2312"/>
          <w:sz w:val="32"/>
          <w:szCs w:val="32"/>
          <w:highlight w:val="none"/>
          <w:lang w:eastAsia="zh-CN"/>
        </w:rPr>
        <w:t>，全区各</w:t>
      </w:r>
      <w:r>
        <w:rPr>
          <w:rFonts w:hint="eastAsia" w:ascii="仿宋_GB2312" w:hAnsi="仿宋_GB2312" w:eastAsia="仿宋_GB2312" w:cs="仿宋_GB2312"/>
          <w:sz w:val="32"/>
          <w:szCs w:val="32"/>
          <w:highlight w:val="none"/>
          <w:lang w:val="en-US" w:eastAsia="zh-CN"/>
        </w:rPr>
        <w:t>预算单位</w:t>
      </w:r>
      <w:r>
        <w:rPr>
          <w:rFonts w:hint="eastAsia" w:ascii="仿宋_GB2312" w:hAnsi="仿宋_GB2312" w:eastAsia="仿宋_GB2312" w:cs="仿宋_GB2312"/>
          <w:sz w:val="32"/>
          <w:szCs w:val="32"/>
          <w:highlight w:val="none"/>
        </w:rPr>
        <w:t>公用经费压减10%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“三公”经费预算继续保持“只减不增”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节约资金用于化解地方债务风险。</w:t>
      </w:r>
    </w:p>
    <w:p>
      <w:pPr>
        <w:snapToGrid w:val="0"/>
        <w:spacing w:line="339" w:lineRule="auto"/>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3.预备费安排情况</w:t>
      </w:r>
    </w:p>
    <w:p>
      <w:pPr>
        <w:snapToGrid w:val="0"/>
        <w:spacing w:line="339" w:lineRule="auto"/>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按照预算法关于设置预备费的规定，2024年预算中安排预备费1500万元，用于预算执行中的自然灾害等突发事件处理增加的支出及其他难以预见的开支。</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sz w:val="32"/>
          <w:szCs w:val="32"/>
          <w:highlight w:val="none"/>
        </w:rPr>
        <w:t>202</w:t>
      </w: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rPr>
        <w:t>年主要财政工作安排</w:t>
      </w:r>
    </w:p>
    <w:p>
      <w:pPr>
        <w:snapToGrid w:val="0"/>
        <w:spacing w:line="339" w:lineRule="auto"/>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sz w:val="32"/>
          <w:szCs w:val="32"/>
          <w:highlight w:val="none"/>
          <w:lang w:val="en-US" w:eastAsia="zh-CN"/>
        </w:rPr>
        <w:t>助力经济高质量发展。</w:t>
      </w:r>
      <w:r>
        <w:rPr>
          <w:rFonts w:hint="eastAsia" w:ascii="仿宋_GB2312" w:hAnsi="仿宋_GB2312" w:eastAsia="仿宋_GB2312" w:cs="仿宋_GB2312"/>
          <w:sz w:val="32"/>
          <w:szCs w:val="32"/>
          <w:highlight w:val="none"/>
          <w:lang w:val="en-US" w:eastAsia="zh-CN"/>
        </w:rPr>
        <w:t>聚焦全面振兴新突破三年行动目标任务，强化资金保障，保持适度的支出强度，确保财政政策资金优先保障三年行动。全面落实进一步稳经济政策举措，落实落细国家新出台和延续实施的税费支持政策，助力企业减负增能更好发展，加大对经济社会发展薄弱环节和关键领域的投入，用好用足政府债券资金，积极扩大有效投资，支持加快产业结构调整，推动全区经济实现质的有效提升和量的合理增长。</w:t>
      </w:r>
    </w:p>
    <w:p>
      <w:pPr>
        <w:snapToGrid w:val="0"/>
        <w:spacing w:line="339" w:lineRule="auto"/>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sz w:val="32"/>
          <w:szCs w:val="32"/>
          <w:highlight w:val="none"/>
          <w:lang w:val="en-US" w:eastAsia="zh-CN"/>
        </w:rPr>
        <w:t>深化预算管理制度改革。</w:t>
      </w:r>
      <w:r>
        <w:rPr>
          <w:rFonts w:hint="eastAsia" w:ascii="仿宋_GB2312" w:hAnsi="仿宋_GB2312" w:eastAsia="仿宋_GB2312" w:cs="仿宋_GB2312"/>
          <w:sz w:val="32"/>
          <w:szCs w:val="32"/>
          <w:highlight w:val="none"/>
        </w:rPr>
        <w:t>严格执行人大批准的预算，</w:t>
      </w:r>
      <w:r>
        <w:rPr>
          <w:rFonts w:hint="eastAsia" w:ascii="仿宋_GB2312" w:hAnsi="仿宋_GB2312" w:eastAsia="仿宋_GB2312" w:cs="仿宋_GB2312"/>
          <w:b w:val="0"/>
          <w:bCs/>
          <w:sz w:val="32"/>
          <w:szCs w:val="32"/>
          <w:highlight w:val="none"/>
          <w:lang w:val="en-US" w:eastAsia="zh-CN"/>
        </w:rPr>
        <w:t>强化预算约束，</w:t>
      </w:r>
      <w:r>
        <w:rPr>
          <w:rFonts w:hint="eastAsia" w:ascii="仿宋_GB2312" w:hAnsi="仿宋_GB2312" w:eastAsia="仿宋_GB2312" w:cs="仿宋_GB2312"/>
          <w:sz w:val="32"/>
          <w:szCs w:val="32"/>
          <w:highlight w:val="none"/>
        </w:rPr>
        <w:t>未安排预算的不得支出，严格预算调剂管理。加快预算下达，优化国库集中收付管理，全面提升资金支付效率。督促部门和单位加强预算收支管理，对预算完整性、规范性、真实性以及执行结果负责。强化项目库的基础支撑作用，做实做细项目储</w:t>
      </w:r>
      <w:bookmarkStart w:id="0" w:name="_GoBack"/>
      <w:bookmarkEnd w:id="0"/>
      <w:r>
        <w:rPr>
          <w:rFonts w:hint="eastAsia" w:ascii="仿宋_GB2312" w:hAnsi="仿宋_GB2312" w:eastAsia="仿宋_GB2312" w:cs="仿宋_GB2312"/>
          <w:sz w:val="32"/>
          <w:szCs w:val="32"/>
          <w:highlight w:val="none"/>
        </w:rPr>
        <w:t>备，确保预算一经批准即可实施，避免出现“钱等项目”。</w:t>
      </w:r>
      <w:r>
        <w:rPr>
          <w:rFonts w:hint="eastAsia" w:ascii="仿宋_GB2312" w:hAnsi="仿宋_GB2312" w:eastAsia="仿宋_GB2312" w:cs="仿宋_GB2312"/>
          <w:sz w:val="32"/>
          <w:szCs w:val="32"/>
          <w:highlight w:val="none"/>
          <w:lang w:val="en-US" w:eastAsia="zh-CN"/>
        </w:rPr>
        <w:t>完善</w:t>
      </w:r>
      <w:r>
        <w:rPr>
          <w:rFonts w:hint="eastAsia" w:ascii="仿宋_GB2312" w:hAnsi="仿宋_GB2312" w:eastAsia="仿宋_GB2312" w:cs="仿宋_GB2312"/>
          <w:sz w:val="32"/>
          <w:szCs w:val="32"/>
          <w:highlight w:val="none"/>
        </w:rPr>
        <w:t>预算管理一体化建设，加强财政运行监测预警，更好服务预算执行和政策落实。加大政府和部门预决算公开力度，优化形式、扩大范围、细化内容，大力推进财政政策公开，主动接受社会监督。</w:t>
      </w:r>
      <w:r>
        <w:rPr>
          <w:rFonts w:hint="eastAsia" w:ascii="仿宋_GB2312" w:hAnsi="仿宋_GB2312" w:eastAsia="仿宋_GB2312" w:cs="仿宋_GB2312"/>
          <w:sz w:val="32"/>
          <w:szCs w:val="32"/>
          <w:highlight w:val="none"/>
          <w:lang w:val="en-US" w:eastAsia="zh-CN"/>
        </w:rPr>
        <w:t>加强</w:t>
      </w:r>
      <w:r>
        <w:rPr>
          <w:rFonts w:hint="eastAsia" w:ascii="仿宋_GB2312" w:hAnsi="仿宋_GB2312" w:eastAsia="仿宋_GB2312" w:cs="仿宋_GB2312"/>
          <w:sz w:val="32"/>
          <w:szCs w:val="32"/>
          <w:highlight w:val="none"/>
        </w:rPr>
        <w:t>预算执行监督，促进财政资金规范安全高效使用。</w:t>
      </w:r>
    </w:p>
    <w:p>
      <w:pPr>
        <w:snapToGrid w:val="0"/>
        <w:spacing w:line="339" w:lineRule="auto"/>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严格落实过紧日子要求。</w:t>
      </w:r>
      <w:r>
        <w:rPr>
          <w:rFonts w:hint="eastAsia" w:ascii="仿宋_GB2312" w:hAnsi="仿宋_GB2312" w:eastAsia="仿宋_GB2312" w:cs="仿宋_GB2312"/>
          <w:sz w:val="32"/>
          <w:szCs w:val="32"/>
          <w:highlight w:val="none"/>
          <w:lang w:val="en-US" w:eastAsia="zh-CN"/>
        </w:rPr>
        <w:t>始终把艰苦奋斗、勤俭节约作为财政工作的指导思想和长期方针，坚持党政机关过紧日子，把牢预算管理、资产配置、政府采购等关口，当好“铁公鸡”、打好“铁算盘”，建立节约型财政保障机制。严格按照2024年“三保”及“三保”外刚性支出项目清单兜牢兜实“三保”底线，确保“三保”优先保障。从严控制一般性支出，严格执行2024年预算纳入“一般性支出项目清单”的项目总体压减比例不低于20%，强化“三公”经费预算管理，不该花的钱一分不花，强化日常监督，提高财政资金使用效益。</w:t>
      </w:r>
    </w:p>
    <w:p>
      <w:pPr>
        <w:snapToGrid w:val="0"/>
        <w:spacing w:line="339" w:lineRule="auto"/>
        <w:ind w:firstLine="643" w:firstLineChars="200"/>
        <w:rPr>
          <w:rFonts w:hint="default" w:ascii="仿宋_GB2312" w:hAnsi="仿宋_GB2312" w:eastAsia="仿宋_GB2312" w:cs="仿宋_GB2312"/>
          <w:b/>
          <w:sz w:val="32"/>
          <w:szCs w:val="32"/>
          <w:highlight w:val="none"/>
          <w:lang w:val="en-US"/>
        </w:rPr>
      </w:pPr>
      <w:r>
        <w:rPr>
          <w:rFonts w:hint="eastAsia" w:ascii="仿宋_GB2312" w:hAnsi="仿宋_GB2312" w:eastAsia="仿宋_GB2312" w:cs="仿宋_GB2312"/>
          <w:b/>
          <w:sz w:val="32"/>
          <w:szCs w:val="32"/>
          <w:highlight w:val="none"/>
          <w:lang w:val="en-US" w:eastAsia="zh-CN"/>
        </w:rPr>
        <w:t>加强政府</w:t>
      </w:r>
      <w:r>
        <w:rPr>
          <w:rFonts w:hint="eastAsia" w:ascii="仿宋_GB2312" w:hAnsi="仿宋_GB2312" w:eastAsia="仿宋_GB2312" w:cs="仿宋_GB2312"/>
          <w:b/>
          <w:sz w:val="32"/>
          <w:szCs w:val="32"/>
          <w:highlight w:val="none"/>
        </w:rPr>
        <w:t>债务管理</w:t>
      </w:r>
      <w:r>
        <w:rPr>
          <w:rFonts w:hint="eastAsia" w:ascii="仿宋_GB2312" w:hAnsi="仿宋_GB2312" w:eastAsia="仿宋_GB2312" w:cs="仿宋_GB2312"/>
          <w:b/>
          <w:sz w:val="32"/>
          <w:szCs w:val="32"/>
          <w:highlight w:val="none"/>
          <w:lang w:eastAsia="zh-CN"/>
        </w:rPr>
        <w:t>。</w:t>
      </w:r>
      <w:r>
        <w:rPr>
          <w:rFonts w:hint="default" w:ascii="Times New Roman" w:hAnsi="Times New Roman" w:eastAsia="仿宋_GB2312" w:cs="Times New Roman"/>
          <w:b w:val="0"/>
          <w:sz w:val="32"/>
          <w:szCs w:val="32"/>
          <w:highlight w:val="none"/>
          <w:lang w:eastAsia="zh-CN"/>
        </w:rPr>
        <w:t>坚持</w:t>
      </w:r>
      <w:r>
        <w:rPr>
          <w:rFonts w:hint="eastAsia" w:ascii="Times New Roman" w:hAnsi="Times New Roman" w:eastAsia="仿宋_GB2312" w:cs="Times New Roman"/>
          <w:b w:val="0"/>
          <w:sz w:val="32"/>
          <w:szCs w:val="32"/>
          <w:highlight w:val="none"/>
          <w:lang w:eastAsia="zh-CN"/>
        </w:rPr>
        <w:t>“</w:t>
      </w:r>
      <w:r>
        <w:rPr>
          <w:rFonts w:hint="default" w:ascii="Times New Roman" w:hAnsi="Times New Roman" w:eastAsia="仿宋_GB2312" w:cs="Times New Roman"/>
          <w:b w:val="0"/>
          <w:bCs w:val="0"/>
          <w:sz w:val="32"/>
          <w:szCs w:val="32"/>
          <w:highlight w:val="none"/>
          <w:u w:val="none"/>
          <w:shd w:val="clear" w:color="auto" w:fill="auto"/>
          <w:lang w:val="en-US" w:eastAsia="zh-CN"/>
        </w:rPr>
        <w:t>一债（类）一策</w:t>
      </w:r>
      <w:r>
        <w:rPr>
          <w:rFonts w:hint="eastAsia" w:ascii="Times New Roman" w:hAnsi="Times New Roman" w:eastAsia="仿宋_GB2312" w:cs="Times New Roman"/>
          <w:b w:val="0"/>
          <w:bCs w:val="0"/>
          <w:sz w:val="32"/>
          <w:szCs w:val="32"/>
          <w:highlight w:val="none"/>
          <w:u w:val="none"/>
          <w:shd w:val="clear" w:color="auto" w:fill="auto"/>
          <w:lang w:val="en-US" w:eastAsia="zh-CN"/>
        </w:rPr>
        <w:t>”</w:t>
      </w:r>
      <w:r>
        <w:rPr>
          <w:rFonts w:hint="default" w:ascii="Times New Roman" w:hAnsi="Times New Roman" w:eastAsia="仿宋_GB2312" w:cs="Times New Roman"/>
          <w:b w:val="0"/>
          <w:bCs w:val="0"/>
          <w:sz w:val="32"/>
          <w:szCs w:val="32"/>
          <w:highlight w:val="none"/>
          <w:u w:val="none"/>
          <w:shd w:val="clear" w:color="auto" w:fill="auto"/>
          <w:lang w:val="en-US" w:eastAsia="zh-CN"/>
        </w:rPr>
        <w:t>原则，</w:t>
      </w:r>
      <w:r>
        <w:rPr>
          <w:rFonts w:hint="default" w:ascii="Times New Roman" w:hAnsi="Times New Roman" w:eastAsia="仿宋_GB2312" w:cs="Times New Roman"/>
          <w:b w:val="0"/>
          <w:bCs w:val="0"/>
          <w:sz w:val="32"/>
          <w:szCs w:val="32"/>
          <w:highlight w:val="none"/>
          <w:lang w:val="en-US" w:eastAsia="zh-CN"/>
        </w:rPr>
        <w:t>编制本地区政府债务化解方案，明确化债目标任务，</w:t>
      </w:r>
      <w:r>
        <w:rPr>
          <w:rFonts w:hint="default" w:ascii="Times New Roman" w:hAnsi="Times New Roman" w:eastAsia="仿宋_GB2312" w:cs="Times New Roman"/>
          <w:sz w:val="32"/>
          <w:szCs w:val="32"/>
          <w:highlight w:val="none"/>
          <w:lang w:val="en-US" w:eastAsia="zh-CN"/>
        </w:rPr>
        <w:t>进一步细化</w:t>
      </w:r>
      <w:r>
        <w:rPr>
          <w:rFonts w:hint="default" w:ascii="Times New Roman" w:hAnsi="Times New Roman" w:eastAsia="仿宋_GB2312" w:cs="Times New Roman"/>
          <w:b w:val="0"/>
          <w:bCs w:val="0"/>
          <w:sz w:val="32"/>
          <w:szCs w:val="32"/>
          <w:highlight w:val="none"/>
          <w:lang w:val="en-US" w:eastAsia="zh-CN"/>
        </w:rPr>
        <w:t>化债</w:t>
      </w:r>
      <w:r>
        <w:rPr>
          <w:rFonts w:hint="default" w:ascii="Times New Roman" w:hAnsi="Times New Roman" w:eastAsia="仿宋_GB2312" w:cs="Times New Roman"/>
          <w:sz w:val="32"/>
          <w:szCs w:val="32"/>
          <w:highlight w:val="none"/>
          <w:lang w:val="en-US" w:eastAsia="zh-CN"/>
        </w:rPr>
        <w:t>方案，逐笔提出偿债计划</w:t>
      </w:r>
      <w:r>
        <w:rPr>
          <w:rFonts w:hint="eastAsia" w:ascii="Times New Roman" w:hAnsi="Times New Roman" w:eastAsia="仿宋_GB2312" w:cs="Times New Roman"/>
          <w:sz w:val="32"/>
          <w:szCs w:val="32"/>
          <w:highlight w:val="none"/>
          <w:lang w:val="en-US" w:eastAsia="zh-CN"/>
        </w:rPr>
        <w:t>。坚决遏制新增隐性债务，妥善化解存量债务，有效缓释债务风险。在国家政策允许范围内，采取市场化方式，对确实难以偿还的到期隐性债务进行个性化的展期或重组，重点缓释非标债务、公开市场债券、高利率债务。积极筹措资金，及时偿还到期债务本息，确保不发生系统性债务风险。</w:t>
      </w:r>
    </w:p>
    <w:p>
      <w:pPr>
        <w:snapToGrid w:val="0"/>
        <w:spacing w:line="339" w:lineRule="auto"/>
        <w:ind w:firstLine="643" w:firstLineChars="200"/>
        <w:rPr>
          <w:rFonts w:hint="eastAsia"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b/>
          <w:sz w:val="32"/>
          <w:szCs w:val="32"/>
          <w:highlight w:val="none"/>
          <w:lang w:val="en-US" w:eastAsia="zh-CN"/>
        </w:rPr>
        <w:t>坚决防范财政运行风险。</w:t>
      </w:r>
      <w:r>
        <w:rPr>
          <w:rFonts w:hint="eastAsia" w:ascii="Times New Roman" w:hAnsi="Times New Roman" w:eastAsia="仿宋_GB2312" w:cs="Times New Roman"/>
          <w:sz w:val="32"/>
          <w:szCs w:val="32"/>
          <w:highlight w:val="none"/>
          <w:lang w:val="en-US" w:eastAsia="zh-CN"/>
        </w:rPr>
        <w:t>严格落实“三保”主体责任，精准调度国库资金，管好用好直达资金，确保“三保”保障不出问题。强化“四本”预算统筹，盘活财政存量资金，大力争取上级支持，努力增加可用财力，优化支出结构，收支两端协同发力，确保全年收支平衡。加强国库资金管理，按照支出项目刚性程度及轻重缓急安排资金，库款保障水平较低时暂停一般性支出，有效化解财政支付风险。全面清理消化暂付款，运用“一事一议一案”方法对暂付款进行穿透式管理，逐笔明确消化措施，逐步归还被占压资金，严格新增暂付款审批程序，实现暂付款减存控增，逐年减少暂付款规模。</w:t>
      </w:r>
    </w:p>
    <w:p>
      <w:pPr>
        <w:snapToGrid w:val="0"/>
        <w:spacing w:line="339" w:lineRule="auto"/>
        <w:ind w:firstLine="643"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lang w:val="en-US" w:eastAsia="zh-CN"/>
        </w:rPr>
        <w:t>强化</w:t>
      </w:r>
      <w:r>
        <w:rPr>
          <w:rFonts w:hint="eastAsia" w:ascii="仿宋_GB2312" w:hAnsi="仿宋_GB2312" w:eastAsia="仿宋_GB2312" w:cs="仿宋_GB2312"/>
          <w:b/>
          <w:sz w:val="32"/>
          <w:szCs w:val="32"/>
          <w:highlight w:val="none"/>
        </w:rPr>
        <w:t>监督</w:t>
      </w:r>
      <w:r>
        <w:rPr>
          <w:rFonts w:hint="eastAsia" w:ascii="仿宋_GB2312" w:hAnsi="仿宋_GB2312" w:eastAsia="仿宋_GB2312" w:cs="仿宋_GB2312"/>
          <w:b/>
          <w:sz w:val="32"/>
          <w:szCs w:val="32"/>
          <w:highlight w:val="none"/>
          <w:lang w:val="en-US" w:eastAsia="zh-CN"/>
        </w:rPr>
        <w:t>提升管理效能</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Cs/>
          <w:sz w:val="32"/>
          <w:szCs w:val="32"/>
          <w:highlight w:val="none"/>
        </w:rPr>
        <w:t>聚焦重大项目、重大战略、重大举措落实落地情况，加大监督力度，建立多方联动的财会监督体系，扎实推进财会监督专项行动走深走实</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进一步提高财政资金使用效益。</w:t>
      </w:r>
      <w:r>
        <w:rPr>
          <w:rFonts w:hint="eastAsia" w:ascii="仿宋_GB2312" w:hAnsi="仿宋_GB2312" w:eastAsia="仿宋_GB2312" w:cs="仿宋_GB2312"/>
          <w:sz w:val="32"/>
          <w:szCs w:val="32"/>
          <w:highlight w:val="none"/>
          <w:lang w:val="en-US" w:eastAsia="zh-CN"/>
        </w:rPr>
        <w:t>贯彻落实区人大及其常委会有关预算决议和审查意见，有针对性地改进和加强财政预算工作，对预算执行中预算收支结构发生重要变化等情况，做好向人大有关方面报告工作。扎实推进审计查出问题整改，建立健全整改工作机制，强化责任落实促进管理效能提升。</w:t>
      </w:r>
    </w:p>
    <w:p>
      <w:pPr>
        <w:snapToGrid w:val="0"/>
        <w:spacing w:line="339" w:lineRule="auto"/>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各位代表，202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年我们将以习近平新时代中国特色社会主义思想为指导，在</w:t>
      </w:r>
      <w:r>
        <w:rPr>
          <w:rFonts w:hint="eastAsia" w:ascii="仿宋_GB2312" w:hAnsi="仿宋_GB2312" w:eastAsia="仿宋_GB2312" w:cs="仿宋_GB2312"/>
          <w:bCs/>
          <w:color w:val="auto"/>
          <w:sz w:val="32"/>
          <w:szCs w:val="32"/>
          <w:highlight w:val="none"/>
          <w:lang w:val="en-US" w:eastAsia="zh-CN"/>
        </w:rPr>
        <w:t>区</w:t>
      </w:r>
      <w:r>
        <w:rPr>
          <w:rFonts w:hint="eastAsia" w:ascii="仿宋_GB2312" w:hAnsi="仿宋_GB2312" w:eastAsia="仿宋_GB2312" w:cs="仿宋_GB2312"/>
          <w:bCs/>
          <w:color w:val="auto"/>
          <w:sz w:val="32"/>
          <w:szCs w:val="32"/>
          <w:highlight w:val="none"/>
        </w:rPr>
        <w:t>委的正确领导下</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在</w:t>
      </w:r>
      <w:r>
        <w:rPr>
          <w:rFonts w:hint="eastAsia" w:ascii="仿宋_GB2312" w:hAnsi="仿宋_GB2312" w:eastAsia="仿宋_GB2312" w:cs="仿宋_GB2312"/>
          <w:bCs/>
          <w:color w:val="auto"/>
          <w:sz w:val="32"/>
          <w:szCs w:val="32"/>
          <w:highlight w:val="none"/>
          <w:lang w:val="en-US" w:eastAsia="zh-CN"/>
        </w:rPr>
        <w:t>区</w:t>
      </w:r>
      <w:r>
        <w:rPr>
          <w:rFonts w:hint="eastAsia" w:ascii="仿宋_GB2312" w:hAnsi="仿宋_GB2312" w:eastAsia="仿宋_GB2312" w:cs="仿宋_GB2312"/>
          <w:bCs/>
          <w:color w:val="auto"/>
          <w:sz w:val="32"/>
          <w:szCs w:val="32"/>
          <w:highlight w:val="none"/>
        </w:rPr>
        <w:t>人大的监督指导下，锚定全面振兴新突破三年行动目标任务，踔厉奋发，埋头苦干，全面提升财政工作水平，努力完成全年各项目标任务，</w:t>
      </w:r>
      <w:r>
        <w:rPr>
          <w:rFonts w:hint="eastAsia" w:ascii="仿宋_GB2312" w:hAnsi="仿宋" w:eastAsia="仿宋_GB2312" w:cs="仿宋"/>
          <w:sz w:val="32"/>
          <w:szCs w:val="32"/>
          <w:highlight w:val="none"/>
          <w:lang w:val="en-US" w:eastAsia="zh-CN"/>
        </w:rPr>
        <w:t>在</w:t>
      </w:r>
      <w:r>
        <w:rPr>
          <w:rFonts w:hint="eastAsia" w:ascii="仿宋_GB2312" w:hAnsi="仿宋_GB2312" w:eastAsia="仿宋_GB2312" w:cs="仿宋_GB2312"/>
          <w:b w:val="0"/>
          <w:bCs w:val="0"/>
          <w:color w:val="auto"/>
          <w:spacing w:val="11"/>
          <w:position w:val="0"/>
          <w:sz w:val="32"/>
          <w:szCs w:val="32"/>
          <w:highlight w:val="none"/>
        </w:rPr>
        <w:t>盘锦建设辽宁全面振兴全方位振兴先行区</w:t>
      </w:r>
      <w:r>
        <w:rPr>
          <w:rFonts w:hint="eastAsia" w:ascii="仿宋_GB2312" w:hAnsi="仿宋_GB2312" w:eastAsia="仿宋_GB2312" w:cs="仿宋_GB2312"/>
          <w:b w:val="0"/>
          <w:bCs w:val="0"/>
          <w:color w:val="auto"/>
          <w:spacing w:val="11"/>
          <w:position w:val="0"/>
          <w:sz w:val="32"/>
          <w:szCs w:val="32"/>
          <w:highlight w:val="none"/>
          <w:lang w:eastAsia="zh-CN"/>
        </w:rPr>
        <w:t>、</w:t>
      </w:r>
      <w:r>
        <w:rPr>
          <w:rFonts w:hint="eastAsia" w:ascii="仿宋_GB2312" w:hAnsi="仿宋_GB2312" w:eastAsia="仿宋_GB2312" w:cs="仿宋_GB2312"/>
          <w:b w:val="0"/>
          <w:bCs w:val="0"/>
          <w:color w:val="auto"/>
          <w:spacing w:val="11"/>
          <w:position w:val="0"/>
          <w:sz w:val="32"/>
          <w:szCs w:val="32"/>
          <w:highlight w:val="none"/>
        </w:rPr>
        <w:t>建设</w:t>
      </w:r>
      <w:r>
        <w:rPr>
          <w:rFonts w:hint="eastAsia" w:ascii="仿宋_GB2312" w:hAnsi="仿宋_GB2312" w:eastAsia="仿宋_GB2312" w:cs="仿宋_GB2312"/>
          <w:b w:val="0"/>
          <w:bCs w:val="0"/>
          <w:color w:val="auto"/>
          <w:spacing w:val="11"/>
          <w:position w:val="0"/>
          <w:sz w:val="32"/>
          <w:szCs w:val="32"/>
          <w:highlight w:val="none"/>
          <w:lang w:eastAsia="zh-CN"/>
        </w:rPr>
        <w:t>高质量发展的现代化北方水城</w:t>
      </w:r>
      <w:r>
        <w:rPr>
          <w:rFonts w:hint="eastAsia" w:ascii="仿宋_GB2312" w:hAnsi="仿宋_GB2312" w:eastAsia="仿宋_GB2312" w:cs="仿宋_GB2312"/>
          <w:bCs/>
          <w:color w:val="auto"/>
          <w:sz w:val="32"/>
          <w:szCs w:val="32"/>
          <w:highlight w:val="none"/>
        </w:rPr>
        <w:t>中展现财政更大的担当和作为。</w:t>
      </w:r>
    </w:p>
    <w:sectPr>
      <w:footerReference r:id="rId3" w:type="default"/>
      <w:pgSz w:w="11906" w:h="16838"/>
      <w:pgMar w:top="2098" w:right="1531" w:bottom="1984" w:left="1531" w:header="851"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10 -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59264;mso-width-relative:page;mso-height-relative:page;" filled="f" stroked="f" coordsize="21600,21600" o:gfxdata="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fJSUXSAAAABwEAAA8AAAAAAAAAAQAgAAAAIgAAAGRycy9kb3du&#10;cmV2LnhtbFBLAQIUABQAAAAIAIdO4kAml5N0zAEAAKcDAAAOAAAAAAAAAAEAIAAAACEBAABkcnMv&#10;ZTJvRG9jLnhtbFBLBQYAAAAABgAGAFkBAABfBQAAAAA=&#10;">
              <v:fill on="f" focussize="0,0"/>
              <v:stroke on="f"/>
              <v:imagedata o:title=""/>
              <o:lock v:ext="edit" aspectratio="f"/>
              <v:textbox inset="0mm,0mm,0mm,0mm" style="mso-fit-shape-to-text:t;">
                <w:txbxContent>
                  <w:p>
                    <w:pPr>
                      <w:pStyle w:val="4"/>
                      <w:jc w:val="center"/>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10 -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TA5YzYzMjM2ZDMwN2FkMDFiYzk1ZjBlMTRmZGIifQ=="/>
  </w:docVars>
  <w:rsids>
    <w:rsidRoot w:val="6E0705D4"/>
    <w:rsid w:val="021E3140"/>
    <w:rsid w:val="02E132C9"/>
    <w:rsid w:val="030D40BE"/>
    <w:rsid w:val="03E47515"/>
    <w:rsid w:val="04836924"/>
    <w:rsid w:val="067C324D"/>
    <w:rsid w:val="06861115"/>
    <w:rsid w:val="08314CF2"/>
    <w:rsid w:val="09CC276F"/>
    <w:rsid w:val="0AE425C6"/>
    <w:rsid w:val="0BA6589B"/>
    <w:rsid w:val="0F0C223F"/>
    <w:rsid w:val="1045133B"/>
    <w:rsid w:val="10916993"/>
    <w:rsid w:val="12EE1703"/>
    <w:rsid w:val="13180F89"/>
    <w:rsid w:val="153E27FD"/>
    <w:rsid w:val="16661BF8"/>
    <w:rsid w:val="17424F59"/>
    <w:rsid w:val="17544E15"/>
    <w:rsid w:val="17D41A49"/>
    <w:rsid w:val="18FE2781"/>
    <w:rsid w:val="1A584361"/>
    <w:rsid w:val="1AAF3F67"/>
    <w:rsid w:val="1B99660A"/>
    <w:rsid w:val="1BCA1FDA"/>
    <w:rsid w:val="1D477216"/>
    <w:rsid w:val="211B39F2"/>
    <w:rsid w:val="22E510FA"/>
    <w:rsid w:val="253F05F7"/>
    <w:rsid w:val="262744A4"/>
    <w:rsid w:val="262B0B7B"/>
    <w:rsid w:val="27AC1848"/>
    <w:rsid w:val="2A4C775B"/>
    <w:rsid w:val="2B441D3C"/>
    <w:rsid w:val="2B7B3A0B"/>
    <w:rsid w:val="2E953036"/>
    <w:rsid w:val="2FE029D7"/>
    <w:rsid w:val="313E04E5"/>
    <w:rsid w:val="31513281"/>
    <w:rsid w:val="31D95D0D"/>
    <w:rsid w:val="3350577D"/>
    <w:rsid w:val="34670FD0"/>
    <w:rsid w:val="35D73F34"/>
    <w:rsid w:val="35EF6E12"/>
    <w:rsid w:val="362F6798"/>
    <w:rsid w:val="373D20BE"/>
    <w:rsid w:val="397A5F75"/>
    <w:rsid w:val="3B185C4C"/>
    <w:rsid w:val="3C8D0477"/>
    <w:rsid w:val="3EC05EAD"/>
    <w:rsid w:val="400E0E9A"/>
    <w:rsid w:val="41FF72F5"/>
    <w:rsid w:val="455B692F"/>
    <w:rsid w:val="461940F5"/>
    <w:rsid w:val="466801EA"/>
    <w:rsid w:val="475F022D"/>
    <w:rsid w:val="491E2E62"/>
    <w:rsid w:val="4A4F4589"/>
    <w:rsid w:val="4DC102F2"/>
    <w:rsid w:val="55157E8C"/>
    <w:rsid w:val="579A4E5F"/>
    <w:rsid w:val="581A46CC"/>
    <w:rsid w:val="583E62F0"/>
    <w:rsid w:val="590666E9"/>
    <w:rsid w:val="590F343D"/>
    <w:rsid w:val="5E363603"/>
    <w:rsid w:val="5F7B38C4"/>
    <w:rsid w:val="60554C43"/>
    <w:rsid w:val="6E0705D4"/>
    <w:rsid w:val="6EF015E7"/>
    <w:rsid w:val="71796D0C"/>
    <w:rsid w:val="732F595E"/>
    <w:rsid w:val="736C08D5"/>
    <w:rsid w:val="746C3BA8"/>
    <w:rsid w:val="76BD1040"/>
    <w:rsid w:val="783F1155"/>
    <w:rsid w:val="79DA35C0"/>
    <w:rsid w:val="7A304D8D"/>
    <w:rsid w:val="7A3B0117"/>
    <w:rsid w:val="7B5B6E40"/>
    <w:rsid w:val="7DBF7925"/>
    <w:rsid w:val="7DE6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autoRedefine/>
    <w:unhideWhenUsed/>
    <w:qFormat/>
    <w:uiPriority w:val="99"/>
    <w:rPr>
      <w:rFonts w:eastAsia="仿宋_GB2312"/>
      <w:sz w:val="32"/>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2023-11-23T02:51:00Z</dcterms:created>
  <dc:creator>大写的苏</dc:creator>
  <cp:lastModifiedBy>既然不是仙难免有杂念</cp:lastModifiedBy>
  <dcterms:modified xsi:type="dcterms:W3CDTF">2023-12-27T08:31:27Z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D5072442CFCD4777BE09B09854B51CED_13</vt:lpwstr>
  </property>
</Properties>
</file>