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宋体" w:eastAsia="仿宋_GB2312" w:cs="黑体"/>
          <w:b/>
          <w:bCs/>
          <w:spacing w:val="20"/>
          <w:w w:val="105"/>
          <w:sz w:val="32"/>
          <w:szCs w:val="32"/>
          <w:lang w:eastAsia="zh-CN"/>
        </w:rPr>
      </w:pPr>
      <w:r>
        <w:rPr>
          <w:rFonts w:hint="eastAsia" w:ascii="仿宋_GB2312" w:hAnsi="宋体" w:eastAsia="仿宋_GB2312" w:cs="黑体"/>
          <w:b/>
          <w:bCs/>
          <w:spacing w:val="20"/>
          <w:w w:val="105"/>
          <w:sz w:val="32"/>
          <w:szCs w:val="32"/>
        </w:rPr>
        <w:t>2023年盘锦市</w:t>
      </w:r>
      <w:r>
        <w:rPr>
          <w:rFonts w:hint="eastAsia" w:ascii="仿宋_GB2312" w:hAnsi="宋体" w:eastAsia="仿宋_GB2312" w:cs="黑体"/>
          <w:b/>
          <w:bCs/>
          <w:spacing w:val="20"/>
          <w:w w:val="105"/>
          <w:sz w:val="32"/>
          <w:szCs w:val="32"/>
          <w:lang w:eastAsia="zh-CN"/>
        </w:rPr>
        <w:t>机动车辆制动液</w:t>
      </w:r>
    </w:p>
    <w:p>
      <w:pPr>
        <w:jc w:val="center"/>
        <w:rPr>
          <w:rFonts w:ascii="仿宋_GB2312" w:hAnsi="宋体" w:eastAsia="仿宋_GB2312" w:cs="黑体"/>
          <w:b/>
          <w:bCs/>
          <w:spacing w:val="20"/>
          <w:w w:val="105"/>
          <w:sz w:val="32"/>
          <w:szCs w:val="32"/>
        </w:rPr>
      </w:pPr>
      <w:r>
        <w:rPr>
          <w:rFonts w:hint="eastAsia" w:ascii="仿宋_GB2312" w:hAnsi="宋体" w:eastAsia="仿宋_GB2312" w:cs="黑体"/>
          <w:b/>
          <w:bCs/>
          <w:spacing w:val="20"/>
          <w:w w:val="105"/>
          <w:sz w:val="32"/>
          <w:szCs w:val="32"/>
        </w:rPr>
        <w:t>产品质量监督抽查实施细则</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1适用范围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本细则适用于盘锦市</w:t>
      </w:r>
      <w:r>
        <w:rPr>
          <w:rFonts w:hint="eastAsia" w:ascii="仿宋_GB2312" w:hAnsi="宋体" w:eastAsia="仿宋_GB2312"/>
          <w:sz w:val="28"/>
          <w:szCs w:val="28"/>
          <w:lang w:eastAsia="zh-CN"/>
        </w:rPr>
        <w:t>机动车辆制动液</w:t>
      </w:r>
      <w:r>
        <w:rPr>
          <w:rFonts w:hint="eastAsia" w:ascii="仿宋_GB2312" w:hAnsi="宋体" w:eastAsia="仿宋_GB2312"/>
          <w:sz w:val="28"/>
          <w:szCs w:val="28"/>
        </w:rPr>
        <w:t>产品质量监督抽查。</w:t>
      </w:r>
      <w:r>
        <w:rPr>
          <w:rFonts w:hint="eastAsia" w:ascii="仿宋_GB2312" w:eastAsia="仿宋_GB2312"/>
          <w:sz w:val="28"/>
          <w:szCs w:val="28"/>
        </w:rPr>
        <w:t>本细则内容包括产品分类、术语和定义、生产企业规模划分、检验依据、抽样、检验要求、判定原则、异议处理。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2 产品分类、术语和定义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2.1 产品分类及代码，见表1。</w:t>
      </w:r>
    </w:p>
    <w:p>
      <w:pPr>
        <w:adjustRightInd w:val="0"/>
        <w:snapToGrid w:val="0"/>
        <w:spacing w:line="594" w:lineRule="exact"/>
        <w:jc w:val="center"/>
        <w:rPr>
          <w:rFonts w:ascii="宋体" w:hAnsi="宋体" w:cs="宋体"/>
          <w:color w:val="000000" w:themeColor="text1"/>
          <w:szCs w:val="21"/>
        </w:rPr>
      </w:pPr>
      <w:r>
        <w:rPr>
          <w:rFonts w:hint="eastAsia" w:ascii="宋体" w:hAnsi="宋体" w:cs="宋体"/>
          <w:color w:val="000000" w:themeColor="text1"/>
          <w:szCs w:val="21"/>
        </w:rPr>
        <w:t>表1 产品分类及代码</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30"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产品分类</w:t>
            </w:r>
          </w:p>
        </w:tc>
        <w:tc>
          <w:tcPr>
            <w:tcW w:w="2130"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一级分类</w:t>
            </w:r>
          </w:p>
        </w:tc>
        <w:tc>
          <w:tcPr>
            <w:tcW w:w="2131"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二级分类</w:t>
            </w:r>
          </w:p>
        </w:tc>
        <w:tc>
          <w:tcPr>
            <w:tcW w:w="2131"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lang w:val="en-US" w:eastAsia="zh-CN"/>
              </w:rPr>
              <w:t>产品名称及编码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30"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分类代码</w:t>
            </w:r>
          </w:p>
        </w:tc>
        <w:tc>
          <w:tcPr>
            <w:tcW w:w="21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240" w:lineRule="auto"/>
              <w:ind w:firstLine="18" w:firstLineChars="9"/>
              <w:jc w:val="center"/>
              <w:textAlignment w:val="auto"/>
              <w:rPr>
                <w:rFonts w:hint="eastAsia" w:ascii="宋体" w:hAnsi="宋体" w:cs="宋体"/>
                <w:bCs/>
                <w:kern w:val="0"/>
                <w:szCs w:val="21"/>
              </w:rPr>
            </w:pPr>
            <w:r>
              <w:rPr>
                <w:rFonts w:hint="eastAsia" w:ascii="宋体" w:hAnsi="宋体" w:eastAsia="宋体" w:cs="宋体"/>
                <w:sz w:val="21"/>
                <w:szCs w:val="21"/>
              </w:rPr>
              <w:t>6</w:t>
            </w:r>
          </w:p>
        </w:tc>
        <w:tc>
          <w:tcPr>
            <w:tcW w:w="213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240" w:lineRule="auto"/>
              <w:ind w:firstLine="18" w:firstLineChars="9"/>
              <w:jc w:val="center"/>
              <w:textAlignment w:val="auto"/>
              <w:rPr>
                <w:rFonts w:hint="default" w:ascii="宋体" w:hAnsi="宋体" w:eastAsia="宋体" w:cs="宋体"/>
                <w:bCs/>
                <w:kern w:val="0"/>
                <w:szCs w:val="21"/>
                <w:lang w:val="en-US" w:eastAsia="zh-CN"/>
              </w:rPr>
            </w:pPr>
            <w:r>
              <w:rPr>
                <w:rFonts w:hint="eastAsia" w:ascii="宋体" w:hAnsi="宋体" w:cs="宋体"/>
                <w:sz w:val="21"/>
                <w:szCs w:val="21"/>
                <w:lang w:val="en-US" w:eastAsia="zh-CN"/>
              </w:rPr>
              <w:t>12</w:t>
            </w:r>
          </w:p>
        </w:tc>
        <w:tc>
          <w:tcPr>
            <w:tcW w:w="213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240" w:lineRule="auto"/>
              <w:ind w:firstLine="18" w:firstLineChars="9"/>
              <w:jc w:val="center"/>
              <w:textAlignment w:val="auto"/>
              <w:rPr>
                <w:rFonts w:hint="default" w:ascii="宋体" w:hAnsi="宋体" w:eastAsia="宋体" w:cs="宋体"/>
                <w:bCs/>
                <w:kern w:val="0"/>
                <w:szCs w:val="21"/>
                <w:lang w:val="en-US" w:eastAsia="zh-CN"/>
              </w:rPr>
            </w:pPr>
            <w:r>
              <w:rPr>
                <w:rFonts w:hint="eastAsia" w:ascii="宋体" w:hAnsi="宋体" w:cs="宋体"/>
                <w:sz w:val="21"/>
                <w:szCs w:val="21"/>
                <w:lang w:val="en-US" w:eastAsia="zh-CN"/>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30"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分类名称</w:t>
            </w:r>
          </w:p>
        </w:tc>
        <w:tc>
          <w:tcPr>
            <w:tcW w:w="21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240" w:lineRule="auto"/>
              <w:ind w:firstLine="18" w:firstLineChars="9"/>
              <w:jc w:val="center"/>
              <w:textAlignment w:val="auto"/>
              <w:rPr>
                <w:rFonts w:hint="eastAsia" w:ascii="宋体" w:hAnsi="宋体" w:cs="宋体"/>
                <w:bCs/>
                <w:kern w:val="0"/>
                <w:szCs w:val="21"/>
              </w:rPr>
            </w:pPr>
            <w:r>
              <w:rPr>
                <w:rFonts w:hint="eastAsia" w:ascii="宋体" w:hAnsi="宋体" w:eastAsia="宋体" w:cs="宋体"/>
                <w:sz w:val="21"/>
                <w:szCs w:val="21"/>
              </w:rPr>
              <w:t>机械及安防</w:t>
            </w:r>
          </w:p>
        </w:tc>
        <w:tc>
          <w:tcPr>
            <w:tcW w:w="213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240" w:lineRule="auto"/>
              <w:ind w:firstLine="18" w:firstLineChars="9"/>
              <w:jc w:val="center"/>
              <w:textAlignment w:val="auto"/>
              <w:rPr>
                <w:rFonts w:hint="eastAsia" w:ascii="宋体" w:hAnsi="宋体" w:cs="宋体"/>
                <w:bCs/>
                <w:kern w:val="0"/>
                <w:szCs w:val="21"/>
              </w:rPr>
            </w:pPr>
            <w:r>
              <w:rPr>
                <w:rFonts w:hint="eastAsia" w:ascii="宋体" w:hAnsi="宋体" w:eastAsia="宋体" w:cs="宋体"/>
                <w:sz w:val="21"/>
                <w:szCs w:val="21"/>
              </w:rPr>
              <w:t>车辆及相关产品</w:t>
            </w:r>
          </w:p>
        </w:tc>
        <w:tc>
          <w:tcPr>
            <w:tcW w:w="213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240" w:lineRule="auto"/>
              <w:ind w:firstLine="18" w:firstLineChars="9"/>
              <w:jc w:val="center"/>
              <w:textAlignment w:val="auto"/>
              <w:rPr>
                <w:rFonts w:hint="eastAsia" w:ascii="宋体" w:hAnsi="宋体" w:eastAsia="宋体" w:cs="宋体"/>
                <w:bCs/>
                <w:kern w:val="0"/>
                <w:szCs w:val="21"/>
                <w:lang w:val="en-US" w:eastAsia="zh-CN"/>
              </w:rPr>
            </w:pPr>
            <w:r>
              <w:rPr>
                <w:rFonts w:hint="eastAsia" w:ascii="宋体" w:hAnsi="宋体" w:eastAsia="宋体" w:cs="宋体"/>
                <w:sz w:val="21"/>
                <w:szCs w:val="21"/>
              </w:rPr>
              <w:t>机动车辆制动液</w:t>
            </w:r>
          </w:p>
        </w:tc>
      </w:tr>
    </w:tbl>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2.2产品种类</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本细则涉及产品种类：</w:t>
      </w:r>
      <w:r>
        <w:rPr>
          <w:rFonts w:hint="eastAsia" w:ascii="仿宋_GB2312" w:hAnsi="宋体" w:eastAsia="仿宋_GB2312"/>
          <w:sz w:val="28"/>
          <w:szCs w:val="28"/>
          <w:lang w:eastAsia="zh-CN"/>
        </w:rPr>
        <w:t>机动车辆制动液</w:t>
      </w:r>
      <w:r>
        <w:rPr>
          <w:rFonts w:hint="eastAsia" w:ascii="仿宋_GB2312" w:hAnsi="宋体" w:eastAsia="仿宋_GB2312"/>
          <w:sz w:val="28"/>
          <w:szCs w:val="28"/>
        </w:rPr>
        <w:t>。</w:t>
      </w:r>
      <w:r>
        <w:rPr>
          <w:rFonts w:hint="eastAsia" w:ascii="仿宋" w:hAnsi="仿宋" w:eastAsia="仿宋" w:cs="仿宋"/>
          <w:sz w:val="28"/>
          <w:szCs w:val="28"/>
        </w:rPr>
        <w:t>机动车辆制动液按工况温度和黏度要求分为HZY3、HZY4、HZY5、HZY6四种级别；经公示现行有效的企业标准、地方标准及产品明示质量要求中规定的特殊牌号。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2.3术语和定义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本细则中所使用的术语和定义同相关引用标准。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3 生产企业规模划分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根据国家统计局印发的相关管理办法，确定企业规模。</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4 检验依据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凡是注明日期的文件，其随后所有的修改单（不包括勘误内容）或修订版均不适用于本细则。凡是不注明日期的文件，其最新版本适用于本细则。</w:t>
      </w:r>
    </w:p>
    <w:p>
      <w:pPr>
        <w:adjustRightInd w:val="0"/>
        <w:snapToGrid w:val="0"/>
        <w:spacing w:line="594"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GB 12981-2012</w:t>
      </w:r>
      <w:r>
        <w:rPr>
          <w:rFonts w:hint="eastAsia" w:ascii="仿宋_GB2312" w:hAnsi="宋体" w:eastAsia="仿宋_GB2312"/>
          <w:sz w:val="28"/>
          <w:szCs w:val="28"/>
          <w:lang w:val="en-US" w:eastAsia="zh-CN"/>
        </w:rPr>
        <w:t xml:space="preserve"> </w:t>
      </w:r>
      <w:r>
        <w:rPr>
          <w:rFonts w:hint="eastAsia" w:ascii="仿宋" w:hAnsi="仿宋" w:eastAsia="仿宋" w:cs="仿宋"/>
          <w:sz w:val="28"/>
          <w:szCs w:val="28"/>
        </w:rPr>
        <w:t>机动车辆制动液</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相关的法律法规、部门规章和规范</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经公示现行有效的企业标准、团体标准和地方标准及产品明示质量要求</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5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5.1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在市场待销产品中随机抽取</w:t>
      </w:r>
      <w:r>
        <w:rPr>
          <w:rFonts w:hint="eastAsia" w:ascii="仿宋_GB2312" w:hAnsi="宋体" w:eastAsia="仿宋_GB2312"/>
          <w:sz w:val="28"/>
          <w:szCs w:val="28"/>
          <w:lang w:val="en-US" w:eastAsia="zh-CN"/>
        </w:rPr>
        <w:t>同一生产厂家按照同一标准</w:t>
      </w:r>
      <w:r>
        <w:rPr>
          <w:rFonts w:hint="eastAsia" w:ascii="仿宋_GB2312" w:hAnsi="宋体" w:eastAsia="仿宋_GB2312"/>
          <w:sz w:val="28"/>
          <w:szCs w:val="28"/>
        </w:rPr>
        <w:t>生产的、同一</w:t>
      </w:r>
      <w:r>
        <w:rPr>
          <w:rFonts w:hint="eastAsia" w:ascii="仿宋_GB2312" w:hAnsi="宋体" w:eastAsia="仿宋_GB2312"/>
          <w:sz w:val="28"/>
          <w:szCs w:val="28"/>
          <w:lang w:val="en-US" w:eastAsia="zh-CN"/>
        </w:rPr>
        <w:t>品牌</w:t>
      </w:r>
      <w:r>
        <w:rPr>
          <w:rFonts w:hint="eastAsia" w:ascii="仿宋_GB2312" w:hAnsi="宋体" w:eastAsia="仿宋_GB2312"/>
          <w:sz w:val="28"/>
          <w:szCs w:val="28"/>
          <w:lang w:eastAsia="zh-CN"/>
        </w:rPr>
        <w:t>、</w:t>
      </w:r>
      <w:r>
        <w:rPr>
          <w:rFonts w:hint="eastAsia" w:ascii="仿宋_GB2312" w:hAnsi="宋体" w:eastAsia="仿宋_GB2312"/>
          <w:sz w:val="28"/>
          <w:szCs w:val="28"/>
        </w:rPr>
        <w:t>同一规格型号，并有产品质量检验合格证明或者以其他形式表明合格的产品。</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 抽样基数及数量</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1</w:t>
      </w:r>
      <w:r>
        <w:rPr>
          <w:rFonts w:hint="eastAsia" w:ascii="仿宋_GB2312" w:hAnsi="宋体" w:eastAsia="仿宋_GB2312"/>
          <w:sz w:val="28"/>
          <w:szCs w:val="28"/>
        </w:rPr>
        <w:t>抽样基数</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抽样基数满足抽样数量即可。</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2</w:t>
      </w:r>
      <w:r>
        <w:rPr>
          <w:rFonts w:hint="eastAsia" w:ascii="仿宋_GB2312" w:hAnsi="宋体" w:eastAsia="仿宋_GB2312"/>
          <w:sz w:val="28"/>
          <w:szCs w:val="28"/>
        </w:rPr>
        <w:t xml:space="preserve"> 抽样数量</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随机抽取样品</w:t>
      </w:r>
      <w:r>
        <w:rPr>
          <w:rFonts w:hint="eastAsia" w:ascii="仿宋_GB2312" w:hAnsi="宋体" w:eastAsia="仿宋_GB2312"/>
          <w:sz w:val="28"/>
          <w:szCs w:val="28"/>
          <w:lang w:val="en-US" w:eastAsia="zh-CN"/>
        </w:rPr>
        <w:t>4L</w:t>
      </w:r>
      <w:r>
        <w:rPr>
          <w:rFonts w:hint="eastAsia" w:ascii="仿宋_GB2312" w:hAnsi="宋体" w:eastAsia="仿宋_GB2312"/>
          <w:sz w:val="28"/>
          <w:szCs w:val="28"/>
        </w:rPr>
        <w:t>，其中</w:t>
      </w:r>
      <w:r>
        <w:rPr>
          <w:rFonts w:hint="eastAsia" w:ascii="仿宋_GB2312" w:hAnsi="宋体" w:eastAsia="仿宋_GB2312"/>
          <w:sz w:val="28"/>
          <w:szCs w:val="28"/>
          <w:lang w:val="en-US" w:eastAsia="zh-CN"/>
        </w:rPr>
        <w:t>2L</w:t>
      </w:r>
      <w:r>
        <w:rPr>
          <w:rFonts w:hint="eastAsia" w:ascii="仿宋_GB2312" w:hAnsi="宋体" w:eastAsia="仿宋_GB2312"/>
          <w:sz w:val="28"/>
          <w:szCs w:val="28"/>
        </w:rPr>
        <w:t>作为检验样品，</w:t>
      </w:r>
      <w:r>
        <w:rPr>
          <w:rFonts w:hint="eastAsia" w:ascii="仿宋_GB2312" w:hAnsi="宋体" w:eastAsia="仿宋_GB2312"/>
          <w:sz w:val="28"/>
          <w:szCs w:val="28"/>
          <w:lang w:val="en-US" w:eastAsia="zh-CN"/>
        </w:rPr>
        <w:t>2L</w:t>
      </w:r>
      <w:r>
        <w:rPr>
          <w:rFonts w:hint="eastAsia" w:ascii="仿宋_GB2312" w:hAnsi="宋体" w:eastAsia="仿宋_GB2312"/>
          <w:sz w:val="28"/>
          <w:szCs w:val="28"/>
        </w:rPr>
        <w:t>作为备用样品，备样可封存在受检单位。</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 样品处置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5.3.1 抽取的样品经抽样人员和受检单位代表在样品上签字后，在抽样现场立即封样，应对检验样品和备用样品分别签封，并分别加贴标识。样品中产品合格证及使用说明等信息要保证完整。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5.3.2 抽样人员封样时，应当采取在外包装上下封口处粘贴封条，并在封条上粘贴透明胶带等防拆封措施。封样前后，对检验样品和备用样品分别留存影像记录。</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5.3.3 样品在运输、存储过程中应保障样品拆封前的签封状态。</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hAnsi="宋体" w:eastAsia="仿宋_GB2312"/>
          <w:sz w:val="28"/>
          <w:szCs w:val="28"/>
        </w:rPr>
        <w:t>5.4 抽样单</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eastAsia="仿宋_GB2312"/>
          <w:sz w:val="28"/>
          <w:szCs w:val="28"/>
          <w:highlight w:val="none"/>
        </w:rPr>
        <w:t>应按有关规定填写抽样单，并记录被抽查产品及企业相关信息。需要被抽企业提供的其他样品信息应注明，并经企业确认。</w:t>
      </w:r>
    </w:p>
    <w:p>
      <w:pPr>
        <w:spacing w:line="360" w:lineRule="auto"/>
        <w:ind w:firstLine="548" w:firstLineChars="196"/>
        <w:contextualSpacing/>
        <w:rPr>
          <w:rFonts w:ascii="仿宋_GB2312" w:hAnsi="宋体" w:eastAsia="仿宋_GB2312"/>
          <w:color w:val="000000"/>
          <w:sz w:val="28"/>
          <w:szCs w:val="28"/>
        </w:rPr>
      </w:pPr>
      <w:r>
        <w:rPr>
          <w:rFonts w:hint="eastAsia" w:ascii="仿宋_GB2312" w:hAnsi="宋体" w:eastAsia="仿宋_GB2312"/>
          <w:sz w:val="28"/>
          <w:szCs w:val="28"/>
        </w:rPr>
        <w:t>5.5</w:t>
      </w:r>
      <w:r>
        <w:rPr>
          <w:rFonts w:hint="eastAsia" w:ascii="仿宋" w:hAnsi="仿宋" w:eastAsia="仿宋" w:cs="仿宋"/>
          <w:sz w:val="28"/>
          <w:szCs w:val="28"/>
        </w:rPr>
        <w:t>样品获取方式</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监督抽查所需的</w:t>
      </w:r>
      <w:r>
        <w:rPr>
          <w:rFonts w:hint="eastAsia" w:ascii="仿宋" w:hAnsi="仿宋" w:eastAsia="仿宋"/>
          <w:sz w:val="28"/>
          <w:szCs w:val="28"/>
          <w:lang w:val="en-US" w:eastAsia="zh-CN"/>
        </w:rPr>
        <w:t>检验</w:t>
      </w:r>
      <w:r>
        <w:rPr>
          <w:rFonts w:hint="eastAsia" w:ascii="仿宋" w:hAnsi="仿宋" w:eastAsia="仿宋"/>
          <w:sz w:val="28"/>
          <w:szCs w:val="28"/>
        </w:rPr>
        <w:t>样品要在受检单位以购买方式获取</w:t>
      </w:r>
      <w:r>
        <w:rPr>
          <w:rFonts w:hint="eastAsia" w:ascii="仿宋" w:hAnsi="仿宋" w:eastAsia="仿宋"/>
          <w:sz w:val="28"/>
          <w:szCs w:val="28"/>
          <w:lang w:eastAsia="zh-CN"/>
        </w:rPr>
        <w:t>，</w:t>
      </w:r>
      <w:r>
        <w:rPr>
          <w:rFonts w:hint="eastAsia" w:ascii="仿宋" w:hAnsi="仿宋" w:eastAsia="仿宋"/>
          <w:sz w:val="28"/>
          <w:szCs w:val="28"/>
        </w:rPr>
        <w:t>受检单位</w:t>
      </w:r>
      <w:r>
        <w:rPr>
          <w:rFonts w:hint="eastAsia" w:ascii="仿宋" w:hAnsi="仿宋" w:eastAsia="仿宋"/>
          <w:sz w:val="28"/>
          <w:szCs w:val="28"/>
          <w:lang w:val="en-US" w:eastAsia="zh-CN"/>
        </w:rPr>
        <w:t>提供收取费用的发票</w:t>
      </w:r>
      <w:r>
        <w:rPr>
          <w:rFonts w:hint="eastAsia" w:ascii="仿宋" w:hAnsi="仿宋" w:eastAsia="仿宋"/>
          <w:sz w:val="28"/>
          <w:szCs w:val="28"/>
        </w:rPr>
        <w:t>。</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备检样品由受检单位先行无偿提供，后续启用备检样品进行复检时，由承担检验的复检机构另行付费购买，受检单位需另行提供发票。</w:t>
      </w:r>
    </w:p>
    <w:p>
      <w:pPr>
        <w:adjustRightInd w:val="0"/>
        <w:snapToGrid w:val="0"/>
        <w:spacing w:line="594" w:lineRule="exact"/>
        <w:ind w:firstLine="560" w:firstLineChars="200"/>
        <w:rPr>
          <w:rFonts w:ascii="仿宋_GB2312" w:hAnsi="宋体" w:eastAsia="仿宋_GB2312"/>
          <w:sz w:val="28"/>
          <w:szCs w:val="28"/>
        </w:rPr>
      </w:pPr>
      <w:bookmarkStart w:id="0" w:name="_GoBack"/>
      <w:bookmarkEnd w:id="0"/>
      <w:r>
        <w:rPr>
          <w:rFonts w:hint="eastAsia" w:ascii="仿宋_GB2312" w:hAnsi="宋体" w:eastAsia="仿宋_GB2312"/>
          <w:sz w:val="28"/>
          <w:szCs w:val="28"/>
        </w:rPr>
        <w:t>5.6抽样注意事项</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 xml:space="preserve">抽样时，抽样人员应当认真核实营业执照等被抽查企业的相关信息，确认企业不存在不得抽样的情形。遇有下列情况之一且能提供有效证明的，不得抽样： </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（1）被抽查企业无监督抽查通知书或者相关文件复印件所列产品的；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（2）有充分证据证明拟抽查的产品是不用于销售的；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（3）产品不涉及强制性标准要求，仅按双方约定的技术要求加工生产，且未执行任何标准的；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（4）有充分证据证明拟抽查的产品为企业用于出口，并且出口合同对产品质量另有规定的；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（5）产品或者标签、包装、说明书标有“试制”“处理”或者“样品”等字样的；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（6）企业提供上级市场监管部门6个月内该种产品的监督抽查抽样单或者合格检验报告的。</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6 检验要求</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6.1 检验项目</w:t>
      </w:r>
    </w:p>
    <w:p>
      <w:pPr>
        <w:spacing w:before="100" w:beforeAutospacing="1" w:after="100" w:afterAutospacing="1"/>
        <w:contextualSpacing/>
        <w:jc w:val="center"/>
        <w:rPr>
          <w:rFonts w:hint="eastAsia" w:ascii="仿宋" w:hAnsi="仿宋" w:eastAsia="仿宋" w:cs="仿宋"/>
          <w:b/>
          <w:color w:val="000000" w:themeColor="text1"/>
          <w:sz w:val="28"/>
          <w:szCs w:val="21"/>
          <w:lang w:eastAsia="zh-CN"/>
        </w:rPr>
      </w:pPr>
      <w:r>
        <w:rPr>
          <w:rFonts w:hint="eastAsia" w:ascii="仿宋" w:hAnsi="仿宋" w:eastAsia="仿宋" w:cs="仿宋"/>
          <w:color w:val="000000" w:themeColor="text1"/>
          <w:szCs w:val="21"/>
        </w:rPr>
        <w:t>表2</w:t>
      </w:r>
      <w:r>
        <w:rPr>
          <w:rFonts w:hint="eastAsia" w:ascii="仿宋" w:hAnsi="仿宋" w:eastAsia="仿宋" w:cs="仿宋"/>
          <w:color w:val="000000" w:themeColor="text1"/>
          <w:szCs w:val="21"/>
          <w:lang w:eastAsia="zh-CN"/>
        </w:rPr>
        <w:t>机动车辆制动液</w:t>
      </w:r>
    </w:p>
    <w:tbl>
      <w:tblPr>
        <w:tblStyle w:val="6"/>
        <w:tblW w:w="84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3119"/>
        <w:gridCol w:w="2167"/>
        <w:gridCol w:w="24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311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167"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414"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1</w:t>
            </w:r>
          </w:p>
        </w:tc>
        <w:tc>
          <w:tcPr>
            <w:tcW w:w="3119" w:type="dxa"/>
            <w:vAlign w:val="center"/>
          </w:tcPr>
          <w:p>
            <w:pPr>
              <w:widowControl/>
              <w:jc w:val="center"/>
              <w:textAlignment w:val="center"/>
              <w:rPr>
                <w:rFonts w:hint="eastAsia" w:ascii="仿宋" w:hAnsi="仿宋" w:eastAsia="仿宋" w:cs="仿宋"/>
                <w:kern w:val="0"/>
                <w:szCs w:val="21"/>
              </w:rPr>
            </w:pPr>
            <w:r>
              <w:rPr>
                <w:rFonts w:hint="eastAsia" w:ascii="仿宋" w:hAnsi="仿宋" w:eastAsia="仿宋" w:cs="仿宋"/>
                <w:kern w:val="0"/>
                <w:szCs w:val="21"/>
              </w:rPr>
              <w:t>运动黏度</w:t>
            </w:r>
          </w:p>
        </w:tc>
        <w:tc>
          <w:tcPr>
            <w:tcW w:w="2167" w:type="dxa"/>
            <w:vAlign w:val="center"/>
          </w:tcPr>
          <w:p>
            <w:pPr>
              <w:jc w:val="center"/>
              <w:rPr>
                <w:rFonts w:hint="eastAsia" w:ascii="仿宋" w:hAnsi="仿宋" w:eastAsia="仿宋" w:cs="仿宋"/>
                <w:kern w:val="0"/>
                <w:szCs w:val="21"/>
              </w:rPr>
            </w:pPr>
            <w:r>
              <w:rPr>
                <w:rFonts w:hint="eastAsia" w:ascii="仿宋" w:hAnsi="仿宋" w:eastAsia="仿宋" w:cs="仿宋"/>
              </w:rPr>
              <w:t>GB 12981-2012</w:t>
            </w:r>
          </w:p>
        </w:tc>
        <w:tc>
          <w:tcPr>
            <w:tcW w:w="2414" w:type="dxa"/>
            <w:vAlign w:val="center"/>
          </w:tcPr>
          <w:p>
            <w:pPr>
              <w:jc w:val="center"/>
              <w:rPr>
                <w:rFonts w:hint="eastAsia" w:ascii="仿宋" w:hAnsi="仿宋" w:eastAsia="仿宋" w:cs="仿宋"/>
                <w:kern w:val="0"/>
                <w:szCs w:val="21"/>
              </w:rPr>
            </w:pPr>
            <w:r>
              <w:rPr>
                <w:rFonts w:hint="eastAsia" w:ascii="仿宋" w:hAnsi="仿宋" w:eastAsia="仿宋" w:cs="仿宋"/>
                <w:kern w:val="0"/>
                <w:szCs w:val="21"/>
              </w:rPr>
              <w:t>GB/T 265-1988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2</w:t>
            </w:r>
          </w:p>
        </w:tc>
        <w:tc>
          <w:tcPr>
            <w:tcW w:w="3119" w:type="dxa"/>
            <w:vAlign w:val="center"/>
          </w:tcPr>
          <w:p>
            <w:pPr>
              <w:widowControl/>
              <w:jc w:val="center"/>
              <w:textAlignment w:val="center"/>
              <w:rPr>
                <w:rFonts w:hint="eastAsia" w:ascii="仿宋" w:hAnsi="仿宋" w:eastAsia="仿宋" w:cs="仿宋"/>
                <w:kern w:val="0"/>
                <w:szCs w:val="21"/>
              </w:rPr>
            </w:pPr>
            <w:r>
              <w:rPr>
                <w:rFonts w:hint="eastAsia" w:ascii="仿宋" w:hAnsi="仿宋" w:eastAsia="仿宋" w:cs="仿宋"/>
                <w:kern w:val="0"/>
                <w:szCs w:val="21"/>
              </w:rPr>
              <w:t>pH值</w:t>
            </w:r>
          </w:p>
        </w:tc>
        <w:tc>
          <w:tcPr>
            <w:tcW w:w="2167" w:type="dxa"/>
            <w:vAlign w:val="center"/>
          </w:tcPr>
          <w:p>
            <w:pPr>
              <w:jc w:val="center"/>
              <w:rPr>
                <w:rFonts w:hint="eastAsia" w:ascii="仿宋" w:hAnsi="仿宋" w:eastAsia="仿宋" w:cs="仿宋"/>
                <w:kern w:val="0"/>
                <w:szCs w:val="21"/>
              </w:rPr>
            </w:pPr>
            <w:r>
              <w:rPr>
                <w:rFonts w:hint="eastAsia" w:ascii="仿宋" w:hAnsi="仿宋" w:eastAsia="仿宋" w:cs="仿宋"/>
              </w:rPr>
              <w:t>GB 12981-2012</w:t>
            </w:r>
          </w:p>
        </w:tc>
        <w:tc>
          <w:tcPr>
            <w:tcW w:w="2414" w:type="dxa"/>
            <w:vAlign w:val="center"/>
          </w:tcPr>
          <w:p>
            <w:pPr>
              <w:jc w:val="center"/>
              <w:rPr>
                <w:rFonts w:hint="eastAsia" w:ascii="仿宋" w:hAnsi="仿宋" w:eastAsia="仿宋" w:cs="仿宋"/>
                <w:kern w:val="0"/>
                <w:szCs w:val="21"/>
              </w:rPr>
            </w:pPr>
            <w:r>
              <w:rPr>
                <w:rFonts w:hint="eastAsia" w:ascii="仿宋" w:hAnsi="仿宋" w:eastAsia="仿宋" w:cs="仿宋"/>
                <w:kern w:val="0"/>
                <w:szCs w:val="21"/>
              </w:rPr>
              <w:t>GB 12981-2012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3</w:t>
            </w:r>
          </w:p>
        </w:tc>
        <w:tc>
          <w:tcPr>
            <w:tcW w:w="3119" w:type="dxa"/>
            <w:vAlign w:val="center"/>
          </w:tcPr>
          <w:p>
            <w:pPr>
              <w:widowControl/>
              <w:jc w:val="center"/>
              <w:textAlignment w:val="center"/>
              <w:rPr>
                <w:rFonts w:hint="eastAsia" w:ascii="仿宋" w:hAnsi="仿宋" w:eastAsia="仿宋" w:cs="仿宋"/>
                <w:kern w:val="0"/>
                <w:szCs w:val="21"/>
              </w:rPr>
            </w:pPr>
            <w:r>
              <w:rPr>
                <w:rFonts w:hint="eastAsia" w:ascii="仿宋" w:hAnsi="仿宋" w:eastAsia="仿宋" w:cs="仿宋"/>
                <w:kern w:val="0"/>
                <w:szCs w:val="21"/>
              </w:rPr>
              <w:t>蒸发性能</w:t>
            </w:r>
          </w:p>
        </w:tc>
        <w:tc>
          <w:tcPr>
            <w:tcW w:w="2167" w:type="dxa"/>
            <w:vAlign w:val="center"/>
          </w:tcPr>
          <w:p>
            <w:pPr>
              <w:jc w:val="center"/>
              <w:rPr>
                <w:rFonts w:hint="eastAsia" w:ascii="仿宋" w:hAnsi="仿宋" w:eastAsia="仿宋" w:cs="仿宋"/>
                <w:kern w:val="0"/>
                <w:szCs w:val="21"/>
              </w:rPr>
            </w:pPr>
            <w:r>
              <w:rPr>
                <w:rFonts w:hint="eastAsia" w:ascii="仿宋" w:hAnsi="仿宋" w:eastAsia="仿宋" w:cs="仿宋"/>
              </w:rPr>
              <w:t>GB 12981-2012</w:t>
            </w:r>
          </w:p>
        </w:tc>
        <w:tc>
          <w:tcPr>
            <w:tcW w:w="2414" w:type="dxa"/>
            <w:vAlign w:val="center"/>
          </w:tcPr>
          <w:p>
            <w:pPr>
              <w:jc w:val="center"/>
              <w:rPr>
                <w:rFonts w:hint="eastAsia" w:ascii="仿宋" w:hAnsi="仿宋" w:eastAsia="仿宋" w:cs="仿宋"/>
                <w:kern w:val="0"/>
                <w:szCs w:val="21"/>
              </w:rPr>
            </w:pPr>
            <w:r>
              <w:rPr>
                <w:rFonts w:hint="eastAsia" w:ascii="仿宋" w:hAnsi="仿宋" w:eastAsia="仿宋" w:cs="仿宋"/>
                <w:kern w:val="0"/>
                <w:szCs w:val="21"/>
              </w:rPr>
              <w:t>GB 12981-2012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4</w:t>
            </w:r>
          </w:p>
        </w:tc>
        <w:tc>
          <w:tcPr>
            <w:tcW w:w="3119" w:type="dxa"/>
            <w:vAlign w:val="center"/>
          </w:tcPr>
          <w:p>
            <w:pPr>
              <w:widowControl/>
              <w:jc w:val="center"/>
              <w:textAlignment w:val="center"/>
              <w:rPr>
                <w:rFonts w:hint="eastAsia" w:ascii="仿宋" w:hAnsi="仿宋" w:eastAsia="仿宋" w:cs="仿宋"/>
                <w:kern w:val="0"/>
                <w:szCs w:val="21"/>
              </w:rPr>
            </w:pPr>
            <w:r>
              <w:rPr>
                <w:rFonts w:hint="eastAsia" w:ascii="仿宋" w:hAnsi="仿宋" w:eastAsia="仿宋" w:cs="仿宋"/>
                <w:kern w:val="0"/>
                <w:szCs w:val="21"/>
              </w:rPr>
              <w:t>湿平衡回流沸点</w:t>
            </w:r>
          </w:p>
        </w:tc>
        <w:tc>
          <w:tcPr>
            <w:tcW w:w="2167" w:type="dxa"/>
            <w:vAlign w:val="center"/>
          </w:tcPr>
          <w:p>
            <w:pPr>
              <w:jc w:val="center"/>
              <w:rPr>
                <w:rFonts w:hint="eastAsia" w:ascii="仿宋" w:hAnsi="仿宋" w:eastAsia="仿宋" w:cs="仿宋"/>
                <w:kern w:val="0"/>
                <w:szCs w:val="21"/>
              </w:rPr>
            </w:pPr>
            <w:r>
              <w:rPr>
                <w:rFonts w:hint="eastAsia" w:ascii="仿宋" w:hAnsi="仿宋" w:eastAsia="仿宋" w:cs="仿宋"/>
              </w:rPr>
              <w:t>GB 12981-2012</w:t>
            </w:r>
          </w:p>
        </w:tc>
        <w:tc>
          <w:tcPr>
            <w:tcW w:w="2414" w:type="dxa"/>
            <w:vAlign w:val="center"/>
          </w:tcPr>
          <w:p>
            <w:pPr>
              <w:jc w:val="center"/>
              <w:rPr>
                <w:rFonts w:hint="eastAsia" w:ascii="仿宋" w:hAnsi="仿宋" w:eastAsia="仿宋" w:cs="仿宋"/>
                <w:kern w:val="0"/>
                <w:szCs w:val="21"/>
              </w:rPr>
            </w:pPr>
            <w:r>
              <w:rPr>
                <w:rFonts w:hint="eastAsia" w:ascii="仿宋" w:hAnsi="仿宋" w:eastAsia="仿宋" w:cs="仿宋"/>
                <w:kern w:val="0"/>
                <w:szCs w:val="21"/>
              </w:rPr>
              <w:t>GB 12981-2012</w:t>
            </w:r>
          </w:p>
          <w:p>
            <w:pPr>
              <w:jc w:val="center"/>
              <w:rPr>
                <w:rFonts w:hint="eastAsia" w:ascii="仿宋" w:hAnsi="仿宋" w:eastAsia="仿宋" w:cs="仿宋"/>
                <w:kern w:val="0"/>
                <w:szCs w:val="21"/>
              </w:rPr>
            </w:pPr>
            <w:r>
              <w:rPr>
                <w:rFonts w:hint="eastAsia" w:ascii="仿宋" w:hAnsi="仿宋" w:eastAsia="仿宋" w:cs="仿宋"/>
                <w:kern w:val="0"/>
                <w:szCs w:val="21"/>
              </w:rPr>
              <w:t>NB/SH/T 0430-2019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59" w:type="dxa"/>
            <w:gridSpan w:val="4"/>
            <w:vAlign w:val="center"/>
          </w:tcPr>
          <w:p>
            <w:pPr>
              <w:jc w:val="left"/>
              <w:rPr>
                <w:rFonts w:hint="eastAsia" w:ascii="仿宋" w:hAnsi="仿宋" w:eastAsia="仿宋" w:cs="仿宋"/>
                <w:kern w:val="0"/>
                <w:szCs w:val="21"/>
              </w:rPr>
            </w:pPr>
            <w:r>
              <w:rPr>
                <w:rFonts w:hint="eastAsia" w:ascii="仿宋" w:hAnsi="仿宋" w:eastAsia="仿宋" w:cs="仿宋"/>
                <w:bCs/>
                <w:kern w:val="0"/>
                <w:szCs w:val="21"/>
                <w:lang w:val="en-US" w:eastAsia="zh-CN"/>
              </w:rPr>
              <w:t>备注：根据实际样品，仅对适用项目进行检测。</w:t>
            </w:r>
          </w:p>
        </w:tc>
      </w:tr>
    </w:tbl>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6.2 检验应注意的问题</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若被检产品明示的质量要求高于本细则中检验项目依据的标准要求时，应按被检产品明示的质量要求判定。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若被检产品明示的质量要求低于本细则中检验项目依据的强制性标准要求时，应按照强制性标准要求判定。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若被检产品明示的质量要求低于或包含本细则中检验项目依据的推荐性标准要求时，应以被检产品明示的质量要求判定。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若被检产品明示的质量要求缺少本细则中检验项目依据的推荐性标准要求时，该项目不参与判定，但应在检验报告备注中进行说明。</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7 判定原则</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经检验，检验项目全部合格，判定为被抽查产品所检项目未发现不合格；检验项目中任一项或一项以上不合格，判定为被抽查产品不合格。</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8 异议处理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对判定不合格产品进行异议处理时，按以下方式进行：</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8.1 核查不合格项目相关证据，能够以记录（纸质记录或电子记录或影像记录）或与不合格项目相关联的其他质量数据等检验证据证明。</w:t>
      </w:r>
    </w:p>
    <w:p>
      <w:pPr>
        <w:adjustRightInd w:val="0"/>
        <w:snapToGrid w:val="0"/>
        <w:spacing w:line="594" w:lineRule="exact"/>
        <w:ind w:firstLine="560" w:firstLineChars="200"/>
      </w:pPr>
      <w:r>
        <w:rPr>
          <w:rFonts w:hint="eastAsia" w:ascii="仿宋_GB2312" w:hAnsi="宋体" w:eastAsia="仿宋_GB2312"/>
          <w:sz w:val="28"/>
          <w:szCs w:val="28"/>
        </w:rPr>
        <w:t>8.2 对需要复检并具备检验条件的，处理企业异议的市场监督部门或者指定检验机构应当按原监督抽查细则对留存的样品或抽取的备用样品组织复检，复检项目如有仲裁法需用仲裁法进行复检，并出具检验报告。复检结论为最终结论。</w:t>
      </w:r>
    </w:p>
    <w:sectPr>
      <w:footerReference r:id="rId3" w:type="default"/>
      <w:pgSz w:w="11906" w:h="16838"/>
      <w:pgMar w:top="1701" w:right="1644" w:bottom="1701" w:left="164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3"/>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WEwYTMyY2IzMGNjYjI2OTAzN2ZiZjQyYjU1NmQ5M2UifQ=="/>
  </w:docVars>
  <w:rsids>
    <w:rsidRoot w:val="00ED17A4"/>
    <w:rsid w:val="000A792A"/>
    <w:rsid w:val="000B3688"/>
    <w:rsid w:val="00102FBB"/>
    <w:rsid w:val="001220BC"/>
    <w:rsid w:val="00137A14"/>
    <w:rsid w:val="001F0471"/>
    <w:rsid w:val="0023054C"/>
    <w:rsid w:val="00242E68"/>
    <w:rsid w:val="00250078"/>
    <w:rsid w:val="00276786"/>
    <w:rsid w:val="002D1230"/>
    <w:rsid w:val="002D5C82"/>
    <w:rsid w:val="00306B86"/>
    <w:rsid w:val="00354872"/>
    <w:rsid w:val="003A0A4F"/>
    <w:rsid w:val="003D5C3F"/>
    <w:rsid w:val="003E4442"/>
    <w:rsid w:val="004037DF"/>
    <w:rsid w:val="00412888"/>
    <w:rsid w:val="00473F47"/>
    <w:rsid w:val="00496213"/>
    <w:rsid w:val="004A57D4"/>
    <w:rsid w:val="004A6B42"/>
    <w:rsid w:val="004B2036"/>
    <w:rsid w:val="004F3E65"/>
    <w:rsid w:val="00512565"/>
    <w:rsid w:val="0052448A"/>
    <w:rsid w:val="00541242"/>
    <w:rsid w:val="005A5903"/>
    <w:rsid w:val="005B30C2"/>
    <w:rsid w:val="005B63DA"/>
    <w:rsid w:val="005C0DA4"/>
    <w:rsid w:val="005C5FF2"/>
    <w:rsid w:val="005D7406"/>
    <w:rsid w:val="00614AA5"/>
    <w:rsid w:val="006252FC"/>
    <w:rsid w:val="006A562F"/>
    <w:rsid w:val="006A6077"/>
    <w:rsid w:val="006C5591"/>
    <w:rsid w:val="007519E9"/>
    <w:rsid w:val="007D10B7"/>
    <w:rsid w:val="00800354"/>
    <w:rsid w:val="00851B00"/>
    <w:rsid w:val="008B0205"/>
    <w:rsid w:val="008D61A5"/>
    <w:rsid w:val="008E5366"/>
    <w:rsid w:val="008F7275"/>
    <w:rsid w:val="009462D1"/>
    <w:rsid w:val="00946FB2"/>
    <w:rsid w:val="00A0137D"/>
    <w:rsid w:val="00A777E6"/>
    <w:rsid w:val="00A87538"/>
    <w:rsid w:val="00B052C5"/>
    <w:rsid w:val="00B76969"/>
    <w:rsid w:val="00B85F31"/>
    <w:rsid w:val="00B90EF6"/>
    <w:rsid w:val="00BA0E25"/>
    <w:rsid w:val="00BB1FFC"/>
    <w:rsid w:val="00BB48ED"/>
    <w:rsid w:val="00BD4633"/>
    <w:rsid w:val="00C75839"/>
    <w:rsid w:val="00D64CD9"/>
    <w:rsid w:val="00DA76AE"/>
    <w:rsid w:val="00E0063A"/>
    <w:rsid w:val="00EB0B2B"/>
    <w:rsid w:val="00ED17A4"/>
    <w:rsid w:val="00EF30B8"/>
    <w:rsid w:val="00F9294E"/>
    <w:rsid w:val="00FA172B"/>
    <w:rsid w:val="00FA37BE"/>
    <w:rsid w:val="00FF4973"/>
    <w:rsid w:val="02BD4475"/>
    <w:rsid w:val="08705141"/>
    <w:rsid w:val="0A401166"/>
    <w:rsid w:val="0E9D78D8"/>
    <w:rsid w:val="0F4C4023"/>
    <w:rsid w:val="1E270C30"/>
    <w:rsid w:val="2F0C34CC"/>
    <w:rsid w:val="42193B43"/>
    <w:rsid w:val="4757545E"/>
    <w:rsid w:val="4FA42C81"/>
    <w:rsid w:val="527D2A26"/>
    <w:rsid w:val="592528B3"/>
    <w:rsid w:val="60BD0047"/>
    <w:rsid w:val="64392943"/>
    <w:rsid w:val="715D3C37"/>
    <w:rsid w:val="DEBD81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qFormat/>
    <w:uiPriority w:val="99"/>
    <w:rPr>
      <w:rFonts w:ascii="Calibri" w:hAnsi="Calibri" w:eastAsia="宋体" w:cs="Times New Roman"/>
      <w:sz w:val="18"/>
      <w:szCs w:val="18"/>
    </w:rPr>
  </w:style>
  <w:style w:type="character" w:customStyle="1" w:styleId="9">
    <w:name w:val="页脚 字符"/>
    <w:basedOn w:val="7"/>
    <w:link w:val="3"/>
    <w:qFormat/>
    <w:uiPriority w:val="99"/>
    <w:rPr>
      <w:rFonts w:ascii="Calibri" w:hAnsi="Calibri" w:eastAsia="宋体" w:cs="Times New Roman"/>
      <w:sz w:val="18"/>
      <w:szCs w:val="18"/>
    </w:rPr>
  </w:style>
  <w:style w:type="paragraph" w:styleId="10">
    <w:name w:val="List Paragraph"/>
    <w:basedOn w:val="1"/>
    <w:qFormat/>
    <w:uiPriority w:val="34"/>
    <w:pPr>
      <w:ind w:firstLine="420" w:firstLineChars="200"/>
    </w:pPr>
  </w:style>
  <w:style w:type="paragraph" w:customStyle="1" w:styleId="11">
    <w:name w:val="_Style 3"/>
    <w:basedOn w:val="1"/>
    <w:qFormat/>
    <w:uiPriority w:val="0"/>
    <w:pPr>
      <w:ind w:firstLine="200" w:firstLineChars="200"/>
    </w:pPr>
    <w:rPr>
      <w:rFonts w:ascii="Times New Roman" w:hAnsi="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6</Pages>
  <Words>386</Words>
  <Characters>2204</Characters>
  <Lines>18</Lines>
  <Paragraphs>5</Paragraphs>
  <TotalTime>0</TotalTime>
  <ScaleCrop>false</ScaleCrop>
  <LinksUpToDate>false</LinksUpToDate>
  <CharactersWithSpaces>2585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2021-06-04T10:32:00Z</dcterms:created>
  <dc:creator>侯烨</dc:creator>
  <cp:lastModifiedBy>朱正</cp:lastModifiedBy>
  <cp:lastPrinted>2021-06-04T10:15:00Z</cp:lastPrinted>
  <dcterms:modified xsi:type="dcterms:W3CDTF">2023-11-09T14:02:59Z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DD9C1DF26ADD4F5F93E80E077B98E5C3</vt:lpwstr>
  </property>
</Properties>
</file>