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E4" w:rsidRDefault="008746E4"/>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rFonts w:ascii="宋体"/>
          <w:b/>
          <w:sz w:val="52"/>
          <w:szCs w:val="52"/>
        </w:rPr>
      </w:pPr>
    </w:p>
    <w:p w:rsidR="008746E4" w:rsidRDefault="008746E4" w:rsidP="008746E4">
      <w:pPr>
        <w:spacing w:line="540" w:lineRule="exact"/>
        <w:jc w:val="center"/>
        <w:rPr>
          <w:rFonts w:ascii="宋体"/>
          <w:b/>
          <w:sz w:val="52"/>
          <w:szCs w:val="52"/>
        </w:rPr>
      </w:pPr>
    </w:p>
    <w:p w:rsidR="008746E4" w:rsidRDefault="008746E4" w:rsidP="008746E4">
      <w:pPr>
        <w:spacing w:line="540" w:lineRule="exact"/>
        <w:jc w:val="center"/>
        <w:rPr>
          <w:rFonts w:ascii="宋体"/>
          <w:b/>
          <w:sz w:val="52"/>
          <w:szCs w:val="52"/>
        </w:rPr>
      </w:pPr>
    </w:p>
    <w:p w:rsidR="008746E4" w:rsidRDefault="008746E4" w:rsidP="008746E4">
      <w:pPr>
        <w:spacing w:line="540" w:lineRule="exact"/>
        <w:jc w:val="center"/>
        <w:rPr>
          <w:rFonts w:ascii="宋体"/>
          <w:b/>
          <w:sz w:val="52"/>
          <w:szCs w:val="52"/>
        </w:rPr>
      </w:pPr>
    </w:p>
    <w:p w:rsidR="008746E4" w:rsidRDefault="008746E4" w:rsidP="008746E4">
      <w:pPr>
        <w:spacing w:line="540" w:lineRule="exact"/>
        <w:ind w:firstLineChars="200" w:firstLine="1044"/>
        <w:rPr>
          <w:rFonts w:ascii="宋体"/>
          <w:b/>
          <w:sz w:val="52"/>
          <w:szCs w:val="52"/>
        </w:rPr>
      </w:pPr>
      <w:r>
        <w:rPr>
          <w:rFonts w:ascii="宋体" w:hAnsi="宋体" w:hint="eastAsia"/>
          <w:b/>
          <w:sz w:val="52"/>
          <w:szCs w:val="52"/>
        </w:rPr>
        <w:t>中共盘锦市纪律检查委员会</w:t>
      </w:r>
    </w:p>
    <w:p w:rsidR="008746E4" w:rsidRDefault="008746E4" w:rsidP="008746E4">
      <w:pPr>
        <w:spacing w:line="540" w:lineRule="exact"/>
        <w:ind w:firstLineChars="200" w:firstLine="1044"/>
        <w:rPr>
          <w:rFonts w:ascii="宋体"/>
          <w:b/>
          <w:sz w:val="52"/>
          <w:szCs w:val="52"/>
        </w:rPr>
      </w:pPr>
      <w:r>
        <w:rPr>
          <w:b/>
          <w:sz w:val="52"/>
          <w:szCs w:val="52"/>
        </w:rPr>
        <w:t>202</w:t>
      </w:r>
      <w:r>
        <w:rPr>
          <w:rFonts w:hint="eastAsia"/>
          <w:b/>
          <w:sz w:val="52"/>
          <w:szCs w:val="52"/>
        </w:rPr>
        <w:t>2</w:t>
      </w:r>
      <w:r>
        <w:rPr>
          <w:rFonts w:ascii="宋体" w:hAnsi="宋体" w:hint="eastAsia"/>
          <w:b/>
          <w:sz w:val="52"/>
          <w:szCs w:val="52"/>
        </w:rPr>
        <w:t>年度部门决算公开说明</w:t>
      </w:r>
    </w:p>
    <w:p w:rsidR="008746E4" w:rsidRDefault="008746E4" w:rsidP="008746E4">
      <w:pPr>
        <w:spacing w:line="540" w:lineRule="exact"/>
        <w:ind w:leftChars="868" w:left="1823" w:firstLineChars="1350" w:firstLine="7047"/>
        <w:rPr>
          <w:rFonts w:ascii="宋体"/>
          <w:b/>
          <w:sz w:val="52"/>
          <w:szCs w:val="52"/>
        </w:rPr>
      </w:pPr>
    </w:p>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b/>
          <w:color w:val="FF0000"/>
          <w:sz w:val="44"/>
          <w:szCs w:val="44"/>
        </w:rPr>
      </w:pPr>
    </w:p>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b/>
          <w:sz w:val="44"/>
          <w:szCs w:val="44"/>
          <w:u w:val="single"/>
        </w:rPr>
      </w:pPr>
    </w:p>
    <w:p w:rsidR="008746E4" w:rsidRDefault="008746E4" w:rsidP="008746E4">
      <w:pPr>
        <w:spacing w:line="540" w:lineRule="exact"/>
        <w:jc w:val="center"/>
        <w:rPr>
          <w:b/>
          <w:sz w:val="44"/>
          <w:szCs w:val="44"/>
        </w:rPr>
      </w:pPr>
    </w:p>
    <w:p w:rsidR="008746E4" w:rsidRDefault="008746E4" w:rsidP="008746E4">
      <w:pPr>
        <w:spacing w:line="540" w:lineRule="exact"/>
        <w:jc w:val="center"/>
        <w:rPr>
          <w:b/>
          <w:sz w:val="44"/>
          <w:szCs w:val="44"/>
        </w:rPr>
      </w:pPr>
    </w:p>
    <w:p w:rsidR="008746E4" w:rsidRDefault="008746E4" w:rsidP="008746E4">
      <w:pPr>
        <w:spacing w:line="540" w:lineRule="exact"/>
        <w:jc w:val="center"/>
        <w:rPr>
          <w:b/>
          <w:sz w:val="44"/>
          <w:szCs w:val="44"/>
        </w:rPr>
      </w:pPr>
    </w:p>
    <w:p w:rsidR="008746E4" w:rsidRDefault="008746E4" w:rsidP="008746E4">
      <w:pPr>
        <w:spacing w:line="540" w:lineRule="exact"/>
        <w:jc w:val="center"/>
        <w:rPr>
          <w:b/>
          <w:sz w:val="44"/>
          <w:szCs w:val="44"/>
        </w:rPr>
      </w:pPr>
    </w:p>
    <w:p w:rsidR="008746E4" w:rsidRDefault="008746E4" w:rsidP="008746E4">
      <w:pPr>
        <w:spacing w:line="540" w:lineRule="exact"/>
        <w:jc w:val="center"/>
        <w:rPr>
          <w:b/>
          <w:sz w:val="44"/>
          <w:szCs w:val="44"/>
        </w:rPr>
      </w:pPr>
    </w:p>
    <w:p w:rsidR="008746E4" w:rsidRDefault="008746E4" w:rsidP="008746E4">
      <w:pPr>
        <w:spacing w:line="540" w:lineRule="exact"/>
        <w:jc w:val="center"/>
        <w:rPr>
          <w:b/>
          <w:sz w:val="44"/>
          <w:szCs w:val="44"/>
        </w:rPr>
      </w:pPr>
    </w:p>
    <w:p w:rsidR="00946CB0" w:rsidRDefault="00946CB0" w:rsidP="008746E4">
      <w:pPr>
        <w:spacing w:line="540" w:lineRule="exact"/>
        <w:jc w:val="center"/>
        <w:rPr>
          <w:rFonts w:hint="eastAsia"/>
          <w:b/>
          <w:sz w:val="44"/>
          <w:szCs w:val="44"/>
        </w:rPr>
      </w:pPr>
    </w:p>
    <w:p w:rsidR="008746E4" w:rsidRDefault="008746E4" w:rsidP="008746E4">
      <w:pPr>
        <w:spacing w:line="540" w:lineRule="exact"/>
        <w:jc w:val="center"/>
        <w:rPr>
          <w:b/>
          <w:sz w:val="44"/>
          <w:szCs w:val="44"/>
        </w:rPr>
      </w:pPr>
      <w:r>
        <w:rPr>
          <w:rFonts w:hint="eastAsia"/>
          <w:b/>
          <w:sz w:val="44"/>
          <w:szCs w:val="44"/>
        </w:rPr>
        <w:lastRenderedPageBreak/>
        <w:t>目录</w:t>
      </w:r>
    </w:p>
    <w:p w:rsidR="008746E4" w:rsidRDefault="008746E4" w:rsidP="008746E4">
      <w:pPr>
        <w:spacing w:line="540" w:lineRule="exact"/>
        <w:rPr>
          <w:b/>
          <w:sz w:val="44"/>
          <w:szCs w:val="44"/>
          <w:u w:val="single"/>
        </w:rPr>
      </w:pPr>
    </w:p>
    <w:p w:rsidR="008746E4" w:rsidRDefault="008746E4" w:rsidP="008746E4">
      <w:pPr>
        <w:spacing w:line="540" w:lineRule="exact"/>
        <w:rPr>
          <w:rFonts w:ascii="黑体" w:eastAsia="黑体" w:hAnsi="黑体"/>
          <w:sz w:val="32"/>
          <w:szCs w:val="32"/>
        </w:rPr>
      </w:pPr>
      <w:r>
        <w:rPr>
          <w:rFonts w:ascii="黑体" w:eastAsia="黑体" w:hAnsi="黑体" w:hint="eastAsia"/>
          <w:sz w:val="32"/>
          <w:szCs w:val="32"/>
        </w:rPr>
        <w:t>第一部分</w:t>
      </w:r>
      <w:r w:rsidR="00946CB0">
        <w:rPr>
          <w:rFonts w:ascii="黑体" w:eastAsia="黑体" w:hAnsi="黑体" w:hint="eastAsia"/>
          <w:sz w:val="32"/>
          <w:szCs w:val="32"/>
        </w:rPr>
        <w:t xml:space="preserve">  </w:t>
      </w:r>
      <w:r>
        <w:rPr>
          <w:rFonts w:ascii="黑体" w:eastAsia="黑体" w:hAnsi="黑体" w:hint="eastAsia"/>
          <w:sz w:val="32"/>
          <w:szCs w:val="32"/>
        </w:rPr>
        <w:t>中共盘锦市纪律检查委员会部门概况</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一、主要职责和机构设置情况</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二、部门决算单位构成</w:t>
      </w:r>
    </w:p>
    <w:p w:rsidR="008746E4" w:rsidRDefault="008746E4" w:rsidP="008746E4">
      <w:pPr>
        <w:spacing w:line="540" w:lineRule="exact"/>
        <w:rPr>
          <w:rFonts w:ascii="黑体" w:eastAsia="黑体" w:hAnsi="黑体"/>
          <w:sz w:val="32"/>
          <w:szCs w:val="32"/>
        </w:rPr>
      </w:pPr>
      <w:r>
        <w:rPr>
          <w:rFonts w:ascii="黑体" w:eastAsia="黑体" w:hAnsi="黑体" w:hint="eastAsia"/>
          <w:sz w:val="32"/>
          <w:szCs w:val="32"/>
        </w:rPr>
        <w:t>第二部分</w:t>
      </w:r>
      <w:r w:rsidR="00946CB0">
        <w:rPr>
          <w:rFonts w:ascii="黑体" w:eastAsia="黑体" w:hAnsi="黑体" w:hint="eastAsia"/>
          <w:sz w:val="32"/>
          <w:szCs w:val="32"/>
        </w:rPr>
        <w:t xml:space="preserve">  </w:t>
      </w:r>
      <w:r>
        <w:rPr>
          <w:rFonts w:ascii="黑体" w:eastAsia="黑体" w:hAnsi="黑体" w:hint="eastAsia"/>
          <w:sz w:val="32"/>
          <w:szCs w:val="32"/>
        </w:rPr>
        <w:t>中共盘锦市纪律检查委员会</w:t>
      </w:r>
      <w:r>
        <w:rPr>
          <w:rFonts w:ascii="黑体" w:eastAsia="黑体" w:hAnsi="黑体"/>
          <w:sz w:val="32"/>
          <w:szCs w:val="32"/>
        </w:rPr>
        <w:t>202</w:t>
      </w:r>
      <w:r>
        <w:rPr>
          <w:rFonts w:ascii="黑体" w:eastAsia="黑体" w:hAnsi="黑体" w:hint="eastAsia"/>
          <w:sz w:val="32"/>
          <w:szCs w:val="32"/>
        </w:rPr>
        <w:t>2年度部门决算情况说明</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一、收入支出决算总体情况说明</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二、财政拨款收入支出决算情况说明</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三、一般公共预算财政拨款“三公”经费支出决算情况说明</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四、一般公共预算财政拨款基本支出决算情况说明</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五、其他重要事项的情况说明</w:t>
      </w:r>
    </w:p>
    <w:p w:rsidR="008746E4" w:rsidRDefault="008746E4" w:rsidP="008746E4">
      <w:pPr>
        <w:spacing w:line="540" w:lineRule="exact"/>
        <w:rPr>
          <w:rFonts w:ascii="黑体" w:eastAsia="黑体" w:hAnsi="黑体"/>
          <w:sz w:val="32"/>
          <w:szCs w:val="32"/>
        </w:rPr>
      </w:pPr>
      <w:r>
        <w:rPr>
          <w:rFonts w:ascii="黑体" w:eastAsia="黑体" w:hAnsi="黑体" w:hint="eastAsia"/>
          <w:sz w:val="32"/>
          <w:szCs w:val="32"/>
        </w:rPr>
        <w:t>第三部分</w:t>
      </w:r>
      <w:r w:rsidR="00946CB0">
        <w:rPr>
          <w:rFonts w:ascii="黑体" w:eastAsia="黑体" w:hAnsi="黑体" w:hint="eastAsia"/>
          <w:sz w:val="32"/>
          <w:szCs w:val="32"/>
        </w:rPr>
        <w:t xml:space="preserve">  </w:t>
      </w:r>
      <w:r>
        <w:rPr>
          <w:rFonts w:ascii="黑体" w:eastAsia="黑体" w:hAnsi="黑体" w:hint="eastAsia"/>
          <w:sz w:val="32"/>
          <w:szCs w:val="32"/>
        </w:rPr>
        <w:t>名词解释</w:t>
      </w:r>
    </w:p>
    <w:p w:rsidR="008746E4" w:rsidRDefault="008746E4" w:rsidP="008746E4">
      <w:pPr>
        <w:spacing w:line="540" w:lineRule="exact"/>
        <w:rPr>
          <w:rFonts w:ascii="黑体" w:eastAsia="黑体" w:hAnsi="黑体"/>
          <w:sz w:val="32"/>
          <w:szCs w:val="32"/>
        </w:rPr>
      </w:pPr>
      <w:r>
        <w:rPr>
          <w:rFonts w:ascii="黑体" w:eastAsia="黑体" w:hAnsi="黑体" w:hint="eastAsia"/>
          <w:sz w:val="32"/>
          <w:szCs w:val="32"/>
        </w:rPr>
        <w:t>第四部分</w:t>
      </w:r>
      <w:r w:rsidR="00946CB0">
        <w:rPr>
          <w:rFonts w:ascii="黑体" w:eastAsia="黑体" w:hAnsi="黑体" w:hint="eastAsia"/>
          <w:sz w:val="32"/>
          <w:szCs w:val="32"/>
        </w:rPr>
        <w:t xml:space="preserve">  </w:t>
      </w:r>
      <w:r>
        <w:rPr>
          <w:rFonts w:ascii="黑体" w:eastAsia="黑体" w:hAnsi="黑体" w:hint="eastAsia"/>
          <w:sz w:val="32"/>
          <w:szCs w:val="32"/>
        </w:rPr>
        <w:t>中共盘锦市纪律检查委员会</w:t>
      </w:r>
      <w:r>
        <w:rPr>
          <w:rFonts w:ascii="黑体" w:eastAsia="黑体" w:hAnsi="黑体"/>
          <w:sz w:val="32"/>
          <w:szCs w:val="32"/>
        </w:rPr>
        <w:t>202</w:t>
      </w:r>
      <w:r>
        <w:rPr>
          <w:rFonts w:ascii="黑体" w:eastAsia="黑体" w:hAnsi="黑体" w:hint="eastAsia"/>
          <w:sz w:val="32"/>
          <w:szCs w:val="32"/>
        </w:rPr>
        <w:t>2年度部门决算报表</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一、收入支出决算总表</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二、收入决算表</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三、支出决算表</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四、财政拨款收入支出决算表</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五、一般公共预算财政拨款支出决算表</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七、政府性基金预算财政拨款支出决算表</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八、一般公共预算财政拨款“三公”经费支出决算表</w:t>
      </w: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九、国有资本经营预算财政拨款支出决算表</w:t>
      </w:r>
    </w:p>
    <w:p w:rsidR="008746E4" w:rsidRDefault="008746E4" w:rsidP="008746E4">
      <w:pPr>
        <w:spacing w:line="540" w:lineRule="exact"/>
        <w:jc w:val="center"/>
        <w:rPr>
          <w:rFonts w:ascii="方正仿宋_GBK" w:eastAsia="方正仿宋_GBK"/>
          <w:sz w:val="32"/>
          <w:szCs w:val="32"/>
        </w:rPr>
      </w:pPr>
    </w:p>
    <w:p w:rsidR="008746E4" w:rsidRDefault="008746E4" w:rsidP="008746E4">
      <w:pPr>
        <w:spacing w:line="540" w:lineRule="exact"/>
        <w:jc w:val="left"/>
        <w:rPr>
          <w:rFonts w:ascii="宋体"/>
          <w:b/>
          <w:sz w:val="36"/>
          <w:szCs w:val="36"/>
        </w:rPr>
      </w:pPr>
      <w:r>
        <w:rPr>
          <w:b/>
          <w:sz w:val="44"/>
          <w:szCs w:val="44"/>
          <w:u w:val="single"/>
        </w:rPr>
        <w:br w:type="page"/>
      </w:r>
      <w:r>
        <w:rPr>
          <w:rFonts w:ascii="黑体" w:eastAsia="黑体" w:hAnsi="黑体" w:hint="eastAsia"/>
          <w:sz w:val="32"/>
          <w:szCs w:val="32"/>
        </w:rPr>
        <w:lastRenderedPageBreak/>
        <w:t>第一部分部门概况</w:t>
      </w:r>
    </w:p>
    <w:p w:rsidR="008746E4" w:rsidRDefault="008746E4" w:rsidP="008746E4">
      <w:pPr>
        <w:spacing w:line="540" w:lineRule="exact"/>
        <w:ind w:firstLineChars="200" w:firstLine="640"/>
        <w:jc w:val="left"/>
        <w:rPr>
          <w:rFonts w:ascii="黑体" w:eastAsia="黑体"/>
          <w:sz w:val="32"/>
          <w:szCs w:val="32"/>
        </w:rPr>
      </w:pPr>
    </w:p>
    <w:p w:rsidR="008746E4" w:rsidRDefault="008746E4" w:rsidP="008746E4">
      <w:pPr>
        <w:spacing w:line="540" w:lineRule="exact"/>
        <w:ind w:firstLineChars="200" w:firstLine="640"/>
        <w:jc w:val="left"/>
        <w:rPr>
          <w:rFonts w:ascii="黑体" w:eastAsia="黑体"/>
          <w:sz w:val="32"/>
          <w:szCs w:val="32"/>
        </w:rPr>
      </w:pPr>
      <w:r>
        <w:rPr>
          <w:rFonts w:ascii="黑体" w:eastAsia="黑体" w:hint="eastAsia"/>
          <w:sz w:val="32"/>
          <w:szCs w:val="32"/>
        </w:rPr>
        <w:t>一、主要职责和机构设置情况</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一）基本情况。中共盘锦市纪律检查委员会（以下简称市纪委）由党的盘锦市代表大会选举产生，盘锦市监察委员会（以下简称市监委）由盘锦市人民代表大会与其常务委员会选举产生。市纪委与市监委合署办公，履行党的纪律检查和国家监察两项职责。市纪委监委在市委和省纪委监委双重领导下进行工作。 </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（二）主要职责</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（1）负责全市党的纪律检查工作。</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（2）依照党的章程和其他党内法规履行监督、执纪、问责职责。</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（3）负责全市监察工作。</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（4）依照法律规定履行监督、调查、处置职责。</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（5）负责组织协调全面从严治党、党风廉政建设和反腐败宣传教育工作。</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（6）负责综合分析全面从严治党、党风廉政建设和反腐败工作情况，对纪检监察工作重要理论及实践问题进行调查研究，制定或修改本室纪检监察规范性文件和工作制度，参与起草本室相关法规和规范性文件。</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（7）加强对反腐败国际追逃追赃和防逃工作的组织协调，督促有关部门做好相关工作。</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（8）根据干部管理权限，负责纪检监察系统领导班子建设、干部队伍建设和组织建设的综合规划、政策研究、制</w:t>
      </w:r>
      <w:r>
        <w:rPr>
          <w:rFonts w:ascii="仿宋" w:eastAsia="仿宋" w:hAnsi="仿宋" w:cs="仿宋" w:hint="eastAsia"/>
          <w:sz w:val="32"/>
          <w:szCs w:val="32"/>
        </w:rPr>
        <w:lastRenderedPageBreak/>
        <w:t>度建设和业务指导，会同有关方面做好市纪委监委派驻（出）机构、县（区）纪检监察机关、市管企业高校纪检监察机构领导班子建设有关工作，组织和指导纪检监察系统干部教育培训工作。</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根据本部门主要职责，单位内设机构20个，分别是市纪委监委机关机关党委办公室（办公室）、组织部、宣传部、研究法规室、党风政风监督室、信访室、案件监督管理室、第一纪检监察室、第二纪检监察室、第三纪检监察室、第四纪检监察室、第五纪检监察室、第六纪检监察室、第七纪检监察室、第八纪检监察室、第九纪检监察室、第十纪检监察室、第十一纪检监察室、案件审理室、纪检监察干部监督室。</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下属二级单位情况：盘锦市纪委监委综合保障中心</w:t>
      </w:r>
    </w:p>
    <w:p w:rsidR="008746E4" w:rsidRDefault="008746E4" w:rsidP="008746E4">
      <w:pPr>
        <w:spacing w:line="540" w:lineRule="exact"/>
        <w:ind w:firstLineChars="200" w:firstLine="640"/>
        <w:jc w:val="left"/>
        <w:rPr>
          <w:rFonts w:ascii="仿宋" w:eastAsia="仿宋" w:hAnsi="仿宋"/>
          <w:sz w:val="32"/>
        </w:rPr>
      </w:pPr>
      <w:r>
        <w:rPr>
          <w:rFonts w:ascii="黑体" w:eastAsia="黑体" w:hint="eastAsia"/>
          <w:sz w:val="32"/>
          <w:szCs w:val="32"/>
        </w:rPr>
        <w:t>二、部门决算单位构成</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纳入中共盘锦市纪律检查委员会2022年度部门决算编制范围的二级预算单位包括：</w:t>
      </w:r>
    </w:p>
    <w:p w:rsidR="008746E4" w:rsidRPr="009A1E06" w:rsidRDefault="008746E4" w:rsidP="008746E4">
      <w:pPr>
        <w:spacing w:line="540" w:lineRule="exact"/>
        <w:ind w:firstLineChars="200" w:firstLine="640"/>
        <w:rPr>
          <w:rFonts w:ascii="仿宋" w:eastAsia="仿宋" w:hAnsi="仿宋" w:cs="仿宋"/>
          <w:sz w:val="32"/>
          <w:szCs w:val="32"/>
        </w:rPr>
      </w:pPr>
      <w:r w:rsidRPr="009A1E06">
        <w:rPr>
          <w:rFonts w:ascii="仿宋" w:eastAsia="仿宋" w:hAnsi="仿宋" w:cs="仿宋" w:hint="eastAsia"/>
          <w:sz w:val="32"/>
          <w:szCs w:val="32"/>
        </w:rPr>
        <w:t>1、中共盘锦市纪律检查委员会本级</w:t>
      </w:r>
    </w:p>
    <w:p w:rsidR="008746E4" w:rsidRPr="009A1E06" w:rsidRDefault="008746E4" w:rsidP="008746E4">
      <w:pPr>
        <w:spacing w:line="540" w:lineRule="exact"/>
        <w:ind w:firstLineChars="200" w:firstLine="640"/>
        <w:rPr>
          <w:rFonts w:ascii="仿宋" w:eastAsia="仿宋" w:hAnsi="仿宋" w:cs="仿宋"/>
          <w:sz w:val="32"/>
          <w:szCs w:val="32"/>
        </w:rPr>
      </w:pPr>
      <w:r w:rsidRPr="009A1E06">
        <w:rPr>
          <w:rFonts w:ascii="仿宋" w:eastAsia="仿宋" w:hAnsi="仿宋" w:cs="仿宋" w:hint="eastAsia"/>
          <w:sz w:val="32"/>
          <w:szCs w:val="32"/>
        </w:rPr>
        <w:t>2、中共盘锦市纪委监委综合保障中心</w:t>
      </w:r>
    </w:p>
    <w:p w:rsidR="008746E4" w:rsidRDefault="008746E4" w:rsidP="008746E4">
      <w:pPr>
        <w:spacing w:line="540" w:lineRule="exact"/>
        <w:ind w:firstLineChars="200" w:firstLine="640"/>
        <w:rPr>
          <w:rFonts w:ascii="仿宋" w:eastAsia="仿宋" w:hAnsi="仿宋" w:cs="仿宋"/>
          <w:sz w:val="32"/>
          <w:szCs w:val="32"/>
        </w:rPr>
      </w:pPr>
    </w:p>
    <w:p w:rsidR="008746E4" w:rsidRDefault="008746E4" w:rsidP="008746E4">
      <w:pPr>
        <w:spacing w:line="540" w:lineRule="exact"/>
        <w:ind w:firstLineChars="200" w:firstLine="640"/>
        <w:rPr>
          <w:rFonts w:ascii="仿宋" w:eastAsia="仿宋" w:hAnsi="仿宋" w:cs="仿宋"/>
          <w:sz w:val="32"/>
          <w:szCs w:val="32"/>
        </w:rPr>
      </w:pPr>
    </w:p>
    <w:p w:rsidR="008746E4" w:rsidRDefault="008746E4" w:rsidP="008746E4">
      <w:pPr>
        <w:spacing w:line="540" w:lineRule="exact"/>
        <w:ind w:firstLineChars="200" w:firstLine="640"/>
        <w:jc w:val="left"/>
        <w:rPr>
          <w:rFonts w:ascii="仿宋_GB2312" w:eastAsia="仿宋_GB2312"/>
          <w:sz w:val="32"/>
          <w:szCs w:val="32"/>
        </w:rPr>
      </w:pPr>
    </w:p>
    <w:p w:rsidR="008746E4" w:rsidRDefault="008746E4" w:rsidP="008746E4">
      <w:pPr>
        <w:spacing w:line="540" w:lineRule="exact"/>
        <w:ind w:leftChars="152" w:left="319" w:firstLineChars="100" w:firstLine="320"/>
        <w:jc w:val="left"/>
        <w:rPr>
          <w:rFonts w:ascii="宋体"/>
          <w:b/>
          <w:sz w:val="36"/>
          <w:szCs w:val="36"/>
        </w:rPr>
      </w:pPr>
      <w:r>
        <w:rPr>
          <w:rFonts w:ascii="仿宋_GB2312" w:eastAsia="仿宋_GB2312"/>
          <w:sz w:val="32"/>
          <w:szCs w:val="32"/>
        </w:rPr>
        <w:br w:type="page"/>
      </w:r>
      <w:r>
        <w:rPr>
          <w:rFonts w:ascii="宋体" w:hAnsi="宋体" w:hint="eastAsia"/>
          <w:b/>
          <w:sz w:val="36"/>
          <w:szCs w:val="36"/>
        </w:rPr>
        <w:lastRenderedPageBreak/>
        <w:t>第二部分</w:t>
      </w:r>
      <w:r>
        <w:rPr>
          <w:rFonts w:eastAsia="仿宋"/>
          <w:sz w:val="32"/>
        </w:rPr>
        <w:t>202</w:t>
      </w:r>
      <w:r>
        <w:rPr>
          <w:rFonts w:eastAsia="仿宋" w:hint="eastAsia"/>
          <w:sz w:val="32"/>
        </w:rPr>
        <w:t>2</w:t>
      </w:r>
      <w:r>
        <w:rPr>
          <w:rFonts w:ascii="宋体" w:hAnsi="宋体" w:hint="eastAsia"/>
          <w:b/>
          <w:sz w:val="36"/>
          <w:szCs w:val="36"/>
        </w:rPr>
        <w:t>年度部门决算情况说明</w:t>
      </w:r>
    </w:p>
    <w:p w:rsidR="008746E4" w:rsidRDefault="008746E4" w:rsidP="008746E4">
      <w:pPr>
        <w:spacing w:line="540" w:lineRule="exact"/>
        <w:rPr>
          <w:rFonts w:ascii="宋体"/>
          <w:b/>
          <w:sz w:val="36"/>
          <w:szCs w:val="36"/>
        </w:rPr>
      </w:pPr>
    </w:p>
    <w:p w:rsidR="008746E4" w:rsidRDefault="008746E4" w:rsidP="008746E4">
      <w:pPr>
        <w:pStyle w:val="ListParagraph1"/>
        <w:numPr>
          <w:ilvl w:val="0"/>
          <w:numId w:val="1"/>
        </w:numPr>
        <w:spacing w:line="540" w:lineRule="exact"/>
        <w:ind w:firstLineChars="0"/>
        <w:rPr>
          <w:rFonts w:ascii="黑体" w:eastAsia="黑体" w:hAnsi="黑体"/>
          <w:sz w:val="32"/>
          <w:szCs w:val="32"/>
        </w:rPr>
      </w:pPr>
      <w:r>
        <w:rPr>
          <w:rFonts w:ascii="黑体" w:eastAsia="黑体" w:hAnsi="黑体" w:hint="eastAsia"/>
          <w:sz w:val="32"/>
          <w:szCs w:val="32"/>
        </w:rPr>
        <w:t>收入支出决算总体情况说明</w:t>
      </w:r>
    </w:p>
    <w:p w:rsidR="008746E4" w:rsidRDefault="008746E4" w:rsidP="008746E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Pr>
          <w:rFonts w:eastAsia="仿宋" w:hint="eastAsia"/>
          <w:sz w:val="32"/>
        </w:rPr>
        <w:t>5390.54</w:t>
      </w:r>
      <w:r>
        <w:rPr>
          <w:rFonts w:ascii="楷体_GB2312" w:eastAsia="楷体_GB2312" w:hAnsi="宋体" w:hint="eastAsia"/>
          <w:b/>
          <w:sz w:val="32"/>
          <w:szCs w:val="32"/>
        </w:rPr>
        <w:t>万元，包括：</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1.财政拨款收入</w:t>
      </w:r>
      <w:r>
        <w:rPr>
          <w:rFonts w:ascii="仿宋" w:eastAsia="仿宋" w:hAnsi="仿宋" w:cs="仿宋" w:hint="eastAsia"/>
          <w:sz w:val="32"/>
        </w:rPr>
        <w:t>5387.9</w:t>
      </w:r>
      <w:r>
        <w:rPr>
          <w:rFonts w:ascii="仿宋" w:eastAsia="仿宋" w:hAnsi="仿宋" w:cs="仿宋" w:hint="eastAsia"/>
          <w:sz w:val="32"/>
          <w:szCs w:val="32"/>
        </w:rPr>
        <w:t>元，占收入总计的</w:t>
      </w:r>
      <w:r>
        <w:rPr>
          <w:rFonts w:ascii="仿宋" w:eastAsia="仿宋" w:hAnsi="仿宋" w:cs="仿宋" w:hint="eastAsia"/>
          <w:sz w:val="32"/>
        </w:rPr>
        <w:t>99.98</w:t>
      </w:r>
      <w:r>
        <w:rPr>
          <w:rFonts w:ascii="仿宋" w:eastAsia="仿宋" w:hAnsi="仿宋" w:cs="仿宋" w:hint="eastAsia"/>
          <w:sz w:val="32"/>
          <w:szCs w:val="32"/>
        </w:rPr>
        <w:t>%。其中：一般公共预算财政拨款收入</w:t>
      </w:r>
      <w:r>
        <w:rPr>
          <w:rFonts w:ascii="仿宋" w:eastAsia="仿宋" w:hAnsi="仿宋" w:cs="仿宋" w:hint="eastAsia"/>
          <w:sz w:val="32"/>
        </w:rPr>
        <w:t>5387.9</w:t>
      </w:r>
      <w:r>
        <w:rPr>
          <w:rFonts w:ascii="仿宋" w:eastAsia="仿宋" w:hAnsi="仿宋" w:cs="仿宋" w:hint="eastAsia"/>
          <w:sz w:val="32"/>
          <w:szCs w:val="32"/>
        </w:rPr>
        <w:t>万元，政府性基金收</w:t>
      </w:r>
      <w:r>
        <w:rPr>
          <w:rFonts w:ascii="仿宋" w:eastAsia="仿宋" w:hAnsi="仿宋" w:cs="仿宋" w:hint="eastAsia"/>
          <w:sz w:val="32"/>
        </w:rPr>
        <w:t>0</w:t>
      </w:r>
      <w:r>
        <w:rPr>
          <w:rFonts w:ascii="仿宋" w:eastAsia="仿宋" w:hAnsi="仿宋" w:cs="仿宋" w:hint="eastAsia"/>
          <w:sz w:val="32"/>
          <w:szCs w:val="32"/>
        </w:rPr>
        <w:t>万元，国有资本经营预算财政拨款收入</w:t>
      </w:r>
      <w:r>
        <w:rPr>
          <w:rFonts w:ascii="仿宋" w:eastAsia="仿宋" w:hAnsi="仿宋" w:cs="仿宋" w:hint="eastAsia"/>
          <w:sz w:val="32"/>
        </w:rPr>
        <w:t>0</w:t>
      </w:r>
      <w:r>
        <w:rPr>
          <w:rFonts w:ascii="仿宋" w:eastAsia="仿宋" w:hAnsi="仿宋" w:cs="仿宋" w:hint="eastAsia"/>
          <w:sz w:val="32"/>
          <w:szCs w:val="32"/>
        </w:rPr>
        <w:t>万元。</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2.上级补助收入</w:t>
      </w:r>
      <w:r>
        <w:rPr>
          <w:rFonts w:ascii="仿宋" w:eastAsia="仿宋" w:hAnsi="仿宋" w:cs="仿宋" w:hint="eastAsia"/>
          <w:sz w:val="32"/>
        </w:rPr>
        <w:t>0</w:t>
      </w:r>
      <w:r>
        <w:rPr>
          <w:rFonts w:ascii="仿宋" w:eastAsia="仿宋" w:hAnsi="仿宋" w:cs="仿宋" w:hint="eastAsia"/>
          <w:sz w:val="32"/>
          <w:szCs w:val="32"/>
        </w:rPr>
        <w:t>万元,占收入总计的</w:t>
      </w:r>
      <w:r>
        <w:rPr>
          <w:rFonts w:ascii="仿宋" w:eastAsia="仿宋" w:hAnsi="仿宋" w:cs="仿宋" w:hint="eastAsia"/>
          <w:sz w:val="32"/>
        </w:rPr>
        <w:t>0</w:t>
      </w:r>
      <w:r>
        <w:rPr>
          <w:rFonts w:ascii="仿宋" w:eastAsia="仿宋" w:hAnsi="仿宋" w:cs="仿宋" w:hint="eastAsia"/>
          <w:sz w:val="32"/>
          <w:szCs w:val="32"/>
        </w:rPr>
        <w:t>%。</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3.事业收入</w:t>
      </w:r>
      <w:r>
        <w:rPr>
          <w:rFonts w:ascii="仿宋" w:eastAsia="仿宋" w:hAnsi="仿宋" w:cs="仿宋" w:hint="eastAsia"/>
          <w:sz w:val="32"/>
        </w:rPr>
        <w:t>0</w:t>
      </w:r>
      <w:r>
        <w:rPr>
          <w:rFonts w:ascii="仿宋" w:eastAsia="仿宋" w:hAnsi="仿宋" w:cs="仿宋" w:hint="eastAsia"/>
          <w:sz w:val="32"/>
          <w:szCs w:val="32"/>
        </w:rPr>
        <w:t>万元,占收入总计的</w:t>
      </w:r>
      <w:r>
        <w:rPr>
          <w:rFonts w:ascii="仿宋" w:eastAsia="仿宋" w:hAnsi="仿宋" w:cs="仿宋" w:hint="eastAsia"/>
          <w:sz w:val="32"/>
        </w:rPr>
        <w:t>0</w:t>
      </w:r>
      <w:r>
        <w:rPr>
          <w:rFonts w:ascii="仿宋" w:eastAsia="仿宋" w:hAnsi="仿宋" w:cs="仿宋" w:hint="eastAsia"/>
          <w:sz w:val="32"/>
          <w:szCs w:val="32"/>
        </w:rPr>
        <w:t>%。</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4.经营收入</w:t>
      </w:r>
      <w:r>
        <w:rPr>
          <w:rFonts w:ascii="仿宋" w:eastAsia="仿宋" w:hAnsi="仿宋" w:cs="仿宋" w:hint="eastAsia"/>
          <w:sz w:val="32"/>
        </w:rPr>
        <w:t>0</w:t>
      </w:r>
      <w:r>
        <w:rPr>
          <w:rFonts w:ascii="仿宋" w:eastAsia="仿宋" w:hAnsi="仿宋" w:cs="仿宋" w:hint="eastAsia"/>
          <w:sz w:val="32"/>
          <w:szCs w:val="32"/>
        </w:rPr>
        <w:t>万元,占收入总计的</w:t>
      </w:r>
      <w:r>
        <w:rPr>
          <w:rFonts w:ascii="仿宋" w:eastAsia="仿宋" w:hAnsi="仿宋" w:cs="仿宋" w:hint="eastAsia"/>
          <w:sz w:val="32"/>
        </w:rPr>
        <w:t>0</w:t>
      </w:r>
      <w:r>
        <w:rPr>
          <w:rFonts w:ascii="仿宋" w:eastAsia="仿宋" w:hAnsi="仿宋" w:cs="仿宋" w:hint="eastAsia"/>
          <w:sz w:val="32"/>
          <w:szCs w:val="32"/>
        </w:rPr>
        <w:t>%。</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5.附属单位上缴收入</w:t>
      </w:r>
      <w:r>
        <w:rPr>
          <w:rFonts w:ascii="仿宋" w:eastAsia="仿宋" w:hAnsi="仿宋" w:cs="仿宋" w:hint="eastAsia"/>
          <w:sz w:val="32"/>
        </w:rPr>
        <w:t>0</w:t>
      </w:r>
      <w:r>
        <w:rPr>
          <w:rFonts w:ascii="仿宋" w:eastAsia="仿宋" w:hAnsi="仿宋" w:cs="仿宋" w:hint="eastAsia"/>
          <w:sz w:val="32"/>
          <w:szCs w:val="32"/>
        </w:rPr>
        <w:t>万元,占收入总计的</w:t>
      </w:r>
      <w:r>
        <w:rPr>
          <w:rFonts w:ascii="仿宋" w:eastAsia="仿宋" w:hAnsi="仿宋" w:cs="仿宋" w:hint="eastAsia"/>
          <w:sz w:val="32"/>
        </w:rPr>
        <w:t>0</w:t>
      </w:r>
      <w:r>
        <w:rPr>
          <w:rFonts w:ascii="仿宋" w:eastAsia="仿宋" w:hAnsi="仿宋" w:cs="仿宋" w:hint="eastAsia"/>
          <w:sz w:val="32"/>
          <w:szCs w:val="32"/>
        </w:rPr>
        <w:t>%。</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6.其他收入</w:t>
      </w:r>
      <w:r>
        <w:rPr>
          <w:rFonts w:ascii="仿宋" w:eastAsia="仿宋" w:hAnsi="仿宋" w:cs="仿宋" w:hint="eastAsia"/>
          <w:sz w:val="32"/>
        </w:rPr>
        <w:t>0.96</w:t>
      </w:r>
      <w:r>
        <w:rPr>
          <w:rFonts w:ascii="仿宋" w:eastAsia="仿宋" w:hAnsi="仿宋" w:cs="仿宋" w:hint="eastAsia"/>
          <w:sz w:val="32"/>
          <w:szCs w:val="32"/>
        </w:rPr>
        <w:t>万元,占收入总计的</w:t>
      </w:r>
      <w:r>
        <w:rPr>
          <w:rFonts w:ascii="仿宋" w:eastAsia="仿宋" w:hAnsi="仿宋" w:cs="仿宋" w:hint="eastAsia"/>
          <w:sz w:val="32"/>
        </w:rPr>
        <w:t>0.02</w:t>
      </w:r>
      <w:r>
        <w:rPr>
          <w:rFonts w:ascii="仿宋" w:eastAsia="仿宋" w:hAnsi="仿宋" w:cs="仿宋" w:hint="eastAsia"/>
          <w:sz w:val="32"/>
          <w:szCs w:val="32"/>
        </w:rPr>
        <w:t>%。</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7.使用非财政拨款结余</w:t>
      </w:r>
      <w:r>
        <w:rPr>
          <w:rFonts w:ascii="仿宋" w:eastAsia="仿宋" w:hAnsi="仿宋" w:cs="仿宋" w:hint="eastAsia"/>
          <w:sz w:val="32"/>
        </w:rPr>
        <w:t>0</w:t>
      </w:r>
      <w:r>
        <w:rPr>
          <w:rFonts w:ascii="仿宋" w:eastAsia="仿宋" w:hAnsi="仿宋" w:cs="仿宋" w:hint="eastAsia"/>
          <w:sz w:val="32"/>
          <w:szCs w:val="32"/>
        </w:rPr>
        <w:t>万元,占收入总计的</w:t>
      </w:r>
      <w:r>
        <w:rPr>
          <w:rFonts w:ascii="仿宋" w:eastAsia="仿宋" w:hAnsi="仿宋" w:cs="仿宋" w:hint="eastAsia"/>
          <w:sz w:val="32"/>
        </w:rPr>
        <w:t>0</w:t>
      </w:r>
      <w:r>
        <w:rPr>
          <w:rFonts w:ascii="仿宋" w:eastAsia="仿宋" w:hAnsi="仿宋" w:cs="仿宋" w:hint="eastAsia"/>
          <w:sz w:val="32"/>
          <w:szCs w:val="32"/>
        </w:rPr>
        <w:t>%。；</w:t>
      </w:r>
    </w:p>
    <w:p w:rsidR="008746E4" w:rsidRPr="009A1E06"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8.上年结转</w:t>
      </w:r>
      <w:r w:rsidRPr="009A1E06">
        <w:rPr>
          <w:rFonts w:ascii="仿宋" w:eastAsia="仿宋" w:hAnsi="仿宋" w:cs="仿宋" w:hint="eastAsia"/>
          <w:sz w:val="32"/>
          <w:szCs w:val="32"/>
        </w:rPr>
        <w:t>和结余</w:t>
      </w:r>
      <w:r w:rsidRPr="009A1E06">
        <w:rPr>
          <w:rFonts w:ascii="仿宋" w:eastAsia="仿宋" w:hAnsi="仿宋" w:cs="仿宋" w:hint="eastAsia"/>
          <w:sz w:val="32"/>
        </w:rPr>
        <w:t>1.68</w:t>
      </w:r>
      <w:r w:rsidRPr="009A1E06">
        <w:rPr>
          <w:rFonts w:ascii="仿宋" w:eastAsia="仿宋" w:hAnsi="仿宋" w:cs="仿宋" w:hint="eastAsia"/>
          <w:sz w:val="32"/>
          <w:szCs w:val="32"/>
        </w:rPr>
        <w:t>万元，占收入总计的</w:t>
      </w:r>
      <w:r w:rsidRPr="009A1E06">
        <w:rPr>
          <w:rFonts w:ascii="仿宋" w:eastAsia="仿宋" w:hAnsi="仿宋" w:cs="仿宋" w:hint="eastAsia"/>
          <w:sz w:val="32"/>
        </w:rPr>
        <w:t>0.03</w:t>
      </w:r>
      <w:r w:rsidRPr="009A1E06">
        <w:rPr>
          <w:rFonts w:ascii="仿宋" w:eastAsia="仿宋" w:hAnsi="仿宋" w:cs="仿宋" w:hint="eastAsia"/>
          <w:sz w:val="32"/>
          <w:szCs w:val="32"/>
        </w:rPr>
        <w:t>%，主要是个人缴纳养老保险。</w:t>
      </w:r>
    </w:p>
    <w:p w:rsidR="008746E4" w:rsidRDefault="008746E4" w:rsidP="008746E4">
      <w:pPr>
        <w:spacing w:line="540" w:lineRule="exact"/>
        <w:ind w:firstLine="660"/>
        <w:rPr>
          <w:rFonts w:ascii="仿宋" w:eastAsia="仿宋" w:hAnsi="仿宋" w:cs="仿宋"/>
          <w:sz w:val="32"/>
          <w:szCs w:val="32"/>
        </w:rPr>
      </w:pPr>
      <w:r w:rsidRPr="009A1E06">
        <w:rPr>
          <w:rFonts w:ascii="仿宋" w:eastAsia="仿宋" w:hAnsi="仿宋" w:cs="仿宋" w:hint="eastAsia"/>
          <w:sz w:val="32"/>
          <w:szCs w:val="32"/>
        </w:rPr>
        <w:t>与上年相比，今年收入增加733.9万元，增长15.77%，主要原因是增加绩效考核奖金和新增加人员。</w:t>
      </w:r>
    </w:p>
    <w:p w:rsidR="008746E4" w:rsidRDefault="008746E4" w:rsidP="008746E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Pr>
          <w:rFonts w:eastAsia="楷体_GB2312" w:hint="eastAsia"/>
          <w:b/>
          <w:sz w:val="32"/>
          <w:szCs w:val="32"/>
        </w:rPr>
        <w:t>5387.9</w:t>
      </w:r>
      <w:r>
        <w:rPr>
          <w:rFonts w:ascii="楷体_GB2312" w:eastAsia="楷体_GB2312" w:hAnsi="宋体" w:hint="eastAsia"/>
          <w:b/>
          <w:sz w:val="32"/>
          <w:szCs w:val="32"/>
        </w:rPr>
        <w:t>万元，包括：</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1.基本支出3891.35万元，占支出总计的72.22%。主要是为保障机构正常运转、完成日常工作任务而发生的各项支出，其中：工资福利支出3476.08万元，对个人和家庭的补助支出32.28万元，商品和服务支出382.99万元，资本性支出0万元。</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2.项目支出1496.55万元，占支出总计的27.78%。主要包括审查调查和巡视工作等相关支出。</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lastRenderedPageBreak/>
        <w:t>3.上缴上级支0万元，占支出总计的0%。</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4.经营支出0万元，占支出总计的0%。</w:t>
      </w:r>
    </w:p>
    <w:p w:rsidR="008746E4" w:rsidRPr="009A1E06"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5.对附属单位补助支出0万元，占支出</w:t>
      </w:r>
      <w:r w:rsidRPr="009A1E06">
        <w:rPr>
          <w:rFonts w:ascii="仿宋" w:eastAsia="仿宋" w:hAnsi="仿宋" w:cs="仿宋" w:hint="eastAsia"/>
          <w:sz w:val="32"/>
          <w:szCs w:val="32"/>
        </w:rPr>
        <w:t>总计的0%。</w:t>
      </w:r>
    </w:p>
    <w:p w:rsidR="008746E4" w:rsidRPr="009A1E06" w:rsidRDefault="008746E4" w:rsidP="008746E4">
      <w:pPr>
        <w:spacing w:line="540" w:lineRule="exact"/>
        <w:ind w:firstLine="660"/>
        <w:rPr>
          <w:rFonts w:ascii="仿宋" w:eastAsia="仿宋" w:hAnsi="仿宋" w:cs="仿宋"/>
          <w:sz w:val="32"/>
          <w:szCs w:val="32"/>
        </w:rPr>
      </w:pPr>
      <w:r w:rsidRPr="009A1E06">
        <w:rPr>
          <w:rFonts w:ascii="仿宋" w:eastAsia="仿宋" w:hAnsi="仿宋" w:cs="仿宋" w:hint="eastAsia"/>
          <w:sz w:val="32"/>
          <w:szCs w:val="32"/>
        </w:rPr>
        <w:t>与上年相比，今年收入增加733.9万元，增长15.77%，主要原因是主要原因是增加绩效考核奖金和新增加人员。</w:t>
      </w:r>
    </w:p>
    <w:p w:rsidR="008746E4" w:rsidRDefault="008746E4" w:rsidP="008746E4">
      <w:pPr>
        <w:spacing w:line="540" w:lineRule="exact"/>
        <w:ind w:firstLineChars="200" w:firstLine="643"/>
        <w:rPr>
          <w:rFonts w:ascii="楷体_GB2312" w:eastAsia="楷体_GB2312" w:hAnsi="宋体"/>
          <w:b/>
          <w:sz w:val="32"/>
          <w:szCs w:val="32"/>
        </w:rPr>
      </w:pPr>
      <w:r w:rsidRPr="009A1E06">
        <w:rPr>
          <w:rFonts w:ascii="楷体_GB2312" w:eastAsia="楷体_GB2312" w:hAnsi="宋体" w:hint="eastAsia"/>
          <w:b/>
          <w:sz w:val="32"/>
          <w:szCs w:val="32"/>
        </w:rPr>
        <w:t>（三）年末结转和结余</w:t>
      </w:r>
      <w:r w:rsidRPr="009A1E06">
        <w:rPr>
          <w:rFonts w:eastAsia="楷体_GB2312" w:hint="eastAsia"/>
          <w:sz w:val="32"/>
          <w:szCs w:val="32"/>
        </w:rPr>
        <w:t>2.64</w:t>
      </w:r>
      <w:r w:rsidRPr="009A1E06">
        <w:rPr>
          <w:rFonts w:ascii="楷体_GB2312" w:eastAsia="楷体_GB2312" w:hAnsi="宋体" w:hint="eastAsia"/>
          <w:b/>
          <w:sz w:val="32"/>
          <w:szCs w:val="32"/>
        </w:rPr>
        <w:t>万元。</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与上年相比，年末结转和结余增加0.96万元，增加57.14%，主要原因是个人缴纳养老保险。</w:t>
      </w:r>
    </w:p>
    <w:p w:rsidR="008746E4" w:rsidRDefault="008746E4" w:rsidP="008746E4">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二、财政拨款支出决算情况说明</w:t>
      </w:r>
    </w:p>
    <w:p w:rsidR="008746E4" w:rsidRDefault="008746E4" w:rsidP="008746E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2022年度财政拨款支出5387.9万元，其中：基本支出3891.35万元，项目支出1496.55万元。与上年相比，财政拨款支出增加733.9万元，增长15.77%，主要原因是增加绩效考核奖金和新增加人员。与年初预算相比，2022年度财政拨款支出完成年初预算的51.98%，其中：基本支出完成年初预算的164.43%，项目完成年初预算的18.71%。</w:t>
      </w:r>
    </w:p>
    <w:p w:rsidR="008746E4" w:rsidRDefault="008746E4" w:rsidP="008746E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（二）一般公共预算财政拨款支出情况。</w:t>
      </w:r>
    </w:p>
    <w:p w:rsidR="008746E4" w:rsidRPr="009A1E06"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2022年度一般公共预算财政拨款支出5387.9万元，按支出功能分类科目分，包括：一般公共服务支出4644.07万元，占86.19%；社会保障和就业支出413.53万元，占7.68%；卫生健康支出95.3万元，占1.77%；住房</w:t>
      </w:r>
      <w:r w:rsidRPr="009A1E06">
        <w:rPr>
          <w:rFonts w:ascii="仿宋" w:eastAsia="仿宋" w:hAnsi="仿宋" w:cs="仿宋" w:hint="eastAsia"/>
          <w:sz w:val="32"/>
          <w:szCs w:val="32"/>
        </w:rPr>
        <w:t>保障支出235万元，占4.36%。</w:t>
      </w:r>
    </w:p>
    <w:p w:rsidR="008746E4" w:rsidRPr="009A1E06" w:rsidRDefault="008746E4" w:rsidP="008746E4">
      <w:pPr>
        <w:spacing w:line="540" w:lineRule="exact"/>
        <w:ind w:firstLine="660"/>
        <w:rPr>
          <w:rFonts w:ascii="仿宋" w:eastAsia="仿宋" w:hAnsi="仿宋" w:cs="仿宋"/>
          <w:sz w:val="32"/>
          <w:szCs w:val="32"/>
        </w:rPr>
      </w:pPr>
      <w:r w:rsidRPr="009A1E06">
        <w:rPr>
          <w:rFonts w:ascii="仿宋" w:eastAsia="仿宋" w:hAnsi="仿宋" w:cs="仿宋" w:hint="eastAsia"/>
          <w:sz w:val="32"/>
          <w:szCs w:val="32"/>
        </w:rPr>
        <w:t>1.一般公共服务支出4644.07万元,具体包括：</w:t>
      </w:r>
    </w:p>
    <w:p w:rsidR="008746E4" w:rsidRDefault="008746E4" w:rsidP="008746E4">
      <w:pPr>
        <w:spacing w:line="540" w:lineRule="exact"/>
        <w:ind w:firstLine="660"/>
        <w:rPr>
          <w:rFonts w:ascii="仿宋" w:eastAsia="仿宋" w:hAnsi="仿宋" w:cs="仿宋"/>
          <w:sz w:val="32"/>
          <w:szCs w:val="32"/>
        </w:rPr>
      </w:pPr>
      <w:r w:rsidRPr="009A1E06">
        <w:rPr>
          <w:rFonts w:ascii="仿宋" w:eastAsia="仿宋" w:hAnsi="仿宋" w:cs="仿宋" w:hint="eastAsia"/>
          <w:sz w:val="32"/>
          <w:szCs w:val="32"/>
        </w:rPr>
        <w:t>（1）一般公共服务支出（类）</w:t>
      </w:r>
      <w:r>
        <w:rPr>
          <w:rFonts w:ascii="仿宋" w:eastAsia="仿宋" w:hAnsi="仿宋" w:cs="仿宋" w:hint="eastAsia"/>
          <w:sz w:val="32"/>
          <w:szCs w:val="32"/>
        </w:rPr>
        <w:t>纪检监察事务（款）行政运行（项）3055.77万元,主要是人员经费和公用经费等，</w:t>
      </w:r>
      <w:r>
        <w:rPr>
          <w:rFonts w:ascii="仿宋" w:eastAsia="仿宋" w:hAnsi="仿宋" w:cs="仿宋" w:hint="eastAsia"/>
          <w:sz w:val="32"/>
          <w:szCs w:val="32"/>
        </w:rPr>
        <w:lastRenderedPageBreak/>
        <w:t>完成年初预算的133.68%，决算数大于年初预算数的原因主要是增加绩效考核奖金和新增加人员。</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(2）一般公共服务支出（类）纪检监察事务（款）一般行政管理事务（项）938.36万元，主要是纪检本级的项目支出，完成年初预算96.74%，决算数小于年初预算数的主要原因是节约开支，压缩经费。</w:t>
      </w:r>
    </w:p>
    <w:p w:rsidR="008746E4" w:rsidRDefault="008746E4" w:rsidP="008746E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（3）一般公共服务支出（类）纪检监察事务（款）派驻派出机构（项）9万元，主要是检法派驻纪检组经费，完成年初预算64.28%，决算数小于年初预算数的主要原因是节约开支，压缩经费。</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（4）一般公共服务支出（类）纪检监察事务（款）巡视工作（项）410.99万元，主要是巡察办巡视工作经费，完成年初预算数的71.45%，决算数小于年初预算数的主要原因是节约开支，压缩经费</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（5）一般公共服务支出（类）纪检监察事务（款）事业运行91.75万元，主要是人员经费和公用经费，完成年初预算的142.73%，决算数大于年初预算数主要是人员经费增加。</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（6）一般公共服务支出（类）纪检监察事务（款）其他纪检监察事务支出（项）138.2万元，主要是审查调查相关支出，决算数小于年初预算数的1728‰ ,主要原因是留置场所扩建改建工作由市机关事务管理局负责。</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2.社会保障和就业支出413.53万元，具体包括：</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（1）社会保障和就业支出（类）行政事业单位养老支出（款）行政单位离退休（项）32.26万元，主要是本级机</w:t>
      </w:r>
      <w:r>
        <w:rPr>
          <w:rFonts w:ascii="仿宋" w:eastAsia="仿宋" w:hAnsi="仿宋" w:cs="仿宋" w:hint="eastAsia"/>
          <w:sz w:val="32"/>
          <w:szCs w:val="32"/>
        </w:rPr>
        <w:lastRenderedPageBreak/>
        <w:t>关的离退休人员公用经费和退休费，完成年初预算的107.97%，决算数大于预算数的主要原因离休人员工资增加。</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社会保障和就业支出（类）行政事业单位养老支出（款）机关事业单位基本养老保险缴费支出（项）287.17万元，主要是单位在职人员的养老保险缴费，完成年初预算的132.65%，主要原因是人员变动和保险缴费基数调整。</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（3）社会保障和就业支出（类）行政事业单位养老支出（款）机关事业单位职业年金缴费支出（项）93.83万元：主要是调出人员交纳职业年金，决算数大于年初预算数的原因是年初未列预算。</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（4）社会保障和就业支出（类）其他社会保障和就业支出（款）其他社会保障和就业支出（项）0.27万元，主要是失业金缴费支出，完成年初预算的112.5%，决算数大于预算数的主要原因人员变动。</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3.卫生健康支出95.3万元，具体包括</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（1）卫生健康支出（类）行政事业单位医疗（款）行政单位医疗（项）90.76万元，主要是行政单位基本医疗保险缴费,完成年初预算的99.25%，决算数大于预算数的主要原因人员变动和保险基数调整。</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（2）卫生健康支出（类）行政事业单位医疗（款）事业单位医疗（项）3.54万元，主要是事业单位基本医疗保险缴费经费,完成年初预算的103.81%，决算数大于预算数的主要原因是人员变动。</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（3）卫生健康支出（类）行政事业单位医疗（款）其他行政事业单位医疗支出（项）1.0万元，主要是大额医疗</w:t>
      </w:r>
      <w:r>
        <w:rPr>
          <w:rFonts w:ascii="仿宋" w:eastAsia="仿宋" w:hAnsi="仿宋" w:cs="仿宋" w:hint="eastAsia"/>
          <w:sz w:val="32"/>
          <w:szCs w:val="32"/>
        </w:rPr>
        <w:lastRenderedPageBreak/>
        <w:t>保险缴费，完成年初预算的90.9%，决算数小于年初预算数的原因是人员变动。</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4.住房保障支出235万元，具体包括：</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（1）住房保障支出（类）住房改革支出（款）住房公积金（项）235万元，主要是部门在职人员的公积金缴费，完成年初预算的152.06%，决算数大于年初预算数的主要原因是人员变动和调整基数。</w:t>
      </w:r>
    </w:p>
    <w:p w:rsidR="008746E4" w:rsidRDefault="008746E4" w:rsidP="008746E4">
      <w:pPr>
        <w:spacing w:line="540" w:lineRule="exact"/>
        <w:ind w:firstLine="660"/>
        <w:rPr>
          <w:rFonts w:eastAsia="方正仿宋_GBK"/>
          <w:sz w:val="32"/>
          <w:szCs w:val="32"/>
        </w:rPr>
      </w:pPr>
      <w:r>
        <w:rPr>
          <w:rFonts w:eastAsia="方正仿宋_GBK" w:hint="eastAsia"/>
          <w:sz w:val="32"/>
          <w:szCs w:val="32"/>
        </w:rPr>
        <w:t>（三）政府性基金预算财政拨款支出情况。</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2022年度政府性基金预算财政拨款支出0万元，中共盘锦市纪律检查委员会2022年度无政府性基金预算财政拨款支出，无此类资金收支结余。</w:t>
      </w:r>
    </w:p>
    <w:p w:rsidR="008746E4" w:rsidRDefault="008746E4" w:rsidP="008746E4">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（四）国有资本经营预算财政拨款支出情况。</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2022年度国有资本经营预算财政拨款支出0万元，中共盘锦市纪律检查委员会2022年度无国有资本经营预算财政拨款支出，无此类资金收支结余。</w:t>
      </w:r>
    </w:p>
    <w:p w:rsidR="008746E4" w:rsidRDefault="008746E4" w:rsidP="008746E4">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三、一般公共预算财政拨款“三公”经费支出决算情况说明</w:t>
      </w:r>
    </w:p>
    <w:p w:rsidR="008746E4" w:rsidRPr="009A1E06"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2022年度一般公共预算财政拨款安排的“三公”经费支出46.25万元，完成年初预算的53.46%，决算数小于年初预算数的主要原因是节约开支，压缩经费。因公出国（境）费0万元，公务接待费3.53万元，公务用车购置及运行维护费42.72元</w:t>
      </w:r>
      <w:r w:rsidRPr="009A1E06">
        <w:rPr>
          <w:rFonts w:ascii="仿宋" w:eastAsia="仿宋" w:hAnsi="仿宋" w:cs="仿宋" w:hint="eastAsia"/>
          <w:sz w:val="32"/>
          <w:szCs w:val="32"/>
        </w:rPr>
        <w:t>。较上年相比减少14.2万元，下降23.5%，主要是本年无公务用车购置事项发生。</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1.因公出国（境）费0万元，占“三公”经费支出的0%。完成年初预算的0%，决算数与年初预算数相等，均为0万元，</w:t>
      </w:r>
      <w:r>
        <w:rPr>
          <w:rFonts w:ascii="仿宋" w:eastAsia="仿宋" w:hAnsi="仿宋" w:cs="仿宋" w:hint="eastAsia"/>
          <w:sz w:val="32"/>
          <w:szCs w:val="32"/>
        </w:rPr>
        <w:lastRenderedPageBreak/>
        <w:t>主要原因是年初未做预算，本年未发生因公出国事项。2022年参加出国（境）团组0个，累计0人次,未参加任何团组。2022年因公出国（境）费比上年增加0万元，增长0%，无任何增减变化，主要是2021年和2022年本单位均未发生因公出国事项，无因公出国（镜）支出。</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2.公务接待费3.53万元，占“三公”经费支出的7.63%。完成年初预算的88.25%，决算数小于年初预算数的主要原因是节约开支，压缩经费。2022年国内公务接待累计18批次、206</w:t>
      </w:r>
      <w:r w:rsidRPr="009A1E06">
        <w:rPr>
          <w:rFonts w:ascii="仿宋" w:eastAsia="仿宋" w:hAnsi="仿宋" w:cs="仿宋" w:hint="eastAsia"/>
          <w:sz w:val="32"/>
          <w:szCs w:val="32"/>
        </w:rPr>
        <w:t>人、3.53万元，主要用于审查调查相关公务等。其中外事接待累计0批次、0人、0万元，无支出事项和用途。较上年相比减少1079元，下降3.0%，主要是本年公务接待人次减少。</w:t>
      </w:r>
    </w:p>
    <w:p w:rsidR="008746E4" w:rsidRPr="009A1E06"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3.公务用车购置及运行费42.72万元，占“三公”经费支出的</w:t>
      </w:r>
      <w:r w:rsidRPr="009A1E06">
        <w:rPr>
          <w:rFonts w:ascii="仿宋" w:eastAsia="仿宋" w:hAnsi="仿宋" w:cs="仿宋" w:hint="eastAsia"/>
          <w:sz w:val="32"/>
          <w:szCs w:val="32"/>
        </w:rPr>
        <w:t>92.37%。</w:t>
      </w:r>
      <w:r>
        <w:rPr>
          <w:rFonts w:ascii="仿宋" w:eastAsia="仿宋" w:hAnsi="仿宋" w:cs="仿宋" w:hint="eastAsia"/>
          <w:sz w:val="32"/>
          <w:szCs w:val="32"/>
        </w:rPr>
        <w:t>完成年初预算的48.</w:t>
      </w:r>
      <w:r w:rsidRPr="009A1E06">
        <w:rPr>
          <w:rFonts w:ascii="仿宋" w:eastAsia="仿宋" w:hAnsi="仿宋" w:cs="仿宋" w:hint="eastAsia"/>
          <w:sz w:val="32"/>
          <w:szCs w:val="32"/>
        </w:rPr>
        <w:t>54%，决算数小于年初预算数的主要原因是压缩经费，节约开支。 较上年相比减少14.1万元，下降24.8%，主要是本年无公务用车购置事项发生。</w:t>
      </w:r>
    </w:p>
    <w:p w:rsidR="008746E4" w:rsidRPr="009A1E06"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其中：公务用车购置费0万元，本年无公务用车购置事项发生，公务</w:t>
      </w:r>
      <w:r w:rsidRPr="009A1E06">
        <w:rPr>
          <w:rFonts w:ascii="仿宋" w:eastAsia="仿宋" w:hAnsi="仿宋" w:cs="仿宋" w:hint="eastAsia"/>
          <w:sz w:val="32"/>
          <w:szCs w:val="32"/>
        </w:rPr>
        <w:t>用车购置数0辆。公务用车运行维护费42.72万元，主要用于审查调查相关业务等，截至年末使用一般公共预算财政拨款开支运行维护费的公务用车保有量15辆。</w:t>
      </w:r>
    </w:p>
    <w:p w:rsidR="008746E4" w:rsidRDefault="008746E4" w:rsidP="008746E4">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2022年度一般公共预算财政拨款基本支出3891.35万元，其中：人员经费3508.37万元，主要包括基本工资、津贴补贴、奖金、其他社会保障缴费、机关事业单位基本养老保险</w:t>
      </w:r>
      <w:r>
        <w:rPr>
          <w:rFonts w:ascii="仿宋" w:eastAsia="仿宋" w:hAnsi="仿宋" w:cs="仿宋" w:hint="eastAsia"/>
          <w:sz w:val="32"/>
          <w:szCs w:val="32"/>
        </w:rPr>
        <w:lastRenderedPageBreak/>
        <w:t>缴费、其他工资福利支出、离休费、退休费、抚恤金、生活补助、奖励金、住房公积金、采暖补贴、其他对个人和家庭补助的支出；日常公用经费382.99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8746E4" w:rsidRDefault="008746E4" w:rsidP="008746E4">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8746E4" w:rsidRDefault="008746E4" w:rsidP="008746E4">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8746E4" w:rsidRDefault="008746E4" w:rsidP="008746E4">
      <w:pPr>
        <w:spacing w:line="540" w:lineRule="exact"/>
        <w:ind w:firstLine="660"/>
        <w:rPr>
          <w:rFonts w:ascii="仿宋" w:eastAsia="仿宋" w:hAnsi="仿宋" w:cs="仿宋"/>
          <w:sz w:val="32"/>
          <w:szCs w:val="32"/>
        </w:rPr>
      </w:pPr>
      <w:r w:rsidRPr="009A1E06">
        <w:rPr>
          <w:rFonts w:ascii="仿宋" w:eastAsia="仿宋" w:hAnsi="仿宋" w:cs="仿宋" w:hint="eastAsia"/>
          <w:sz w:val="32"/>
          <w:szCs w:val="32"/>
        </w:rPr>
        <w:t>2022年机关运行经费支出376.75万元，比上年增加25.8万元，增长7.35%，主</w:t>
      </w:r>
      <w:r>
        <w:rPr>
          <w:rFonts w:ascii="仿宋" w:eastAsia="仿宋" w:hAnsi="仿宋" w:cs="仿宋" w:hint="eastAsia"/>
          <w:sz w:val="32"/>
          <w:szCs w:val="32"/>
        </w:rPr>
        <w:t>要原因是人员经费增加。</w:t>
      </w:r>
      <w:r w:rsidRPr="009A1E06">
        <w:rPr>
          <w:rFonts w:ascii="仿宋" w:eastAsia="仿宋" w:hAnsi="仿宋" w:cs="仿宋" w:hint="eastAsia"/>
          <w:sz w:val="32"/>
          <w:szCs w:val="32"/>
        </w:rPr>
        <w:t>主要包括办公费49.06万元、印刷费15万元、手续费0.06万元、电费4.08万元、邮电费22.51万元、取暖费25.51万元、 差旅费19.18万元、 维修费7.56万元、租赁费0.75万元、会议费4.3万元、公务接待3.53万元、培训费2.00万元、劳务费 0.39万元、工会经费25.76万元、 福利费1.97万元、 公务用车运行维护费42.72万元、 其他交通费 148.54万元、其它商品和服务支出3.83万元。</w:t>
      </w:r>
    </w:p>
    <w:p w:rsidR="008746E4" w:rsidRDefault="008746E4" w:rsidP="008746E4">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2022年政府采购支出总额0万元，其中：政府采购货物支出0万元，政府采购工程支出0万元，政府采购服务支出0万元。授予中小企业合同金额0万元，占政府采购支出总额的0%，其中：授予小微企业合同金额0万元，占政府采购</w:t>
      </w:r>
      <w:r>
        <w:rPr>
          <w:rFonts w:ascii="仿宋" w:eastAsia="仿宋" w:hAnsi="仿宋" w:cs="仿宋" w:hint="eastAsia"/>
          <w:sz w:val="32"/>
          <w:szCs w:val="32"/>
        </w:rPr>
        <w:lastRenderedPageBreak/>
        <w:t>支出总额的0%。货物采购授予中小企业合同金额占货物支出金额的0%；工程采购授予中小企业合同金额占货物支出金额的0%；服务采购授予中小企业合同金额占货物支出金额的0%。</w:t>
      </w:r>
    </w:p>
    <w:p w:rsidR="008746E4" w:rsidRDefault="008746E4" w:rsidP="008746E4">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截至2022年12月31日，</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1.房屋情况：部门房屋面积0平方米，价值0万元，其中：办公用房面积0平方米，价值0万元；业务用房面积0平方米，价值0万元；其他（不含构筑物）面积0平方米，价值0万元。</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2.车辆情</w:t>
      </w:r>
      <w:r w:rsidRPr="009A1E06">
        <w:rPr>
          <w:rFonts w:ascii="仿宋" w:eastAsia="仿宋" w:hAnsi="仿宋" w:cs="仿宋" w:hint="eastAsia"/>
          <w:sz w:val="32"/>
          <w:szCs w:val="32"/>
        </w:rPr>
        <w:t>况：共有车辆16台，价值306.43万元，其中：副省级以上领导干部用车0辆，主要领导干部用车0辆，机要</w:t>
      </w:r>
      <w:r>
        <w:rPr>
          <w:rFonts w:ascii="仿宋" w:eastAsia="仿宋" w:hAnsi="仿宋" w:cs="仿宋" w:hint="eastAsia"/>
          <w:sz w:val="32"/>
          <w:szCs w:val="32"/>
        </w:rPr>
        <w:t>通讯用车1辆，应急保障用车0辆，执法执勤用车14辆，特种专业技术用车1辆，离退休干部用车0辆，其他用车0辆。</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3.设备情况：单位价值50万元以上通用设备0台（套），单价100万元以上专用设备0台（套）。</w:t>
      </w:r>
    </w:p>
    <w:p w:rsidR="008746E4" w:rsidRDefault="008746E4" w:rsidP="008746E4">
      <w:pPr>
        <w:widowControl/>
        <w:spacing w:line="540" w:lineRule="exact"/>
        <w:ind w:firstLineChars="200" w:firstLine="643"/>
        <w:jc w:val="left"/>
      </w:pPr>
      <w:r>
        <w:rPr>
          <w:rFonts w:ascii="楷体_GB2312" w:eastAsia="楷体_GB2312" w:hAnsi="宋体" w:cs="楷体_GB2312" w:hint="eastAsia"/>
          <w:b/>
          <w:sz w:val="32"/>
          <w:szCs w:val="32"/>
        </w:rPr>
        <w:t>（四）预算绩效情况。</w:t>
      </w:r>
    </w:p>
    <w:p w:rsidR="008746E4" w:rsidRDefault="008746E4" w:rsidP="008746E4">
      <w:pPr>
        <w:widowControl/>
        <w:spacing w:line="520" w:lineRule="exact"/>
        <w:ind w:firstLineChars="200" w:firstLine="643"/>
        <w:jc w:val="left"/>
        <w:rPr>
          <w:rFonts w:ascii="仿宋_GB2312" w:eastAsia="仿宋_GB2312" w:hAnsi="仿宋_GB2312" w:cs="仿宋_GB231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预算绩效管理工作开展情况。</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1）绩效自评情况。根据预算绩效管理要求，我部门组织对2022年度预算开展整体绩效自评，其中：中共盘锦市纪律检查委员会涉及资金9428.32万元，自评分96.32分；盘锦市纪委监委综合保障中心80.73万元，自评分99.89分；中共盘锦市委巡察工作领导小组办公室856.14万元，自评分84.4分。详见《中共盘锦市纪律检查委员会2022年度部</w:t>
      </w:r>
      <w:r>
        <w:rPr>
          <w:rFonts w:ascii="仿宋" w:eastAsia="仿宋" w:hAnsi="仿宋" w:cs="仿宋" w:hint="eastAsia"/>
          <w:sz w:val="32"/>
          <w:szCs w:val="32"/>
        </w:rPr>
        <w:lastRenderedPageBreak/>
        <w:t>门整体绩效自评表》</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（2）重点项目评价情况。我部门没有开展重点项目自评工作。</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2.部门决算中特定目标类项目绩效自评结果。</w:t>
      </w:r>
    </w:p>
    <w:p w:rsidR="008746E4" w:rsidRDefault="008746E4" w:rsidP="008746E4">
      <w:pPr>
        <w:spacing w:line="540" w:lineRule="exact"/>
        <w:ind w:firstLine="660"/>
        <w:rPr>
          <w:rFonts w:eastAsia="方正仿宋_GBK"/>
          <w:sz w:val="32"/>
          <w:szCs w:val="32"/>
        </w:rPr>
      </w:pPr>
      <w:r>
        <w:rPr>
          <w:rFonts w:ascii="仿宋" w:eastAsia="仿宋" w:hAnsi="仿宋" w:cs="仿宋" w:hint="eastAsia"/>
          <w:sz w:val="32"/>
          <w:szCs w:val="32"/>
        </w:rPr>
        <w:t>我部门没有对部门决算中特定目标类项目开展绩效自评。对2022年度特定目标类项目开展自评，共涉及预算支出项目0个，涉及资金0万元，自评平均得分0分</w:t>
      </w:r>
      <w:r>
        <w:rPr>
          <w:rFonts w:eastAsia="方正仿宋_GBK" w:hint="eastAsia"/>
          <w:sz w:val="32"/>
          <w:szCs w:val="32"/>
        </w:rPr>
        <w:t>。</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3.部门评价结果。</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2022年度本部门没有开展部门评价工作</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4.财政评价结果。</w:t>
      </w:r>
    </w:p>
    <w:p w:rsidR="008746E4" w:rsidRDefault="008746E4" w:rsidP="008746E4">
      <w:pPr>
        <w:spacing w:line="540" w:lineRule="exact"/>
        <w:ind w:firstLine="660"/>
        <w:rPr>
          <w:rFonts w:ascii="仿宋" w:eastAsia="仿宋" w:hAnsi="仿宋" w:cs="仿宋"/>
          <w:sz w:val="32"/>
          <w:szCs w:val="32"/>
        </w:rPr>
      </w:pPr>
      <w:r>
        <w:rPr>
          <w:rFonts w:ascii="仿宋" w:eastAsia="仿宋" w:hAnsi="仿宋" w:cs="仿宋" w:hint="eastAsia"/>
          <w:sz w:val="32"/>
          <w:szCs w:val="32"/>
        </w:rPr>
        <w:t>2022年度财政没有对本部门开展评价工作</w:t>
      </w:r>
    </w:p>
    <w:p w:rsidR="008746E4" w:rsidRDefault="008746E4" w:rsidP="008746E4">
      <w:pPr>
        <w:spacing w:line="540" w:lineRule="exact"/>
        <w:ind w:firstLine="660"/>
        <w:rPr>
          <w:rFonts w:ascii="仿宋_GB2312" w:eastAsia="仿宋_GB2312" w:hAnsi="宋体" w:cs="仿宋_GB2312"/>
          <w:sz w:val="32"/>
          <w:szCs w:val="32"/>
        </w:rPr>
      </w:pPr>
      <w:r>
        <w:rPr>
          <w:rFonts w:ascii="仿宋_GB2312" w:eastAsia="仿宋_GB2312" w:hAnsi="黑体"/>
          <w:sz w:val="32"/>
          <w:szCs w:val="32"/>
        </w:rPr>
        <w:br w:type="page"/>
      </w:r>
      <w:r>
        <w:rPr>
          <w:rFonts w:ascii="宋体" w:hAnsi="宋体" w:hint="eastAsia"/>
          <w:b/>
          <w:sz w:val="36"/>
          <w:szCs w:val="36"/>
        </w:rPr>
        <w:lastRenderedPageBreak/>
        <w:t>第三部分名词解释</w:t>
      </w:r>
    </w:p>
    <w:p w:rsidR="008746E4" w:rsidRDefault="008746E4" w:rsidP="008746E4">
      <w:pPr>
        <w:spacing w:line="540" w:lineRule="exact"/>
        <w:jc w:val="center"/>
        <w:rPr>
          <w:rFonts w:ascii="宋体"/>
          <w:b/>
          <w:sz w:val="36"/>
          <w:szCs w:val="36"/>
        </w:rPr>
      </w:pP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1.财政拨款收入：</w:t>
      </w:r>
      <w:r>
        <w:rPr>
          <w:rFonts w:ascii="仿宋" w:eastAsia="仿宋" w:hAnsi="仿宋" w:cs="仿宋" w:hint="eastAsia"/>
          <w:sz w:val="32"/>
          <w:szCs w:val="32"/>
        </w:rPr>
        <w:t>指单位从同级财政部门取得的财政预算资金。</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2.上级补助收入：</w:t>
      </w:r>
      <w:r>
        <w:rPr>
          <w:rFonts w:ascii="仿宋" w:eastAsia="仿宋" w:hAnsi="仿宋" w:cs="仿宋" w:hint="eastAsia"/>
          <w:sz w:val="32"/>
          <w:szCs w:val="32"/>
        </w:rPr>
        <w:t>指单位从主管部门和上级单位取得的非财政性补助收入。</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3.事业收入：</w:t>
      </w:r>
      <w:r>
        <w:rPr>
          <w:rFonts w:ascii="仿宋" w:eastAsia="仿宋" w:hAnsi="仿宋" w:cs="仿宋" w:hint="eastAsia"/>
          <w:sz w:val="32"/>
          <w:szCs w:val="32"/>
        </w:rPr>
        <w:t>指事业单位开展专业业务活动及辅助活动所取得的收入。</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4.经营收入：</w:t>
      </w:r>
      <w:r>
        <w:rPr>
          <w:rFonts w:ascii="仿宋" w:eastAsia="仿宋" w:hAnsi="仿宋" w:cs="仿宋" w:hint="eastAsia"/>
          <w:sz w:val="32"/>
          <w:szCs w:val="32"/>
        </w:rPr>
        <w:t>指事业单位在专业业务活动及辅助活动之外开展非独立核算经营活动取得的收入。</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5.附属单位上缴收入：</w:t>
      </w:r>
      <w:r>
        <w:rPr>
          <w:rFonts w:ascii="仿宋" w:eastAsia="仿宋" w:hAnsi="仿宋" w:cs="仿宋" w:hint="eastAsia"/>
          <w:sz w:val="32"/>
          <w:szCs w:val="32"/>
        </w:rPr>
        <w:t>指单位附属的独立核算单位按照规定上缴的收入。</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6.其他收入：</w:t>
      </w:r>
      <w:r>
        <w:rPr>
          <w:rFonts w:ascii="仿宋" w:eastAsia="仿宋" w:hAnsi="仿宋" w:cs="仿宋" w:hint="eastAsia"/>
          <w:sz w:val="32"/>
          <w:szCs w:val="32"/>
        </w:rPr>
        <w:t>指除上述“财政拨款收入”、“上级补助收入”、“事业收入”、“经营收入”、“附属单位上缴收入”等以外的收入。</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7.使用非财政拨款结余：</w:t>
      </w:r>
      <w:r>
        <w:rPr>
          <w:rFonts w:ascii="仿宋" w:eastAsia="仿宋" w:hAnsi="仿宋" w:cs="仿宋" w:hint="eastAsia"/>
          <w:sz w:val="32"/>
          <w:szCs w:val="32"/>
        </w:rPr>
        <w:t>指事业单位按照预算管理要求使用非财政拨款结余弥补收支差额的金额。</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8.上年结转和结余：</w:t>
      </w:r>
      <w:r>
        <w:rPr>
          <w:rFonts w:ascii="仿宋" w:eastAsia="仿宋" w:hAnsi="仿宋" w:cs="仿宋" w:hint="eastAsia"/>
          <w:sz w:val="32"/>
          <w:szCs w:val="32"/>
        </w:rPr>
        <w:t>指以前年度尚未完成、结转到本年按有关规定继续使用的资金。</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9.基本支出：</w:t>
      </w:r>
      <w:r>
        <w:rPr>
          <w:rFonts w:ascii="仿宋" w:eastAsia="仿宋" w:hAnsi="仿宋" w:cs="仿宋" w:hint="eastAsia"/>
          <w:sz w:val="32"/>
          <w:szCs w:val="32"/>
        </w:rPr>
        <w:t>指保障机构正常运转、完成日常工作任务而发生的人员支出和公用支出。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10.项目支出：</w:t>
      </w:r>
      <w:r>
        <w:rPr>
          <w:rFonts w:ascii="仿宋" w:eastAsia="仿宋" w:hAnsi="仿宋" w:cs="仿宋" w:hint="eastAsia"/>
          <w:sz w:val="32"/>
          <w:szCs w:val="32"/>
        </w:rPr>
        <w:t>指在基本支出之外为完成特定行政任务和事业发展目标所发生的支出。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11.上缴上级支出：</w:t>
      </w:r>
      <w:r>
        <w:rPr>
          <w:rFonts w:ascii="仿宋" w:eastAsia="仿宋" w:hAnsi="仿宋" w:cs="仿宋" w:hint="eastAsia"/>
          <w:sz w:val="32"/>
          <w:szCs w:val="32"/>
        </w:rPr>
        <w:t>指事业单位按照财政部门和主管部门的规定上缴上级单位的支出。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12.经营支出：</w:t>
      </w:r>
      <w:r>
        <w:rPr>
          <w:rFonts w:ascii="仿宋" w:eastAsia="仿宋" w:hAnsi="仿宋" w:cs="仿宋" w:hint="eastAsia"/>
          <w:sz w:val="32"/>
          <w:szCs w:val="32"/>
        </w:rPr>
        <w:t>指事业单位在专业活动及辅助活动之外开展非独立核算经营活动发生的支出。</w:t>
      </w:r>
    </w:p>
    <w:p w:rsidR="008746E4" w:rsidRDefault="008746E4" w:rsidP="008746E4">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13.对附属单位补助支出：</w:t>
      </w:r>
      <w:r>
        <w:rPr>
          <w:rFonts w:ascii="仿宋" w:eastAsia="仿宋" w:hAnsi="仿宋" w:cs="仿宋" w:hint="eastAsia"/>
          <w:sz w:val="32"/>
          <w:szCs w:val="32"/>
        </w:rPr>
        <w:t>指事业单位用财政补助收入之外的收入对附属单位补助发生的支出。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14.“三公”经费：</w:t>
      </w:r>
      <w:r>
        <w:rPr>
          <w:rFonts w:ascii="仿宋" w:eastAsia="仿宋" w:hAnsi="仿宋" w:cs="仿宋" w:hint="eastAsia"/>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15.机关运行经费：</w:t>
      </w:r>
      <w:r>
        <w:rPr>
          <w:rFonts w:ascii="仿宋" w:eastAsia="仿宋" w:hAnsi="仿宋" w:cs="仿宋" w:hint="eastAsia"/>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16.一般公共服务（类）政府办公厅（室）及相关机构事务（款）行政运行（项）：</w:t>
      </w:r>
      <w:r>
        <w:rPr>
          <w:rFonts w:ascii="仿宋" w:eastAsia="仿宋" w:hAnsi="仿宋" w:cs="仿宋" w:hint="eastAsia"/>
          <w:sz w:val="32"/>
          <w:szCs w:val="32"/>
        </w:rPr>
        <w:t>反映行政单位（包括实行公务员管理的事业单位）的基本支出。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17.一般公共服务（类）纪检监察事务（款）行政运行（项）：</w:t>
      </w:r>
      <w:r>
        <w:rPr>
          <w:rFonts w:ascii="仿宋" w:eastAsia="仿宋" w:hAnsi="仿宋" w:cs="仿宋" w:hint="eastAsia"/>
          <w:sz w:val="32"/>
          <w:szCs w:val="32"/>
        </w:rPr>
        <w:t>反映行政单位（包括实行公务员管理的事业单位）的基本支出。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18.一般公共服务（类）纪检监察事务（款）一般行政管理事务（项）：</w:t>
      </w:r>
      <w:r>
        <w:rPr>
          <w:rFonts w:ascii="仿宋" w:eastAsia="仿宋" w:hAnsi="仿宋" w:cs="仿宋" w:hint="eastAsia"/>
          <w:sz w:val="32"/>
          <w:szCs w:val="32"/>
        </w:rPr>
        <w:t>反映行政单位（包括实行公务员管理的事</w:t>
      </w:r>
      <w:r>
        <w:rPr>
          <w:rFonts w:ascii="仿宋" w:eastAsia="仿宋" w:hAnsi="仿宋" w:cs="仿宋" w:hint="eastAsia"/>
          <w:sz w:val="32"/>
          <w:szCs w:val="32"/>
        </w:rPr>
        <w:lastRenderedPageBreak/>
        <w:t>业单位）的项目支出。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19.一般公共服务（类）纪检监察事务（款）派驻派出机构（项）：</w:t>
      </w:r>
      <w:r>
        <w:rPr>
          <w:rFonts w:ascii="仿宋" w:eastAsia="仿宋" w:hAnsi="仿宋" w:cs="仿宋" w:hint="eastAsia"/>
          <w:sz w:val="32"/>
          <w:szCs w:val="32"/>
        </w:rPr>
        <w:t>反映行政单位（包括实行公务员管理的事业单位）的派驻纪检组支出。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20.一般公共服务（类）纪检监察事务（款）巡视工作（项）：</w:t>
      </w:r>
      <w:r>
        <w:rPr>
          <w:rFonts w:ascii="仿宋" w:eastAsia="仿宋" w:hAnsi="仿宋" w:cs="仿宋" w:hint="eastAsia"/>
          <w:sz w:val="32"/>
          <w:szCs w:val="32"/>
        </w:rPr>
        <w:t>反映行政单位（包括实行公务员管理的事业单位）的巡视工作支出。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21.一般公共服务（类）纪检监察事务（款）事业运行（项）：</w:t>
      </w:r>
      <w:r>
        <w:rPr>
          <w:rFonts w:ascii="仿宋" w:eastAsia="仿宋" w:hAnsi="仿宋" w:cs="仿宋" w:hint="eastAsia"/>
          <w:sz w:val="32"/>
          <w:szCs w:val="32"/>
        </w:rPr>
        <w:t>反映事业单位的基本支出。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22.一般公共服务（类）纪检监察事务（款）其他纪检监察事务支出（项）：</w:t>
      </w:r>
      <w:r>
        <w:rPr>
          <w:rFonts w:ascii="仿宋" w:eastAsia="仿宋" w:hAnsi="仿宋" w:cs="仿宋" w:hint="eastAsia"/>
          <w:sz w:val="32"/>
          <w:szCs w:val="32"/>
        </w:rPr>
        <w:t>反映行政单位（包括实行公务员管理的事业单位）的其他纪检监察事务支出。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23.社会保障和就业支出（类）行政事业单位养老支出（款）行政单位离退休（项）：</w:t>
      </w:r>
      <w:r>
        <w:rPr>
          <w:rFonts w:ascii="仿宋" w:eastAsia="仿宋" w:hAnsi="仿宋" w:cs="仿宋" w:hint="eastAsia"/>
          <w:sz w:val="32"/>
          <w:szCs w:val="32"/>
        </w:rPr>
        <w:t>反映行政单位（包括实行公务员管理的事业单位）的离退休人员支出。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24.社会保障和就业支出（类）行政事业单位养老支出（款）机关事业单位基本养老保险缴费支出（项）：</w:t>
      </w:r>
      <w:r>
        <w:rPr>
          <w:rFonts w:ascii="仿宋" w:eastAsia="仿宋" w:hAnsi="仿宋" w:cs="仿宋" w:hint="eastAsia"/>
          <w:sz w:val="32"/>
          <w:szCs w:val="32"/>
        </w:rPr>
        <w:t>反映行政单位（包括实行公务员管理的事业单位）的基本养老保险缴费支出。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25.社会保障和就业支出（类）行政事业单位养老支出（款）机关事业单位职业年金缴费支出（项）：</w:t>
      </w:r>
      <w:r>
        <w:rPr>
          <w:rFonts w:ascii="仿宋" w:eastAsia="仿宋" w:hAnsi="仿宋" w:cs="仿宋" w:hint="eastAsia"/>
          <w:sz w:val="32"/>
          <w:szCs w:val="32"/>
        </w:rPr>
        <w:t>反映行政单位（包括实行公务员管理的事业单位）的职业年金缴费支出。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26.社会保障和就业支出（类）其他社会保障和就业支出（款）其他社会保障和就业支出（项）：</w:t>
      </w:r>
      <w:r>
        <w:rPr>
          <w:rFonts w:ascii="仿宋" w:eastAsia="仿宋" w:hAnsi="仿宋" w:cs="仿宋" w:hint="eastAsia"/>
          <w:sz w:val="32"/>
          <w:szCs w:val="32"/>
        </w:rPr>
        <w:t>反映事业单位的工伤失业保险缴费支出。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27.卫生健康支出（类）行政事业单位医疗（款）行政单位医疗（项）：</w:t>
      </w:r>
      <w:r>
        <w:rPr>
          <w:rFonts w:ascii="仿宋" w:eastAsia="仿宋" w:hAnsi="仿宋" w:cs="仿宋" w:hint="eastAsia"/>
          <w:sz w:val="32"/>
          <w:szCs w:val="32"/>
        </w:rPr>
        <w:t>反映行政单位（包括实行公务员管理的事业单位）的医疗保险缴费支出。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28.卫生健康支出（类）行政事业单位医疗（款）事业单位医疗（项）：</w:t>
      </w:r>
      <w:r>
        <w:rPr>
          <w:rFonts w:ascii="仿宋" w:eastAsia="仿宋" w:hAnsi="仿宋" w:cs="仿宋" w:hint="eastAsia"/>
          <w:sz w:val="32"/>
          <w:szCs w:val="32"/>
        </w:rPr>
        <w:t>反映事业单位的医疗保险缴费支出。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29.卫生健康支出（类）行政事业单位医疗（款）其他行政事业单位医疗支出（项）：</w:t>
      </w:r>
      <w:r>
        <w:rPr>
          <w:rFonts w:ascii="仿宋" w:eastAsia="仿宋" w:hAnsi="仿宋" w:cs="仿宋" w:hint="eastAsia"/>
          <w:sz w:val="32"/>
          <w:szCs w:val="32"/>
        </w:rPr>
        <w:t>反映行政单位（包括实行公务员管理的事业单位）的大额医疗保险缴费支出。</w:t>
      </w:r>
    </w:p>
    <w:p w:rsidR="008746E4" w:rsidRDefault="008746E4" w:rsidP="008746E4">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30.住房保障支出（类）住房改革支出（款）住房公积金（项）：</w:t>
      </w:r>
      <w:r>
        <w:rPr>
          <w:rFonts w:ascii="仿宋" w:eastAsia="仿宋" w:hAnsi="仿宋" w:cs="仿宋" w:hint="eastAsia"/>
          <w:sz w:val="32"/>
          <w:szCs w:val="32"/>
        </w:rPr>
        <w:t>反映行政单位（包括实行公务员管理的事业单位）的住房公积金缴费支出。</w:t>
      </w:r>
    </w:p>
    <w:p w:rsidR="008746E4" w:rsidRDefault="008746E4" w:rsidP="008746E4">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31.其他支出（类）其他支出（款）其他支出（项）：</w:t>
      </w:r>
      <w:r>
        <w:rPr>
          <w:rFonts w:ascii="仿宋" w:eastAsia="仿宋" w:hAnsi="仿宋" w:cs="仿宋" w:hint="eastAsia"/>
          <w:sz w:val="32"/>
          <w:szCs w:val="32"/>
        </w:rPr>
        <w:t>反映行政单位（包括实行公务员管理的事业单位）的其他支出。</w:t>
      </w:r>
    </w:p>
    <w:p w:rsidR="008746E4" w:rsidRDefault="008746E4" w:rsidP="008746E4">
      <w:pPr>
        <w:pStyle w:val="a5"/>
        <w:widowControl/>
        <w:shd w:val="clear" w:color="auto" w:fill="FFFFFF"/>
        <w:spacing w:before="0" w:beforeAutospacing="0" w:after="0" w:afterAutospacing="0" w:line="540" w:lineRule="atLeast"/>
        <w:ind w:firstLine="643"/>
        <w:rPr>
          <w:rFonts w:ascii="仿宋" w:eastAsia="仿宋" w:hAnsi="仿宋" w:cs="仿宋"/>
          <w:kern w:val="2"/>
          <w:sz w:val="32"/>
          <w:szCs w:val="32"/>
        </w:rPr>
      </w:pPr>
      <w:r>
        <w:rPr>
          <w:rFonts w:ascii="仿宋" w:eastAsia="仿宋" w:hAnsi="仿宋" w:cs="仿宋" w:hint="eastAsia"/>
          <w:b/>
          <w:kern w:val="2"/>
          <w:sz w:val="32"/>
          <w:szCs w:val="32"/>
        </w:rPr>
        <w:t>32.工资福利支出：</w:t>
      </w:r>
      <w:r>
        <w:rPr>
          <w:rFonts w:ascii="仿宋" w:eastAsia="仿宋" w:hAnsi="仿宋" w:cs="仿宋" w:hint="eastAsia"/>
          <w:kern w:val="2"/>
          <w:sz w:val="32"/>
          <w:szCs w:val="32"/>
        </w:rPr>
        <w:t>反映单位开支的在职职工和编制外长期聘用人员的各类劳动报酬，以及为上述人员缴纳的各项社会保险费等。</w:t>
      </w:r>
    </w:p>
    <w:p w:rsidR="008746E4" w:rsidRDefault="008746E4" w:rsidP="008746E4">
      <w:pPr>
        <w:pStyle w:val="a5"/>
        <w:widowControl/>
        <w:shd w:val="clear" w:color="auto" w:fill="FFFFFF"/>
        <w:spacing w:before="0" w:beforeAutospacing="0" w:after="0" w:afterAutospacing="0" w:line="540" w:lineRule="atLeast"/>
        <w:ind w:firstLine="643"/>
        <w:rPr>
          <w:rFonts w:ascii="仿宋" w:eastAsia="仿宋" w:hAnsi="仿宋" w:cs="仿宋"/>
          <w:color w:val="333333"/>
          <w:sz w:val="21"/>
          <w:szCs w:val="21"/>
        </w:rPr>
      </w:pPr>
      <w:r>
        <w:rPr>
          <w:rFonts w:ascii="仿宋" w:eastAsia="仿宋" w:hAnsi="仿宋" w:cs="仿宋" w:hint="eastAsia"/>
          <w:b/>
          <w:kern w:val="2"/>
          <w:sz w:val="32"/>
          <w:szCs w:val="32"/>
        </w:rPr>
        <w:t>33.商品和服务支出：</w:t>
      </w:r>
      <w:r>
        <w:rPr>
          <w:rFonts w:ascii="仿宋" w:eastAsia="仿宋" w:hAnsi="仿宋" w:cs="仿宋" w:hint="eastAsia"/>
          <w:kern w:val="2"/>
          <w:sz w:val="32"/>
          <w:szCs w:val="32"/>
        </w:rPr>
        <w:t>反映单位购买商品和服务的支出，不包括用于购置固定资产、战略性和应急性物资储备等资本性支出。</w:t>
      </w:r>
    </w:p>
    <w:p w:rsidR="008746E4" w:rsidRDefault="008746E4" w:rsidP="008746E4">
      <w:pPr>
        <w:pStyle w:val="a5"/>
        <w:widowControl/>
        <w:shd w:val="clear" w:color="auto" w:fill="FFFFFF"/>
        <w:spacing w:before="0" w:beforeAutospacing="0" w:after="0" w:afterAutospacing="0" w:line="540" w:lineRule="atLeast"/>
        <w:ind w:firstLine="643"/>
        <w:rPr>
          <w:rFonts w:ascii="仿宋" w:eastAsia="仿宋" w:hAnsi="仿宋" w:cs="仿宋"/>
          <w:kern w:val="2"/>
          <w:sz w:val="32"/>
          <w:szCs w:val="32"/>
        </w:rPr>
      </w:pPr>
      <w:r>
        <w:rPr>
          <w:rFonts w:ascii="仿宋" w:eastAsia="仿宋" w:hAnsi="仿宋" w:cs="仿宋" w:hint="eastAsia"/>
          <w:b/>
          <w:kern w:val="2"/>
          <w:sz w:val="32"/>
          <w:szCs w:val="32"/>
        </w:rPr>
        <w:t>34.对个人和家庭补助：</w:t>
      </w:r>
      <w:r>
        <w:rPr>
          <w:rFonts w:ascii="仿宋" w:eastAsia="仿宋" w:hAnsi="仿宋" w:cs="仿宋" w:hint="eastAsia"/>
          <w:kern w:val="2"/>
          <w:sz w:val="32"/>
          <w:szCs w:val="32"/>
        </w:rPr>
        <w:t>反映政府用于对个人和家庭的补助支出。</w:t>
      </w:r>
    </w:p>
    <w:p w:rsidR="008746E4" w:rsidRDefault="008746E4" w:rsidP="008746E4">
      <w:pPr>
        <w:pStyle w:val="a5"/>
        <w:widowControl/>
        <w:shd w:val="clear" w:color="auto" w:fill="FFFFFF"/>
        <w:spacing w:before="0" w:beforeAutospacing="0" w:after="0" w:afterAutospacing="0" w:line="540" w:lineRule="atLeast"/>
        <w:ind w:firstLine="643"/>
        <w:rPr>
          <w:rFonts w:ascii="仿宋" w:eastAsia="仿宋" w:hAnsi="仿宋" w:cs="仿宋"/>
          <w:kern w:val="2"/>
          <w:sz w:val="32"/>
          <w:szCs w:val="32"/>
        </w:rPr>
      </w:pPr>
      <w:r>
        <w:rPr>
          <w:rFonts w:ascii="仿宋" w:eastAsia="仿宋" w:hAnsi="仿宋" w:cs="仿宋" w:hint="eastAsia"/>
          <w:b/>
          <w:kern w:val="2"/>
          <w:sz w:val="32"/>
          <w:szCs w:val="32"/>
        </w:rPr>
        <w:t>35.资本性支出：</w:t>
      </w:r>
      <w:r>
        <w:rPr>
          <w:rFonts w:ascii="仿宋" w:eastAsia="仿宋" w:hAnsi="仿宋" w:cs="仿宋" w:hint="eastAsia"/>
          <w:kern w:val="2"/>
          <w:sz w:val="32"/>
          <w:szCs w:val="32"/>
        </w:rPr>
        <w:t>反映各单位安排的资本性支出。切块由发展改革部门安排的基本建设支出不在此科目反映。</w:t>
      </w:r>
    </w:p>
    <w:p w:rsidR="008746E4" w:rsidRDefault="008746E4" w:rsidP="008746E4">
      <w:pPr>
        <w:spacing w:line="540" w:lineRule="exact"/>
        <w:ind w:firstLineChars="200" w:firstLine="640"/>
        <w:jc w:val="left"/>
        <w:rPr>
          <w:rFonts w:ascii="仿宋_GB2312" w:eastAsia="仿宋_GB2312"/>
          <w:i/>
          <w:sz w:val="32"/>
          <w:szCs w:val="32"/>
          <w:u w:val="single"/>
        </w:rPr>
      </w:pPr>
    </w:p>
    <w:p w:rsidR="008746E4" w:rsidRDefault="008746E4" w:rsidP="008746E4">
      <w:pPr>
        <w:spacing w:line="540" w:lineRule="exact"/>
        <w:jc w:val="center"/>
        <w:rPr>
          <w:rFonts w:ascii="仿宋_GB2312" w:eastAsia="仿宋_GB2312"/>
          <w:sz w:val="52"/>
          <w:szCs w:val="52"/>
        </w:rPr>
      </w:pPr>
      <w:r>
        <w:rPr>
          <w:rFonts w:ascii="宋体" w:hAnsi="宋体" w:hint="eastAsia"/>
          <w:b/>
          <w:sz w:val="52"/>
          <w:szCs w:val="52"/>
        </w:rPr>
        <w:lastRenderedPageBreak/>
        <w:t>第四部分</w:t>
      </w:r>
      <w:r>
        <w:rPr>
          <w:rFonts w:ascii="宋体" w:hAnsi="宋体"/>
          <w:b/>
          <w:sz w:val="52"/>
          <w:szCs w:val="52"/>
        </w:rPr>
        <w:t xml:space="preserve"> 202</w:t>
      </w:r>
      <w:r>
        <w:rPr>
          <w:rFonts w:ascii="宋体" w:hAnsi="宋体" w:hint="eastAsia"/>
          <w:b/>
          <w:sz w:val="52"/>
          <w:szCs w:val="52"/>
        </w:rPr>
        <w:t>2年度部门决算表</w:t>
      </w:r>
    </w:p>
    <w:p w:rsidR="008746E4" w:rsidRDefault="008746E4" w:rsidP="008746E4">
      <w:pPr>
        <w:spacing w:line="540" w:lineRule="exact"/>
        <w:jc w:val="center"/>
        <w:rPr>
          <w:sz w:val="32"/>
          <w:szCs w:val="32"/>
        </w:rPr>
      </w:pPr>
    </w:p>
    <w:p w:rsidR="008746E4" w:rsidRDefault="008746E4" w:rsidP="008746E4">
      <w:pPr>
        <w:spacing w:line="540" w:lineRule="exact"/>
        <w:rPr>
          <w:rFonts w:ascii="仿宋" w:eastAsia="仿宋" w:hAnsi="仿宋" w:cs="仿宋"/>
          <w:sz w:val="32"/>
          <w:szCs w:val="32"/>
        </w:rPr>
      </w:pPr>
      <w:r>
        <w:rPr>
          <w:rFonts w:ascii="仿宋" w:eastAsia="仿宋" w:hAnsi="仿宋" w:cs="仿宋" w:hint="eastAsia"/>
          <w:sz w:val="32"/>
          <w:szCs w:val="32"/>
        </w:rPr>
        <w:t>详见：《中共盘锦市纪律检查委员会</w:t>
      </w:r>
      <w:bookmarkStart w:id="0" w:name="_GoBack"/>
      <w:bookmarkEnd w:id="0"/>
      <w:r>
        <w:rPr>
          <w:rFonts w:ascii="仿宋" w:eastAsia="仿宋" w:hAnsi="仿宋" w:cs="仿宋" w:hint="eastAsia"/>
          <w:sz w:val="32"/>
          <w:szCs w:val="32"/>
        </w:rPr>
        <w:t>2022年度部门决算公开表》</w:t>
      </w:r>
    </w:p>
    <w:p w:rsidR="008746E4" w:rsidRDefault="008746E4" w:rsidP="008746E4">
      <w:pPr>
        <w:spacing w:line="540" w:lineRule="exact"/>
        <w:rPr>
          <w:rFonts w:ascii="仿宋" w:eastAsia="仿宋" w:hAnsi="仿宋" w:cs="仿宋"/>
          <w:sz w:val="32"/>
          <w:szCs w:val="32"/>
        </w:rPr>
      </w:pPr>
    </w:p>
    <w:p w:rsidR="008746E4" w:rsidRDefault="008746E4" w:rsidP="008746E4">
      <w:pPr>
        <w:spacing w:line="540" w:lineRule="exact"/>
        <w:jc w:val="center"/>
        <w:rPr>
          <w:rFonts w:ascii="仿宋_GB2312" w:eastAsia="仿宋_GB2312"/>
          <w:sz w:val="52"/>
          <w:szCs w:val="52"/>
        </w:rPr>
      </w:pPr>
      <w:r>
        <w:rPr>
          <w:rFonts w:ascii="宋体" w:hAnsi="宋体" w:hint="eastAsia"/>
          <w:b/>
          <w:sz w:val="52"/>
          <w:szCs w:val="52"/>
        </w:rPr>
        <w:t>第五部分</w:t>
      </w:r>
      <w:r>
        <w:rPr>
          <w:rFonts w:ascii="宋体" w:hAnsi="宋体"/>
          <w:b/>
          <w:sz w:val="52"/>
          <w:szCs w:val="52"/>
        </w:rPr>
        <w:t xml:space="preserve"> </w:t>
      </w:r>
      <w:r>
        <w:rPr>
          <w:rFonts w:ascii="宋体" w:hAnsi="宋体" w:hint="eastAsia"/>
          <w:b/>
          <w:sz w:val="52"/>
          <w:szCs w:val="52"/>
        </w:rPr>
        <w:t>附件</w:t>
      </w:r>
    </w:p>
    <w:p w:rsidR="008746E4" w:rsidRPr="004C767C" w:rsidRDefault="008746E4" w:rsidP="008746E4">
      <w:pPr>
        <w:spacing w:line="540" w:lineRule="exact"/>
        <w:rPr>
          <w:rFonts w:ascii="仿宋" w:eastAsia="仿宋" w:hAnsi="仿宋" w:cs="仿宋"/>
          <w:sz w:val="32"/>
          <w:szCs w:val="32"/>
        </w:rPr>
      </w:pPr>
    </w:p>
    <w:tbl>
      <w:tblPr>
        <w:tblW w:w="8257" w:type="pct"/>
        <w:tblInd w:w="-176" w:type="dxa"/>
        <w:tblLook w:val="04A0"/>
      </w:tblPr>
      <w:tblGrid>
        <w:gridCol w:w="252"/>
        <w:gridCol w:w="165"/>
        <w:gridCol w:w="252"/>
        <w:gridCol w:w="138"/>
        <w:gridCol w:w="27"/>
        <w:gridCol w:w="421"/>
        <w:gridCol w:w="371"/>
        <w:gridCol w:w="206"/>
        <w:gridCol w:w="40"/>
        <w:gridCol w:w="252"/>
        <w:gridCol w:w="141"/>
        <w:gridCol w:w="24"/>
        <w:gridCol w:w="516"/>
        <w:gridCol w:w="417"/>
        <w:gridCol w:w="375"/>
        <w:gridCol w:w="421"/>
        <w:gridCol w:w="216"/>
        <w:gridCol w:w="34"/>
        <w:gridCol w:w="417"/>
        <w:gridCol w:w="86"/>
        <w:gridCol w:w="223"/>
        <w:gridCol w:w="171"/>
        <w:gridCol w:w="37"/>
        <w:gridCol w:w="319"/>
        <w:gridCol w:w="188"/>
        <w:gridCol w:w="30"/>
        <w:gridCol w:w="423"/>
        <w:gridCol w:w="285"/>
        <w:gridCol w:w="192"/>
        <w:gridCol w:w="53"/>
        <w:gridCol w:w="367"/>
        <w:gridCol w:w="56"/>
        <w:gridCol w:w="353"/>
        <w:gridCol w:w="160"/>
        <w:gridCol w:w="35"/>
        <w:gridCol w:w="369"/>
        <w:gridCol w:w="49"/>
        <w:gridCol w:w="462"/>
        <w:gridCol w:w="55"/>
        <w:gridCol w:w="414"/>
        <w:gridCol w:w="517"/>
        <w:gridCol w:w="58"/>
        <w:gridCol w:w="418"/>
        <w:gridCol w:w="417"/>
        <w:gridCol w:w="417"/>
        <w:gridCol w:w="417"/>
        <w:gridCol w:w="313"/>
        <w:gridCol w:w="304"/>
        <w:gridCol w:w="716"/>
        <w:gridCol w:w="417"/>
        <w:gridCol w:w="457"/>
        <w:gridCol w:w="460"/>
        <w:gridCol w:w="516"/>
        <w:gridCol w:w="616"/>
      </w:tblGrid>
      <w:tr w:rsidR="008746E4" w:rsidRPr="00BD292A" w:rsidTr="00023E28">
        <w:trPr>
          <w:gridAfter w:val="11"/>
          <w:wAfter w:w="1647" w:type="pct"/>
          <w:trHeight w:val="624"/>
        </w:trPr>
        <w:tc>
          <w:tcPr>
            <w:tcW w:w="3353" w:type="pct"/>
            <w:gridSpan w:val="43"/>
            <w:vMerge w:val="restart"/>
            <w:tcBorders>
              <w:top w:val="nil"/>
              <w:left w:val="nil"/>
              <w:bottom w:val="nil"/>
              <w:right w:val="nil"/>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32"/>
                <w:szCs w:val="32"/>
              </w:rPr>
            </w:pPr>
            <w:bookmarkStart w:id="1" w:name="RANGE!A1:T48"/>
            <w:r w:rsidRPr="00BD292A">
              <w:rPr>
                <w:rFonts w:ascii="宋体" w:hAnsi="宋体" w:cs="宋体" w:hint="eastAsia"/>
                <w:b/>
                <w:bCs/>
                <w:color w:val="000000"/>
                <w:kern w:val="0"/>
                <w:sz w:val="32"/>
                <w:szCs w:val="32"/>
              </w:rPr>
              <w:t>部门（单位）整体绩效自评表</w:t>
            </w:r>
            <w:r w:rsidRPr="00BD292A">
              <w:rPr>
                <w:rFonts w:ascii="宋体" w:hAnsi="宋体" w:cs="宋体" w:hint="eastAsia"/>
                <w:b/>
                <w:bCs/>
                <w:color w:val="000000"/>
                <w:kern w:val="0"/>
                <w:sz w:val="32"/>
                <w:szCs w:val="32"/>
              </w:rPr>
              <w:br/>
            </w:r>
            <w:r w:rsidRPr="00BD292A">
              <w:rPr>
                <w:rFonts w:ascii="宋体" w:hAnsi="宋体" w:cs="宋体" w:hint="eastAsia"/>
                <w:color w:val="000000"/>
                <w:kern w:val="0"/>
                <w:sz w:val="24"/>
              </w:rPr>
              <w:t>（2022年度）</w:t>
            </w:r>
            <w:bookmarkEnd w:id="1"/>
          </w:p>
        </w:tc>
      </w:tr>
      <w:tr w:rsidR="008746E4" w:rsidRPr="00BD292A" w:rsidTr="00023E28">
        <w:trPr>
          <w:gridAfter w:val="11"/>
          <w:wAfter w:w="1647" w:type="pct"/>
          <w:trHeight w:val="624"/>
        </w:trPr>
        <w:tc>
          <w:tcPr>
            <w:tcW w:w="3353" w:type="pct"/>
            <w:gridSpan w:val="43"/>
            <w:vMerge/>
            <w:tcBorders>
              <w:top w:val="nil"/>
              <w:left w:val="nil"/>
              <w:bottom w:val="nil"/>
              <w:right w:val="nil"/>
            </w:tcBorders>
            <w:vAlign w:val="center"/>
            <w:hideMark/>
          </w:tcPr>
          <w:p w:rsidR="008746E4" w:rsidRPr="00BD292A" w:rsidRDefault="008746E4" w:rsidP="00023E28">
            <w:pPr>
              <w:widowControl/>
              <w:jc w:val="left"/>
              <w:rPr>
                <w:rFonts w:ascii="宋体" w:hAnsi="宋体" w:cs="宋体"/>
                <w:b/>
                <w:bCs/>
                <w:color w:val="000000"/>
                <w:kern w:val="0"/>
                <w:sz w:val="32"/>
                <w:szCs w:val="32"/>
              </w:rPr>
            </w:pPr>
          </w:p>
        </w:tc>
      </w:tr>
      <w:tr w:rsidR="008746E4" w:rsidRPr="00BD292A" w:rsidTr="00023E28">
        <w:trPr>
          <w:gridAfter w:val="11"/>
          <w:wAfter w:w="1647" w:type="pct"/>
          <w:trHeight w:val="624"/>
        </w:trPr>
        <w:tc>
          <w:tcPr>
            <w:tcW w:w="3353" w:type="pct"/>
            <w:gridSpan w:val="43"/>
            <w:vMerge/>
            <w:tcBorders>
              <w:top w:val="nil"/>
              <w:left w:val="nil"/>
              <w:bottom w:val="nil"/>
              <w:right w:val="nil"/>
            </w:tcBorders>
            <w:vAlign w:val="center"/>
            <w:hideMark/>
          </w:tcPr>
          <w:p w:rsidR="008746E4" w:rsidRPr="00BD292A" w:rsidRDefault="008746E4" w:rsidP="00023E28">
            <w:pPr>
              <w:widowControl/>
              <w:jc w:val="left"/>
              <w:rPr>
                <w:rFonts w:ascii="宋体" w:hAnsi="宋体" w:cs="宋体"/>
                <w:b/>
                <w:bCs/>
                <w:color w:val="000000"/>
                <w:kern w:val="0"/>
                <w:sz w:val="32"/>
                <w:szCs w:val="32"/>
              </w:rPr>
            </w:pPr>
          </w:p>
        </w:tc>
      </w:tr>
      <w:tr w:rsidR="008746E4" w:rsidRPr="00BD292A" w:rsidTr="00023E28">
        <w:trPr>
          <w:gridAfter w:val="11"/>
          <w:wAfter w:w="1647" w:type="pct"/>
          <w:trHeight w:val="285"/>
        </w:trPr>
        <w:tc>
          <w:tcPr>
            <w:tcW w:w="61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部门（单位）名称</w:t>
            </w:r>
          </w:p>
        </w:tc>
        <w:tc>
          <w:tcPr>
            <w:tcW w:w="2743" w:type="pct"/>
            <w:gridSpan w:val="3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105011中共盘锦市纪律检查委员会-211100000</w:t>
            </w:r>
          </w:p>
        </w:tc>
      </w:tr>
      <w:tr w:rsidR="008746E4" w:rsidRPr="00BD292A" w:rsidTr="00023E28">
        <w:trPr>
          <w:gridAfter w:val="11"/>
          <w:wAfter w:w="1647" w:type="pct"/>
          <w:trHeight w:val="312"/>
        </w:trPr>
        <w:tc>
          <w:tcPr>
            <w:tcW w:w="61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部门年初预算收入金额（万元）</w:t>
            </w:r>
          </w:p>
        </w:tc>
        <w:tc>
          <w:tcPr>
            <w:tcW w:w="2743" w:type="pct"/>
            <w:gridSpan w:val="3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9428.32</w:t>
            </w:r>
          </w:p>
        </w:tc>
      </w:tr>
      <w:tr w:rsidR="008746E4" w:rsidRPr="00BD292A" w:rsidTr="00023E28">
        <w:trPr>
          <w:gridAfter w:val="11"/>
          <w:wAfter w:w="1647" w:type="pct"/>
          <w:trHeight w:val="312"/>
        </w:trPr>
        <w:tc>
          <w:tcPr>
            <w:tcW w:w="61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部门年初预算支出金额（万元）</w:t>
            </w:r>
          </w:p>
        </w:tc>
        <w:tc>
          <w:tcPr>
            <w:tcW w:w="2743" w:type="pct"/>
            <w:gridSpan w:val="3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9428.32</w:t>
            </w:r>
          </w:p>
        </w:tc>
      </w:tr>
      <w:tr w:rsidR="008746E4" w:rsidRPr="00BD292A" w:rsidTr="00023E28">
        <w:trPr>
          <w:gridAfter w:val="11"/>
          <w:wAfter w:w="1647" w:type="pct"/>
          <w:trHeight w:val="600"/>
        </w:trPr>
        <w:tc>
          <w:tcPr>
            <w:tcW w:w="1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年度主要任务</w:t>
            </w: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对应项目</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项目下达金额（万元）</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项目执行金额（万元）</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项目执行率</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分值</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得分</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机关派驻机构信息化经费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30.02</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27.69</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92.26%</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2.58323784</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部门预算基本支出公用经费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433.10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382.89</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88.40%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2.47</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监察调查工作经费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107.68</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107.68</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派驻检法辽东湾纪检组工作经费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14.00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14</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检举举报平台经费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25.00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落实八项规定工作经费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20.00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20</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大数据中心改建经费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1000.00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宣教工作经费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20.00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20</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留置场所维护费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685.00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679.2</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99.15%</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2.77</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留置场所改扩建工程经费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3658.88</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3429.36</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93.72%</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2.62</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创新监督工作经费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40.00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0.00%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办案专用设备购置费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15.00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15</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纪律审查工作经费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151.00</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151</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100.00%</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2.8</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576" w:type="pct"/>
            <w:gridSpan w:val="2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部门预算基本支出人员经费</w:t>
            </w:r>
          </w:p>
        </w:tc>
        <w:tc>
          <w:tcPr>
            <w:tcW w:w="335" w:type="pct"/>
            <w:gridSpan w:val="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3500.97</w:t>
            </w:r>
          </w:p>
        </w:tc>
        <w:tc>
          <w:tcPr>
            <w:tcW w:w="316"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3390.33</w:t>
            </w:r>
          </w:p>
        </w:tc>
        <w:tc>
          <w:tcPr>
            <w:tcW w:w="321" w:type="pct"/>
            <w:gridSpan w:val="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96.83%</w:t>
            </w:r>
          </w:p>
        </w:tc>
        <w:tc>
          <w:tcPr>
            <w:tcW w:w="1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3.6</w:t>
            </w:r>
          </w:p>
        </w:tc>
        <w:tc>
          <w:tcPr>
            <w:tcW w:w="502" w:type="pct"/>
            <w:gridSpan w:val="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3.48</w:t>
            </w:r>
          </w:p>
        </w:tc>
      </w:tr>
      <w:tr w:rsidR="008746E4" w:rsidRPr="00BD292A" w:rsidTr="00023E28">
        <w:trPr>
          <w:gridAfter w:val="11"/>
          <w:wAfter w:w="1647" w:type="pct"/>
          <w:trHeight w:val="312"/>
        </w:trPr>
        <w:tc>
          <w:tcPr>
            <w:tcW w:w="1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年度目标</w:t>
            </w:r>
          </w:p>
        </w:tc>
        <w:tc>
          <w:tcPr>
            <w:tcW w:w="1773" w:type="pct"/>
            <w:gridSpan w:val="2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年初总体目标</w:t>
            </w:r>
          </w:p>
        </w:tc>
        <w:tc>
          <w:tcPr>
            <w:tcW w:w="1444" w:type="pct"/>
            <w:gridSpan w:val="17"/>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全年完成情况</w:t>
            </w:r>
          </w:p>
        </w:tc>
      </w:tr>
      <w:tr w:rsidR="008746E4" w:rsidRPr="00BD292A" w:rsidTr="00023E28">
        <w:trPr>
          <w:gridAfter w:val="11"/>
          <w:wAfter w:w="1647" w:type="pct"/>
          <w:trHeight w:val="480"/>
        </w:trPr>
        <w:tc>
          <w:tcPr>
            <w:tcW w:w="136" w:type="pct"/>
            <w:gridSpan w:val="2"/>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773" w:type="pct"/>
            <w:gridSpan w:val="24"/>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留置场所维护费（含物业、水电、维护、伙食、陪护人员补助、疫情防控核酸检测）</w:t>
            </w:r>
            <w:r w:rsidRPr="00BD292A">
              <w:rPr>
                <w:rFonts w:ascii="宋体" w:hAnsi="宋体" w:cs="宋体" w:hint="eastAsia"/>
                <w:color w:val="000000"/>
                <w:kern w:val="0"/>
                <w:sz w:val="20"/>
                <w:szCs w:val="20"/>
              </w:rPr>
              <w:br/>
              <w:t>纪律审查工作经费（用于党内监督工作中监督执纪问责工作经费）</w:t>
            </w:r>
            <w:r w:rsidRPr="00BD292A">
              <w:rPr>
                <w:rFonts w:ascii="宋体" w:hAnsi="宋体" w:cs="宋体" w:hint="eastAsia"/>
                <w:color w:val="000000"/>
                <w:kern w:val="0"/>
                <w:sz w:val="20"/>
                <w:szCs w:val="20"/>
              </w:rPr>
              <w:br/>
              <w:t>机关派驻机构信息化经费（用于纪检监察网络维护费、外网等级保护测评费用及网络线路租赁所需经费）</w:t>
            </w:r>
            <w:r w:rsidRPr="00BD292A">
              <w:rPr>
                <w:rFonts w:ascii="宋体" w:hAnsi="宋体" w:cs="宋体" w:hint="eastAsia"/>
                <w:color w:val="000000"/>
                <w:kern w:val="0"/>
                <w:sz w:val="20"/>
                <w:szCs w:val="20"/>
              </w:rPr>
              <w:br/>
              <w:t>派驻检法辽东湾纪检组工作经费（法院、检察院派驻纪检组工作经费）</w:t>
            </w:r>
            <w:r w:rsidRPr="00BD292A">
              <w:rPr>
                <w:rFonts w:ascii="宋体" w:hAnsi="宋体" w:cs="宋体" w:hint="eastAsia"/>
                <w:color w:val="000000"/>
                <w:kern w:val="0"/>
                <w:sz w:val="20"/>
                <w:szCs w:val="20"/>
              </w:rPr>
              <w:br/>
              <w:t>检举举报平台经费（12388平台工作人员工资及平台维护费）</w:t>
            </w:r>
            <w:r w:rsidRPr="00BD292A">
              <w:rPr>
                <w:rFonts w:ascii="宋体" w:hAnsi="宋体" w:cs="宋体" w:hint="eastAsia"/>
                <w:color w:val="000000"/>
                <w:kern w:val="0"/>
                <w:sz w:val="20"/>
                <w:szCs w:val="20"/>
              </w:rPr>
              <w:br/>
              <w:t>监察调查工作经费（用于监察监督工作中监督调查发生的差旅费、委托鉴定等中介费、伙食费、办案及陪护人员补助费、车燃费等支出）</w:t>
            </w:r>
            <w:r w:rsidRPr="00BD292A">
              <w:rPr>
                <w:rFonts w:ascii="宋体" w:hAnsi="宋体" w:cs="宋体" w:hint="eastAsia"/>
                <w:color w:val="000000"/>
                <w:kern w:val="0"/>
                <w:sz w:val="20"/>
                <w:szCs w:val="20"/>
              </w:rPr>
              <w:br/>
              <w:t>落实八项规定工作经费（“八项规定”日常监督和异地检查等所需经费）</w:t>
            </w:r>
            <w:r w:rsidRPr="00BD292A">
              <w:rPr>
                <w:rFonts w:ascii="宋体" w:hAnsi="宋体" w:cs="宋体" w:hint="eastAsia"/>
                <w:color w:val="000000"/>
                <w:kern w:val="0"/>
                <w:sz w:val="20"/>
                <w:szCs w:val="20"/>
              </w:rPr>
              <w:br/>
              <w:t>宣教工作经费（全市党风廉政建设警示教育等宣传及培训所需经费）</w:t>
            </w:r>
            <w:r w:rsidRPr="00BD292A">
              <w:rPr>
                <w:rFonts w:ascii="宋体" w:hAnsi="宋体" w:cs="宋体" w:hint="eastAsia"/>
                <w:color w:val="000000"/>
                <w:kern w:val="0"/>
                <w:sz w:val="20"/>
                <w:szCs w:val="20"/>
              </w:rPr>
              <w:br/>
              <w:t>创新监督工作经费（用于“四个监督”软件开发使用及软件维护费）</w:t>
            </w:r>
            <w:r w:rsidRPr="00BD292A">
              <w:rPr>
                <w:rFonts w:ascii="宋体" w:hAnsi="宋体" w:cs="宋体" w:hint="eastAsia"/>
                <w:color w:val="000000"/>
                <w:kern w:val="0"/>
                <w:sz w:val="20"/>
                <w:szCs w:val="20"/>
              </w:rPr>
              <w:br/>
              <w:t>部门预算基本支出人员经费（工资、办公费）</w:t>
            </w:r>
            <w:r w:rsidRPr="00BD292A">
              <w:rPr>
                <w:rFonts w:ascii="宋体" w:hAnsi="宋体" w:cs="宋体" w:hint="eastAsia"/>
                <w:color w:val="000000"/>
                <w:kern w:val="0"/>
                <w:sz w:val="20"/>
                <w:szCs w:val="20"/>
              </w:rPr>
              <w:br/>
              <w:t>办案专用设备购置费（购置用于审核调查数据查询分析采集系统所需经费）</w:t>
            </w:r>
            <w:r w:rsidRPr="00BD292A">
              <w:rPr>
                <w:rFonts w:ascii="宋体" w:hAnsi="宋体" w:cs="宋体" w:hint="eastAsia"/>
                <w:color w:val="000000"/>
                <w:kern w:val="0"/>
                <w:sz w:val="20"/>
                <w:szCs w:val="20"/>
              </w:rPr>
              <w:br/>
              <w:t>部门预算基本支出公用经费（办公费）</w:t>
            </w:r>
            <w:r w:rsidRPr="00BD292A">
              <w:rPr>
                <w:rFonts w:ascii="宋体" w:hAnsi="宋体" w:cs="宋体" w:hint="eastAsia"/>
                <w:color w:val="000000"/>
                <w:kern w:val="0"/>
                <w:sz w:val="20"/>
                <w:szCs w:val="20"/>
              </w:rPr>
              <w:br/>
              <w:t>大数据中心改建经费</w:t>
            </w:r>
            <w:r w:rsidRPr="00BD292A">
              <w:rPr>
                <w:rFonts w:ascii="宋体" w:hAnsi="宋体" w:cs="宋体" w:hint="eastAsia"/>
                <w:color w:val="000000"/>
                <w:kern w:val="0"/>
                <w:sz w:val="20"/>
                <w:szCs w:val="20"/>
              </w:rPr>
              <w:br/>
              <w:t>留置场所改扩建工程经费</w:t>
            </w:r>
          </w:p>
        </w:tc>
        <w:tc>
          <w:tcPr>
            <w:tcW w:w="1444" w:type="pct"/>
            <w:gridSpan w:val="17"/>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已完成</w:t>
            </w:r>
          </w:p>
        </w:tc>
      </w:tr>
      <w:tr w:rsidR="008746E4" w:rsidRPr="00BD292A" w:rsidTr="00023E28">
        <w:trPr>
          <w:gridAfter w:val="11"/>
          <w:wAfter w:w="1647" w:type="pct"/>
          <w:trHeight w:val="285"/>
        </w:trPr>
        <w:tc>
          <w:tcPr>
            <w:tcW w:w="136" w:type="pct"/>
            <w:gridSpan w:val="2"/>
            <w:vMerge w:val="restart"/>
            <w:tcBorders>
              <w:top w:val="nil"/>
              <w:left w:val="single" w:sz="4" w:space="0" w:color="auto"/>
              <w:bottom w:val="nil"/>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绩效指标</w:t>
            </w:r>
          </w:p>
        </w:tc>
        <w:tc>
          <w:tcPr>
            <w:tcW w:w="13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一级指标</w:t>
            </w:r>
          </w:p>
        </w:tc>
        <w:tc>
          <w:tcPr>
            <w:tcW w:w="137"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二级指标</w:t>
            </w:r>
          </w:p>
        </w:tc>
        <w:tc>
          <w:tcPr>
            <w:tcW w:w="201"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三级指标</w:t>
            </w:r>
          </w:p>
        </w:tc>
        <w:tc>
          <w:tcPr>
            <w:tcW w:w="13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运算符号</w:t>
            </w:r>
          </w:p>
        </w:tc>
        <w:tc>
          <w:tcPr>
            <w:tcW w:w="168"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指标值</w:t>
            </w:r>
          </w:p>
        </w:tc>
        <w:tc>
          <w:tcPr>
            <w:tcW w:w="136"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度量单位</w:t>
            </w:r>
          </w:p>
        </w:tc>
        <w:tc>
          <w:tcPr>
            <w:tcW w:w="357"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全年完成值</w:t>
            </w:r>
          </w:p>
        </w:tc>
        <w:tc>
          <w:tcPr>
            <w:tcW w:w="1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完成程度</w:t>
            </w:r>
          </w:p>
        </w:tc>
        <w:tc>
          <w:tcPr>
            <w:tcW w:w="169"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分值</w:t>
            </w:r>
          </w:p>
        </w:tc>
        <w:tc>
          <w:tcPr>
            <w:tcW w:w="197"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得分</w:t>
            </w:r>
          </w:p>
        </w:tc>
        <w:tc>
          <w:tcPr>
            <w:tcW w:w="774" w:type="pct"/>
            <w:gridSpan w:val="11"/>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偏差原因分析</w:t>
            </w:r>
          </w:p>
        </w:tc>
        <w:tc>
          <w:tcPr>
            <w:tcW w:w="670"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改进措施</w:t>
            </w:r>
          </w:p>
        </w:tc>
      </w:tr>
      <w:tr w:rsidR="008746E4" w:rsidRPr="00BD292A" w:rsidTr="00023E28">
        <w:trPr>
          <w:gridAfter w:val="11"/>
          <w:wAfter w:w="1647" w:type="pct"/>
          <w:trHeight w:val="96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201"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68"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57" w:type="pct"/>
            <w:gridSpan w:val="4"/>
            <w:vMerge/>
            <w:tcBorders>
              <w:top w:val="nil"/>
              <w:left w:val="single" w:sz="4" w:space="0" w:color="auto"/>
              <w:bottom w:val="single" w:sz="4" w:space="0" w:color="000000"/>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vMerge/>
            <w:tcBorders>
              <w:top w:val="nil"/>
              <w:left w:val="single" w:sz="4" w:space="0" w:color="auto"/>
              <w:bottom w:val="single" w:sz="4" w:space="0" w:color="000000"/>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69" w:type="pct"/>
            <w:gridSpan w:val="4"/>
            <w:vMerge/>
            <w:tcBorders>
              <w:top w:val="nil"/>
              <w:left w:val="single" w:sz="4" w:space="0" w:color="auto"/>
              <w:bottom w:val="single" w:sz="4" w:space="0" w:color="000000"/>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97" w:type="pct"/>
            <w:gridSpan w:val="3"/>
            <w:vMerge/>
            <w:tcBorders>
              <w:top w:val="nil"/>
              <w:left w:val="single" w:sz="4" w:space="0" w:color="auto"/>
              <w:bottom w:val="single" w:sz="4" w:space="0" w:color="000000"/>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经费保障原因分析</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制度保障原因分析</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人员保障原因分析</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硬件条件保障原因分析</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其他原因分析</w:t>
            </w:r>
          </w:p>
        </w:tc>
        <w:tc>
          <w:tcPr>
            <w:tcW w:w="670" w:type="pct"/>
            <w:gridSpan w:val="6"/>
            <w:vMerge/>
            <w:tcBorders>
              <w:top w:val="nil"/>
              <w:left w:val="nil"/>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r>
      <w:tr w:rsidR="008746E4" w:rsidRPr="00BD292A" w:rsidTr="00023E28">
        <w:trPr>
          <w:gridAfter w:val="11"/>
          <w:wAfter w:w="1647" w:type="pct"/>
          <w:trHeight w:val="96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履职效能</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重点工作履行情况</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重点工作办结率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3.5</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3.5</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48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整体工作完成情况</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总体工作完成率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48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工作完成及时率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48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工作质量达标率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40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基础管理</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依法行政能力</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管理规范</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40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综合管理水平</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管理规范</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85"/>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预算执行</w:t>
            </w:r>
          </w:p>
        </w:tc>
        <w:tc>
          <w:tcPr>
            <w:tcW w:w="137"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预算执行效率</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预算执行率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1.6</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1.6</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85"/>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预算调整率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&lt;=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5</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1.6</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1.6</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48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结转结余变动</w:t>
            </w:r>
            <w:r w:rsidRPr="00BD292A">
              <w:rPr>
                <w:rFonts w:ascii="宋体" w:hAnsi="宋体" w:cs="宋体" w:hint="eastAsia"/>
                <w:color w:val="000000"/>
                <w:kern w:val="0"/>
                <w:sz w:val="20"/>
                <w:szCs w:val="20"/>
              </w:rPr>
              <w:lastRenderedPageBreak/>
              <w:t>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lastRenderedPageBreak/>
              <w:t>&lt;=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1.8</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1.8</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72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管理效率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预算编制管理</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预算绩效目标覆盖率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0.8</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0.8</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40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预算监督管理</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预决算公开情况</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全部公开</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40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预算收支管理</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预算收入管理规范性</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管理规范</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40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预算支出管理规范性</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管理规范</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40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财务管理</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内控制度有效性</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制度有效</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48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资产管理</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固定资产利用率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72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业务管理</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政府采购管理违法违规行为发生次数</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次</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48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运行成本</w:t>
            </w:r>
          </w:p>
        </w:tc>
        <w:tc>
          <w:tcPr>
            <w:tcW w:w="137"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成本控制成效</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“三公”经费变动率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&lt;=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48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在职人员控制率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&lt;=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48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社会效应</w:t>
            </w:r>
          </w:p>
        </w:tc>
        <w:tc>
          <w:tcPr>
            <w:tcW w:w="137"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社会效益</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经费保障提升率</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&gt;=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6.6</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6.6</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40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平台及网络设备无障碍运行情况</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运行平稳</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6.8</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6.8</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96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社会公众满意度</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当地群众总体满意度</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&gt;=</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6.6</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6.6</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400"/>
        </w:trPr>
        <w:tc>
          <w:tcPr>
            <w:tcW w:w="136" w:type="pct"/>
            <w:gridSpan w:val="2"/>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可持续性</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体制机制改革</w:t>
            </w:r>
          </w:p>
        </w:tc>
        <w:tc>
          <w:tcPr>
            <w:tcW w:w="201"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建立预算绩效管理机制</w:t>
            </w:r>
          </w:p>
        </w:tc>
        <w:tc>
          <w:tcPr>
            <w:tcW w:w="136"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6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制度有效</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57"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69"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5</w:t>
            </w:r>
          </w:p>
        </w:tc>
        <w:tc>
          <w:tcPr>
            <w:tcW w:w="197"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5</w:t>
            </w:r>
          </w:p>
        </w:tc>
        <w:tc>
          <w:tcPr>
            <w:tcW w:w="138"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78"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8"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84"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11"/>
          <w:wAfter w:w="1647" w:type="pct"/>
          <w:trHeight w:val="285"/>
        </w:trPr>
        <w:tc>
          <w:tcPr>
            <w:tcW w:w="1909" w:type="pct"/>
            <w:gridSpan w:val="2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46E4" w:rsidRPr="00BD292A" w:rsidRDefault="008746E4" w:rsidP="00023E28">
            <w:pPr>
              <w:widowControl/>
              <w:jc w:val="center"/>
              <w:rPr>
                <w:rFonts w:ascii="宋体" w:hAnsi="宋体" w:cs="宋体"/>
                <w:b/>
                <w:bCs/>
                <w:color w:val="000000"/>
                <w:kern w:val="0"/>
                <w:sz w:val="22"/>
                <w:szCs w:val="22"/>
              </w:rPr>
            </w:pPr>
            <w:r w:rsidRPr="00BD292A">
              <w:rPr>
                <w:rFonts w:ascii="宋体" w:hAnsi="宋体" w:cs="宋体" w:hint="eastAsia"/>
                <w:b/>
                <w:bCs/>
                <w:color w:val="000000"/>
                <w:kern w:val="0"/>
                <w:sz w:val="22"/>
                <w:szCs w:val="22"/>
              </w:rPr>
              <w:t>总评价得分</w:t>
            </w:r>
          </w:p>
        </w:tc>
        <w:tc>
          <w:tcPr>
            <w:tcW w:w="1444" w:type="pct"/>
            <w:gridSpan w:val="17"/>
            <w:tcBorders>
              <w:top w:val="single" w:sz="4" w:space="0" w:color="auto"/>
              <w:left w:val="nil"/>
              <w:bottom w:val="single" w:sz="4" w:space="0" w:color="auto"/>
              <w:right w:val="single" w:sz="4" w:space="0" w:color="000000"/>
            </w:tcBorders>
            <w:shd w:val="clear" w:color="000000" w:fill="FFFFFF"/>
            <w:noWrap/>
            <w:vAlign w:val="bottom"/>
            <w:hideMark/>
          </w:tcPr>
          <w:p w:rsidR="008746E4" w:rsidRPr="00BD292A" w:rsidRDefault="008746E4" w:rsidP="00023E28">
            <w:pPr>
              <w:widowControl/>
              <w:jc w:val="center"/>
              <w:rPr>
                <w:rFonts w:ascii="宋体" w:hAnsi="宋体" w:cs="宋体"/>
                <w:color w:val="000000"/>
                <w:kern w:val="0"/>
                <w:sz w:val="22"/>
                <w:szCs w:val="22"/>
              </w:rPr>
            </w:pPr>
            <w:r w:rsidRPr="00BD292A">
              <w:rPr>
                <w:rFonts w:ascii="宋体" w:hAnsi="宋体" w:cs="宋体" w:hint="eastAsia"/>
                <w:color w:val="000000"/>
                <w:kern w:val="0"/>
                <w:sz w:val="22"/>
                <w:szCs w:val="22"/>
              </w:rPr>
              <w:t>96.32</w:t>
            </w:r>
          </w:p>
        </w:tc>
      </w:tr>
      <w:tr w:rsidR="008746E4" w:rsidRPr="00BD292A" w:rsidTr="00023E28">
        <w:trPr>
          <w:gridAfter w:val="5"/>
          <w:wAfter w:w="804" w:type="pct"/>
          <w:trHeight w:val="624"/>
        </w:trPr>
        <w:tc>
          <w:tcPr>
            <w:tcW w:w="4196" w:type="pct"/>
            <w:gridSpan w:val="49"/>
            <w:vMerge w:val="restart"/>
            <w:tcBorders>
              <w:top w:val="nil"/>
              <w:left w:val="nil"/>
              <w:bottom w:val="nil"/>
              <w:right w:val="nil"/>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32"/>
                <w:szCs w:val="32"/>
              </w:rPr>
            </w:pPr>
            <w:bookmarkStart w:id="2" w:name="RANGE!A1:T36"/>
          </w:p>
          <w:p w:rsidR="008746E4" w:rsidRPr="00BD292A" w:rsidRDefault="008746E4" w:rsidP="00023E28">
            <w:pPr>
              <w:widowControl/>
              <w:jc w:val="center"/>
              <w:rPr>
                <w:rFonts w:ascii="宋体" w:hAnsi="宋体" w:cs="宋体"/>
                <w:b/>
                <w:bCs/>
                <w:color w:val="000000"/>
                <w:kern w:val="0"/>
                <w:sz w:val="32"/>
                <w:szCs w:val="32"/>
              </w:rPr>
            </w:pPr>
          </w:p>
          <w:p w:rsidR="008746E4" w:rsidRPr="00BD292A" w:rsidRDefault="008746E4" w:rsidP="00023E28">
            <w:pPr>
              <w:widowControl/>
              <w:jc w:val="center"/>
              <w:rPr>
                <w:rFonts w:ascii="宋体" w:hAnsi="宋体" w:cs="宋体"/>
                <w:b/>
                <w:bCs/>
                <w:color w:val="000000"/>
                <w:kern w:val="0"/>
                <w:sz w:val="32"/>
                <w:szCs w:val="32"/>
              </w:rPr>
            </w:pPr>
            <w:r w:rsidRPr="00BD292A">
              <w:rPr>
                <w:rFonts w:ascii="宋体" w:hAnsi="宋体" w:cs="宋体" w:hint="eastAsia"/>
                <w:b/>
                <w:bCs/>
                <w:color w:val="000000"/>
                <w:kern w:val="0"/>
                <w:sz w:val="32"/>
                <w:szCs w:val="32"/>
              </w:rPr>
              <w:t>部门（单位）整体绩效自评表</w:t>
            </w:r>
            <w:r w:rsidRPr="00BD292A">
              <w:rPr>
                <w:rFonts w:ascii="宋体" w:hAnsi="宋体" w:cs="宋体" w:hint="eastAsia"/>
                <w:b/>
                <w:bCs/>
                <w:color w:val="000000"/>
                <w:kern w:val="0"/>
                <w:sz w:val="32"/>
                <w:szCs w:val="32"/>
              </w:rPr>
              <w:br/>
            </w:r>
            <w:r w:rsidRPr="00BD292A">
              <w:rPr>
                <w:rFonts w:ascii="宋体" w:hAnsi="宋体" w:cs="宋体" w:hint="eastAsia"/>
                <w:b/>
                <w:color w:val="000000"/>
                <w:kern w:val="0"/>
                <w:sz w:val="24"/>
              </w:rPr>
              <w:t>（2022年度）</w:t>
            </w:r>
            <w:bookmarkEnd w:id="2"/>
          </w:p>
        </w:tc>
      </w:tr>
      <w:tr w:rsidR="008746E4" w:rsidRPr="00BD292A" w:rsidTr="00023E28">
        <w:trPr>
          <w:gridAfter w:val="5"/>
          <w:wAfter w:w="804" w:type="pct"/>
          <w:trHeight w:val="624"/>
        </w:trPr>
        <w:tc>
          <w:tcPr>
            <w:tcW w:w="4196" w:type="pct"/>
            <w:gridSpan w:val="49"/>
            <w:vMerge/>
            <w:tcBorders>
              <w:top w:val="nil"/>
              <w:left w:val="nil"/>
              <w:bottom w:val="nil"/>
              <w:right w:val="nil"/>
            </w:tcBorders>
            <w:vAlign w:val="center"/>
            <w:hideMark/>
          </w:tcPr>
          <w:p w:rsidR="008746E4" w:rsidRPr="00BD292A" w:rsidRDefault="008746E4" w:rsidP="00023E28">
            <w:pPr>
              <w:widowControl/>
              <w:jc w:val="left"/>
              <w:rPr>
                <w:rFonts w:ascii="宋体" w:hAnsi="宋体" w:cs="宋体"/>
                <w:b/>
                <w:bCs/>
                <w:color w:val="000000"/>
                <w:kern w:val="0"/>
                <w:sz w:val="32"/>
                <w:szCs w:val="32"/>
              </w:rPr>
            </w:pPr>
          </w:p>
        </w:tc>
      </w:tr>
      <w:tr w:rsidR="008746E4" w:rsidRPr="00BD292A" w:rsidTr="00023E28">
        <w:trPr>
          <w:gridAfter w:val="5"/>
          <w:wAfter w:w="804" w:type="pct"/>
          <w:trHeight w:val="624"/>
        </w:trPr>
        <w:tc>
          <w:tcPr>
            <w:tcW w:w="4196" w:type="pct"/>
            <w:gridSpan w:val="49"/>
            <w:vMerge/>
            <w:tcBorders>
              <w:top w:val="nil"/>
              <w:left w:val="nil"/>
              <w:bottom w:val="nil"/>
              <w:right w:val="nil"/>
            </w:tcBorders>
            <w:vAlign w:val="center"/>
            <w:hideMark/>
          </w:tcPr>
          <w:p w:rsidR="008746E4" w:rsidRPr="00BD292A" w:rsidRDefault="008746E4" w:rsidP="00023E28">
            <w:pPr>
              <w:widowControl/>
              <w:jc w:val="left"/>
              <w:rPr>
                <w:rFonts w:ascii="宋体" w:hAnsi="宋体" w:cs="宋体"/>
                <w:b/>
                <w:bCs/>
                <w:color w:val="000000"/>
                <w:kern w:val="0"/>
                <w:sz w:val="32"/>
                <w:szCs w:val="32"/>
              </w:rPr>
            </w:pPr>
          </w:p>
        </w:tc>
      </w:tr>
      <w:tr w:rsidR="008746E4" w:rsidRPr="00BD292A" w:rsidTr="00023E28">
        <w:trPr>
          <w:gridAfter w:val="5"/>
          <w:wAfter w:w="804" w:type="pct"/>
          <w:trHeight w:val="285"/>
        </w:trPr>
        <w:tc>
          <w:tcPr>
            <w:tcW w:w="1182" w:type="pct"/>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部门（单位）名称</w:t>
            </w:r>
          </w:p>
        </w:tc>
        <w:tc>
          <w:tcPr>
            <w:tcW w:w="3014" w:type="pct"/>
            <w:gridSpan w:val="3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105022盘锦市纪委监委综合保障中心-211100000</w:t>
            </w:r>
          </w:p>
        </w:tc>
      </w:tr>
      <w:tr w:rsidR="008746E4" w:rsidRPr="00BD292A" w:rsidTr="00023E28">
        <w:trPr>
          <w:gridAfter w:val="5"/>
          <w:wAfter w:w="804" w:type="pct"/>
          <w:trHeight w:val="312"/>
        </w:trPr>
        <w:tc>
          <w:tcPr>
            <w:tcW w:w="1182" w:type="pct"/>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部门年初预算收入金额（万元）</w:t>
            </w:r>
          </w:p>
        </w:tc>
        <w:tc>
          <w:tcPr>
            <w:tcW w:w="3014" w:type="pct"/>
            <w:gridSpan w:val="3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80.73</w:t>
            </w:r>
          </w:p>
        </w:tc>
      </w:tr>
      <w:tr w:rsidR="008746E4" w:rsidRPr="00BD292A" w:rsidTr="00023E28">
        <w:trPr>
          <w:gridAfter w:val="5"/>
          <w:wAfter w:w="804" w:type="pct"/>
          <w:trHeight w:val="312"/>
        </w:trPr>
        <w:tc>
          <w:tcPr>
            <w:tcW w:w="1182" w:type="pct"/>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部门年初预算支出金额（万元）</w:t>
            </w:r>
          </w:p>
        </w:tc>
        <w:tc>
          <w:tcPr>
            <w:tcW w:w="3014" w:type="pct"/>
            <w:gridSpan w:val="34"/>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80.73</w:t>
            </w:r>
          </w:p>
        </w:tc>
      </w:tr>
      <w:tr w:rsidR="008746E4" w:rsidRPr="00BD292A" w:rsidTr="00023E28">
        <w:trPr>
          <w:gridAfter w:val="5"/>
          <w:wAfter w:w="804" w:type="pct"/>
          <w:trHeight w:val="600"/>
        </w:trPr>
        <w:tc>
          <w:tcPr>
            <w:tcW w:w="218"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年度主要任务</w:t>
            </w:r>
          </w:p>
        </w:tc>
        <w:tc>
          <w:tcPr>
            <w:tcW w:w="2317" w:type="pct"/>
            <w:gridSpan w:val="3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对应项目</w:t>
            </w:r>
          </w:p>
        </w:tc>
        <w:tc>
          <w:tcPr>
            <w:tcW w:w="682" w:type="pct"/>
            <w:gridSpan w:val="8"/>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项目下达金额（万元）</w:t>
            </w:r>
          </w:p>
        </w:tc>
        <w:tc>
          <w:tcPr>
            <w:tcW w:w="272"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项目执行金额（万元）</w:t>
            </w:r>
          </w:p>
        </w:tc>
        <w:tc>
          <w:tcPr>
            <w:tcW w:w="272"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项目执行率</w:t>
            </w:r>
          </w:p>
        </w:tc>
        <w:tc>
          <w:tcPr>
            <w:tcW w:w="201"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分值</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得分</w:t>
            </w:r>
          </w:p>
        </w:tc>
      </w:tr>
      <w:tr w:rsidR="008746E4" w:rsidRPr="00BD292A" w:rsidTr="00023E28">
        <w:trPr>
          <w:gridAfter w:val="5"/>
          <w:wAfter w:w="804" w:type="pct"/>
          <w:trHeight w:val="480"/>
        </w:trPr>
        <w:tc>
          <w:tcPr>
            <w:tcW w:w="218"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2317" w:type="pct"/>
            <w:gridSpan w:val="3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部门预算基本支出人员经费</w:t>
            </w:r>
          </w:p>
        </w:tc>
        <w:tc>
          <w:tcPr>
            <w:tcW w:w="682" w:type="pct"/>
            <w:gridSpan w:val="8"/>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112.29</w:t>
            </w:r>
          </w:p>
        </w:tc>
        <w:tc>
          <w:tcPr>
            <w:tcW w:w="272"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111.89</w:t>
            </w:r>
          </w:p>
        </w:tc>
        <w:tc>
          <w:tcPr>
            <w:tcW w:w="272"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99.64%</w:t>
            </w:r>
          </w:p>
        </w:tc>
        <w:tc>
          <w:tcPr>
            <w:tcW w:w="201"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13.3</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13.25</w:t>
            </w:r>
          </w:p>
        </w:tc>
      </w:tr>
      <w:tr w:rsidR="008746E4" w:rsidRPr="00BD292A" w:rsidTr="00023E28">
        <w:trPr>
          <w:gridAfter w:val="5"/>
          <w:wAfter w:w="804" w:type="pct"/>
          <w:trHeight w:val="480"/>
        </w:trPr>
        <w:tc>
          <w:tcPr>
            <w:tcW w:w="218"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2317" w:type="pct"/>
            <w:gridSpan w:val="3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办案基地网络保障费用</w:t>
            </w:r>
          </w:p>
        </w:tc>
        <w:tc>
          <w:tcPr>
            <w:tcW w:w="682" w:type="pct"/>
            <w:gridSpan w:val="8"/>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10.00</w:t>
            </w:r>
          </w:p>
        </w:tc>
        <w:tc>
          <w:tcPr>
            <w:tcW w:w="272"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9.98</w:t>
            </w:r>
          </w:p>
        </w:tc>
        <w:tc>
          <w:tcPr>
            <w:tcW w:w="272"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99.83%</w:t>
            </w:r>
          </w:p>
        </w:tc>
        <w:tc>
          <w:tcPr>
            <w:tcW w:w="201"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13.3</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13.27</w:t>
            </w:r>
          </w:p>
        </w:tc>
      </w:tr>
      <w:tr w:rsidR="008746E4" w:rsidRPr="00BD292A" w:rsidTr="00023E28">
        <w:trPr>
          <w:gridAfter w:val="5"/>
          <w:wAfter w:w="804" w:type="pct"/>
          <w:trHeight w:val="480"/>
        </w:trPr>
        <w:tc>
          <w:tcPr>
            <w:tcW w:w="218"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2317" w:type="pct"/>
            <w:gridSpan w:val="3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部门预算基本支出公用经费</w:t>
            </w:r>
          </w:p>
        </w:tc>
        <w:tc>
          <w:tcPr>
            <w:tcW w:w="682" w:type="pct"/>
            <w:gridSpan w:val="8"/>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6.24</w:t>
            </w:r>
          </w:p>
        </w:tc>
        <w:tc>
          <w:tcPr>
            <w:tcW w:w="272"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6.23</w:t>
            </w:r>
          </w:p>
        </w:tc>
        <w:tc>
          <w:tcPr>
            <w:tcW w:w="272"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99.85%</w:t>
            </w:r>
          </w:p>
        </w:tc>
        <w:tc>
          <w:tcPr>
            <w:tcW w:w="201"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13.4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13.37</w:t>
            </w:r>
          </w:p>
        </w:tc>
      </w:tr>
      <w:tr w:rsidR="008746E4" w:rsidRPr="00BD292A" w:rsidTr="00023E28">
        <w:trPr>
          <w:gridAfter w:val="5"/>
          <w:wAfter w:w="804" w:type="pct"/>
          <w:trHeight w:val="312"/>
        </w:trPr>
        <w:tc>
          <w:tcPr>
            <w:tcW w:w="218"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年度目标</w:t>
            </w:r>
          </w:p>
        </w:tc>
        <w:tc>
          <w:tcPr>
            <w:tcW w:w="2617" w:type="pct"/>
            <w:gridSpan w:val="3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年初总体目标</w:t>
            </w:r>
          </w:p>
        </w:tc>
        <w:tc>
          <w:tcPr>
            <w:tcW w:w="1361" w:type="pct"/>
            <w:gridSpan w:val="1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全年完成情况</w:t>
            </w:r>
          </w:p>
        </w:tc>
      </w:tr>
      <w:tr w:rsidR="008746E4" w:rsidRPr="00BD292A" w:rsidTr="00023E28">
        <w:trPr>
          <w:gridAfter w:val="5"/>
          <w:wAfter w:w="804" w:type="pct"/>
          <w:trHeight w:val="480"/>
        </w:trPr>
        <w:tc>
          <w:tcPr>
            <w:tcW w:w="218"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2617" w:type="pct"/>
            <w:gridSpan w:val="35"/>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为市纪委监委提供办案保障及网络信息技术服务，承担反腐倡廉教育事务性工作</w:t>
            </w:r>
          </w:p>
        </w:tc>
        <w:tc>
          <w:tcPr>
            <w:tcW w:w="1361" w:type="pct"/>
            <w:gridSpan w:val="11"/>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根据中心职责设置，完成了为市纪委机关提供的办案保障及网络信息技术服务，扎实开展了反腐倡廉教育工作。</w:t>
            </w:r>
          </w:p>
        </w:tc>
      </w:tr>
      <w:tr w:rsidR="008746E4" w:rsidRPr="00BD292A" w:rsidTr="00023E28">
        <w:trPr>
          <w:gridAfter w:val="5"/>
          <w:wAfter w:w="804" w:type="pct"/>
          <w:trHeight w:val="285"/>
        </w:trPr>
        <w:tc>
          <w:tcPr>
            <w:tcW w:w="218" w:type="pct"/>
            <w:gridSpan w:val="3"/>
            <w:vMerge w:val="restart"/>
            <w:tcBorders>
              <w:top w:val="nil"/>
              <w:left w:val="single" w:sz="4" w:space="0" w:color="auto"/>
              <w:bottom w:val="nil"/>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绩效指标</w:t>
            </w:r>
          </w:p>
        </w:tc>
        <w:tc>
          <w:tcPr>
            <w:tcW w:w="312"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一级指标</w:t>
            </w:r>
          </w:p>
        </w:tc>
        <w:tc>
          <w:tcPr>
            <w:tcW w:w="162"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二级指标</w:t>
            </w:r>
          </w:p>
        </w:tc>
        <w:tc>
          <w:tcPr>
            <w:tcW w:w="489"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三级指标</w:t>
            </w:r>
          </w:p>
        </w:tc>
        <w:tc>
          <w:tcPr>
            <w:tcW w:w="137" w:type="pct"/>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运算符号</w:t>
            </w:r>
          </w:p>
        </w:tc>
        <w:tc>
          <w:tcPr>
            <w:tcW w:w="325"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指标值</w:t>
            </w:r>
          </w:p>
        </w:tc>
        <w:tc>
          <w:tcPr>
            <w:tcW w:w="185"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度量单位</w:t>
            </w:r>
          </w:p>
        </w:tc>
        <w:tc>
          <w:tcPr>
            <w:tcW w:w="379" w:type="pct"/>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全年完成值</w:t>
            </w:r>
          </w:p>
        </w:tc>
        <w:tc>
          <w:tcPr>
            <w:tcW w:w="137"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完成程度</w:t>
            </w:r>
          </w:p>
        </w:tc>
        <w:tc>
          <w:tcPr>
            <w:tcW w:w="189"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分值</w:t>
            </w:r>
          </w:p>
        </w:tc>
        <w:tc>
          <w:tcPr>
            <w:tcW w:w="300"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得分</w:t>
            </w:r>
          </w:p>
        </w:tc>
        <w:tc>
          <w:tcPr>
            <w:tcW w:w="927" w:type="pct"/>
            <w:gridSpan w:val="8"/>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偏差原因分析</w:t>
            </w:r>
          </w:p>
        </w:tc>
        <w:tc>
          <w:tcPr>
            <w:tcW w:w="43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改进措施</w:t>
            </w:r>
          </w:p>
        </w:tc>
      </w:tr>
      <w:tr w:rsidR="008746E4" w:rsidRPr="00BD292A" w:rsidTr="00023E28">
        <w:trPr>
          <w:gridAfter w:val="5"/>
          <w:wAfter w:w="804" w:type="pct"/>
          <w:trHeight w:val="96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62"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489" w:type="pct"/>
            <w:gridSpan w:val="5"/>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7" w:type="pct"/>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25" w:type="pct"/>
            <w:gridSpan w:val="5"/>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85"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79" w:type="pct"/>
            <w:gridSpan w:val="5"/>
            <w:vMerge/>
            <w:tcBorders>
              <w:top w:val="nil"/>
              <w:left w:val="single" w:sz="4" w:space="0" w:color="auto"/>
              <w:bottom w:val="single" w:sz="4" w:space="0" w:color="000000"/>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37" w:type="pct"/>
            <w:gridSpan w:val="2"/>
            <w:vMerge/>
            <w:tcBorders>
              <w:top w:val="nil"/>
              <w:left w:val="single" w:sz="4" w:space="0" w:color="auto"/>
              <w:bottom w:val="single" w:sz="4" w:space="0" w:color="000000"/>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189" w:type="pct"/>
            <w:gridSpan w:val="3"/>
            <w:vMerge/>
            <w:tcBorders>
              <w:top w:val="nil"/>
              <w:left w:val="single" w:sz="4" w:space="0" w:color="auto"/>
              <w:bottom w:val="single" w:sz="4" w:space="0" w:color="000000"/>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00" w:type="pct"/>
            <w:gridSpan w:val="4"/>
            <w:vMerge/>
            <w:tcBorders>
              <w:top w:val="nil"/>
              <w:left w:val="single" w:sz="4" w:space="0" w:color="auto"/>
              <w:bottom w:val="single" w:sz="4" w:space="0" w:color="000000"/>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经费保障原因分析</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制度保障原因分析</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人员保障原因分析</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硬件条件保障原因分析</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b/>
                <w:bCs/>
                <w:color w:val="000000"/>
                <w:kern w:val="0"/>
                <w:sz w:val="20"/>
                <w:szCs w:val="20"/>
              </w:rPr>
            </w:pPr>
            <w:r w:rsidRPr="00BD292A">
              <w:rPr>
                <w:rFonts w:ascii="宋体" w:hAnsi="宋体" w:cs="宋体" w:hint="eastAsia"/>
                <w:b/>
                <w:bCs/>
                <w:color w:val="000000"/>
                <w:kern w:val="0"/>
                <w:sz w:val="20"/>
                <w:szCs w:val="20"/>
              </w:rPr>
              <w:t>其他原因分析</w:t>
            </w:r>
          </w:p>
        </w:tc>
        <w:tc>
          <w:tcPr>
            <w:tcW w:w="435" w:type="pct"/>
            <w:gridSpan w:val="3"/>
            <w:vMerge/>
            <w:tcBorders>
              <w:top w:val="nil"/>
              <w:left w:val="nil"/>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r>
      <w:tr w:rsidR="008746E4" w:rsidRPr="00BD292A" w:rsidTr="00023E28">
        <w:trPr>
          <w:gridAfter w:val="5"/>
          <w:wAfter w:w="804" w:type="pct"/>
          <w:trHeight w:val="96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履职效能</w:t>
            </w:r>
          </w:p>
        </w:tc>
        <w:tc>
          <w:tcPr>
            <w:tcW w:w="162"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重点工作履行情况</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重点工作办结率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3.5</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3.5</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48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整体</w:t>
            </w:r>
            <w:r w:rsidRPr="00BD292A">
              <w:rPr>
                <w:rFonts w:ascii="宋体" w:hAnsi="宋体" w:cs="宋体" w:hint="eastAsia"/>
                <w:color w:val="000000"/>
                <w:kern w:val="0"/>
                <w:sz w:val="20"/>
                <w:szCs w:val="20"/>
              </w:rPr>
              <w:lastRenderedPageBreak/>
              <w:t>工作完成情况</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lastRenderedPageBreak/>
              <w:t>总体工作完成率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48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工作完成及时率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48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工作质量达标率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40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基础管理</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依法行政能力</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管理规范</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40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综合管理水平</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管理规范</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3.3</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85"/>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预算执行</w:t>
            </w:r>
          </w:p>
        </w:tc>
        <w:tc>
          <w:tcPr>
            <w:tcW w:w="162"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预算执行效率</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预算执行率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1.6</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1.6</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85"/>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预算调整率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&lt;=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5</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5</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1.6</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1.6</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48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结转结余变动率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&lt;=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1.8</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1.8</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72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管理效率</w:t>
            </w:r>
          </w:p>
        </w:tc>
        <w:tc>
          <w:tcPr>
            <w:tcW w:w="162"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预算编制管理</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预算绩效目标覆盖率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40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预算监督管理</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预决算公开情况</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全部公开</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40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预算收支管理</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预算收入管理规范性</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管理规范</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40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预算支出管理规范性</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管理规范</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0.8</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0.8</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40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财务管理</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内控制度有效性</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制度有效</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48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资产管理</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固定资产利用率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72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业务管理</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政府采购管理违法违规行为发生次数</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次</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0.7</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48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运行成本</w:t>
            </w:r>
          </w:p>
        </w:tc>
        <w:tc>
          <w:tcPr>
            <w:tcW w:w="162"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成本控制成效</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在职人员控制率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&lt;=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48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“三公”经费变动率</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&lt;=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0</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2.5</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96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社会效应</w:t>
            </w:r>
          </w:p>
        </w:tc>
        <w:tc>
          <w:tcPr>
            <w:tcW w:w="162"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服务对象满意度</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被保障人员满意度</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&gt;=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95</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95</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96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vMerge/>
            <w:tcBorders>
              <w:top w:val="nil"/>
              <w:left w:val="single" w:sz="4" w:space="0" w:color="auto"/>
              <w:bottom w:val="single" w:sz="4" w:space="0" w:color="auto"/>
              <w:right w:val="single" w:sz="4" w:space="0" w:color="auto"/>
            </w:tcBorders>
            <w:vAlign w:val="center"/>
            <w:hideMark/>
          </w:tcPr>
          <w:p w:rsidR="008746E4" w:rsidRPr="00BD292A" w:rsidRDefault="008746E4" w:rsidP="00023E28">
            <w:pPr>
              <w:widowControl/>
              <w:jc w:val="left"/>
              <w:rPr>
                <w:rFonts w:ascii="宋体" w:hAnsi="宋体" w:cs="宋体"/>
                <w:color w:val="000000"/>
                <w:kern w:val="0"/>
                <w:sz w:val="20"/>
                <w:szCs w:val="20"/>
              </w:rPr>
            </w:pPr>
          </w:p>
        </w:tc>
        <w:tc>
          <w:tcPr>
            <w:tcW w:w="162"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社会公众满意度</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当地群众总体满意度</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&gt;=</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95</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95</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10</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400"/>
        </w:trPr>
        <w:tc>
          <w:tcPr>
            <w:tcW w:w="218" w:type="pct"/>
            <w:gridSpan w:val="3"/>
            <w:vMerge/>
            <w:tcBorders>
              <w:top w:val="nil"/>
              <w:left w:val="single" w:sz="4" w:space="0" w:color="auto"/>
              <w:bottom w:val="nil"/>
              <w:right w:val="single" w:sz="4" w:space="0" w:color="auto"/>
            </w:tcBorders>
            <w:vAlign w:val="center"/>
            <w:hideMark/>
          </w:tcPr>
          <w:p w:rsidR="008746E4" w:rsidRPr="00BD292A" w:rsidRDefault="008746E4" w:rsidP="00023E28">
            <w:pPr>
              <w:widowControl/>
              <w:jc w:val="left"/>
              <w:rPr>
                <w:rFonts w:ascii="宋体" w:hAnsi="宋体" w:cs="宋体"/>
                <w:b/>
                <w:bCs/>
                <w:color w:val="000000"/>
                <w:kern w:val="0"/>
                <w:sz w:val="20"/>
                <w:szCs w:val="20"/>
              </w:rPr>
            </w:pPr>
          </w:p>
        </w:tc>
        <w:tc>
          <w:tcPr>
            <w:tcW w:w="31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可持续性</w:t>
            </w:r>
          </w:p>
        </w:tc>
        <w:tc>
          <w:tcPr>
            <w:tcW w:w="162"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体制机制改革</w:t>
            </w:r>
          </w:p>
        </w:tc>
        <w:tc>
          <w:tcPr>
            <w:tcW w:w="48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建立制度规范档案管理</w:t>
            </w:r>
          </w:p>
        </w:tc>
        <w:tc>
          <w:tcPr>
            <w:tcW w:w="137"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25"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建立健全</w:t>
            </w:r>
          </w:p>
        </w:tc>
        <w:tc>
          <w:tcPr>
            <w:tcW w:w="185"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379" w:type="pct"/>
            <w:gridSpan w:val="5"/>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全部或基本达成预期指标100%-80%（含）</w:t>
            </w:r>
          </w:p>
        </w:tc>
        <w:tc>
          <w:tcPr>
            <w:tcW w:w="137" w:type="pct"/>
            <w:gridSpan w:val="2"/>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1</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5</w:t>
            </w:r>
          </w:p>
        </w:tc>
        <w:tc>
          <w:tcPr>
            <w:tcW w:w="300"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5</w:t>
            </w:r>
          </w:p>
        </w:tc>
        <w:tc>
          <w:tcPr>
            <w:tcW w:w="382" w:type="pct"/>
            <w:gridSpan w:val="4"/>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c>
          <w:tcPr>
            <w:tcW w:w="435"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BD292A" w:rsidRDefault="008746E4" w:rsidP="00023E28">
            <w:pPr>
              <w:widowControl/>
              <w:jc w:val="center"/>
              <w:rPr>
                <w:rFonts w:ascii="宋体" w:hAnsi="宋体" w:cs="宋体"/>
                <w:color w:val="000000"/>
                <w:kern w:val="0"/>
                <w:sz w:val="20"/>
                <w:szCs w:val="20"/>
              </w:rPr>
            </w:pPr>
            <w:r w:rsidRPr="00BD292A">
              <w:rPr>
                <w:rFonts w:ascii="宋体" w:hAnsi="宋体" w:cs="宋体" w:hint="eastAsia"/>
                <w:color w:val="000000"/>
                <w:kern w:val="0"/>
                <w:sz w:val="20"/>
                <w:szCs w:val="20"/>
              </w:rPr>
              <w:t xml:space="preserve">　</w:t>
            </w:r>
          </w:p>
        </w:tc>
      </w:tr>
      <w:tr w:rsidR="008746E4" w:rsidRPr="00BD292A" w:rsidTr="00023E28">
        <w:trPr>
          <w:gridAfter w:val="5"/>
          <w:wAfter w:w="804" w:type="pct"/>
          <w:trHeight w:val="285"/>
        </w:trPr>
        <w:tc>
          <w:tcPr>
            <w:tcW w:w="2835" w:type="pct"/>
            <w:gridSpan w:val="3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46E4" w:rsidRPr="00BD292A" w:rsidRDefault="008746E4" w:rsidP="00023E28">
            <w:pPr>
              <w:widowControl/>
              <w:jc w:val="center"/>
              <w:rPr>
                <w:rFonts w:ascii="宋体" w:hAnsi="宋体" w:cs="宋体"/>
                <w:b/>
                <w:bCs/>
                <w:color w:val="000000"/>
                <w:kern w:val="0"/>
                <w:sz w:val="22"/>
                <w:szCs w:val="22"/>
              </w:rPr>
            </w:pPr>
            <w:r w:rsidRPr="00BD292A">
              <w:rPr>
                <w:rFonts w:ascii="宋体" w:hAnsi="宋体" w:cs="宋体" w:hint="eastAsia"/>
                <w:b/>
                <w:bCs/>
                <w:color w:val="000000"/>
                <w:kern w:val="0"/>
                <w:sz w:val="22"/>
                <w:szCs w:val="22"/>
              </w:rPr>
              <w:t>总评价得分</w:t>
            </w:r>
          </w:p>
        </w:tc>
        <w:tc>
          <w:tcPr>
            <w:tcW w:w="1361" w:type="pct"/>
            <w:gridSpan w:val="11"/>
            <w:tcBorders>
              <w:top w:val="single" w:sz="4" w:space="0" w:color="auto"/>
              <w:left w:val="nil"/>
              <w:bottom w:val="single" w:sz="4" w:space="0" w:color="auto"/>
              <w:right w:val="single" w:sz="4" w:space="0" w:color="000000"/>
            </w:tcBorders>
            <w:shd w:val="clear" w:color="000000" w:fill="FFFFFF"/>
            <w:noWrap/>
            <w:vAlign w:val="bottom"/>
            <w:hideMark/>
          </w:tcPr>
          <w:p w:rsidR="008746E4" w:rsidRPr="00BD292A" w:rsidRDefault="008746E4" w:rsidP="00023E28">
            <w:pPr>
              <w:widowControl/>
              <w:jc w:val="center"/>
              <w:rPr>
                <w:rFonts w:ascii="宋体" w:hAnsi="宋体" w:cs="宋体"/>
                <w:color w:val="000000"/>
                <w:kern w:val="0"/>
                <w:sz w:val="22"/>
                <w:szCs w:val="22"/>
              </w:rPr>
            </w:pPr>
            <w:r w:rsidRPr="00BD292A">
              <w:rPr>
                <w:rFonts w:ascii="宋体" w:hAnsi="宋体" w:cs="宋体" w:hint="eastAsia"/>
                <w:color w:val="000000"/>
                <w:kern w:val="0"/>
                <w:sz w:val="22"/>
                <w:szCs w:val="22"/>
              </w:rPr>
              <w:t>99.89</w:t>
            </w:r>
          </w:p>
        </w:tc>
      </w:tr>
      <w:tr w:rsidR="008746E4" w:rsidRPr="00031C77" w:rsidTr="00023E28">
        <w:trPr>
          <w:gridBefore w:val="1"/>
          <w:wBefore w:w="82" w:type="pct"/>
          <w:trHeight w:val="624"/>
        </w:trPr>
        <w:tc>
          <w:tcPr>
            <w:tcW w:w="4918" w:type="pct"/>
            <w:gridSpan w:val="53"/>
            <w:vMerge w:val="restart"/>
            <w:tcBorders>
              <w:top w:val="nil"/>
              <w:left w:val="nil"/>
              <w:bottom w:val="nil"/>
              <w:right w:val="nil"/>
            </w:tcBorders>
            <w:shd w:val="clear" w:color="000000" w:fill="FFFFFF"/>
            <w:vAlign w:val="center"/>
            <w:hideMark/>
          </w:tcPr>
          <w:p w:rsidR="008746E4" w:rsidRDefault="008746E4" w:rsidP="00023E28">
            <w:pPr>
              <w:widowControl/>
              <w:jc w:val="center"/>
              <w:rPr>
                <w:rFonts w:ascii="宋体" w:hAnsi="宋体" w:cs="宋体"/>
                <w:b/>
                <w:bCs/>
                <w:color w:val="000000"/>
                <w:kern w:val="0"/>
                <w:sz w:val="32"/>
                <w:szCs w:val="32"/>
              </w:rPr>
            </w:pPr>
            <w:bookmarkStart w:id="3" w:name="RANGE!A1:T39"/>
          </w:p>
          <w:p w:rsidR="008746E4" w:rsidRDefault="008746E4" w:rsidP="00023E28">
            <w:pPr>
              <w:widowControl/>
              <w:jc w:val="center"/>
              <w:rPr>
                <w:rFonts w:ascii="宋体" w:hAnsi="宋体" w:cs="宋体"/>
                <w:b/>
                <w:bCs/>
                <w:color w:val="000000"/>
                <w:kern w:val="0"/>
                <w:sz w:val="32"/>
                <w:szCs w:val="32"/>
              </w:rPr>
            </w:pPr>
          </w:p>
          <w:p w:rsidR="008746E4" w:rsidRDefault="008746E4" w:rsidP="00023E28">
            <w:pPr>
              <w:widowControl/>
              <w:jc w:val="center"/>
              <w:rPr>
                <w:rFonts w:ascii="宋体" w:hAnsi="宋体" w:cs="宋体"/>
                <w:b/>
                <w:bCs/>
                <w:color w:val="000000"/>
                <w:kern w:val="0"/>
                <w:sz w:val="32"/>
                <w:szCs w:val="32"/>
              </w:rPr>
            </w:pPr>
          </w:p>
          <w:p w:rsidR="008746E4" w:rsidRDefault="008746E4" w:rsidP="00023E28">
            <w:pPr>
              <w:widowControl/>
              <w:jc w:val="center"/>
              <w:rPr>
                <w:rFonts w:ascii="宋体" w:hAnsi="宋体" w:cs="宋体"/>
                <w:b/>
                <w:bCs/>
                <w:color w:val="000000"/>
                <w:kern w:val="0"/>
                <w:sz w:val="32"/>
                <w:szCs w:val="32"/>
              </w:rPr>
            </w:pPr>
          </w:p>
          <w:p w:rsidR="008746E4" w:rsidRDefault="008746E4" w:rsidP="00023E28">
            <w:pPr>
              <w:widowControl/>
              <w:jc w:val="center"/>
              <w:rPr>
                <w:rFonts w:ascii="宋体" w:hAnsi="宋体" w:cs="宋体"/>
                <w:b/>
                <w:bCs/>
                <w:color w:val="000000"/>
                <w:kern w:val="0"/>
                <w:sz w:val="32"/>
                <w:szCs w:val="32"/>
              </w:rPr>
            </w:pPr>
          </w:p>
          <w:p w:rsidR="008746E4" w:rsidRDefault="008746E4" w:rsidP="00023E28">
            <w:pPr>
              <w:widowControl/>
              <w:jc w:val="center"/>
              <w:rPr>
                <w:rFonts w:ascii="宋体" w:hAnsi="宋体" w:cs="宋体"/>
                <w:b/>
                <w:bCs/>
                <w:color w:val="000000"/>
                <w:kern w:val="0"/>
                <w:sz w:val="32"/>
                <w:szCs w:val="32"/>
              </w:rPr>
            </w:pPr>
          </w:p>
          <w:p w:rsidR="008746E4" w:rsidRDefault="008746E4" w:rsidP="00023E28">
            <w:pPr>
              <w:widowControl/>
              <w:jc w:val="center"/>
              <w:rPr>
                <w:rFonts w:ascii="宋体" w:hAnsi="宋体" w:cs="宋体"/>
                <w:b/>
                <w:bCs/>
                <w:color w:val="000000"/>
                <w:kern w:val="0"/>
                <w:sz w:val="32"/>
                <w:szCs w:val="32"/>
              </w:rPr>
            </w:pPr>
          </w:p>
          <w:p w:rsidR="008746E4" w:rsidRDefault="008746E4" w:rsidP="00023E28">
            <w:pPr>
              <w:widowControl/>
              <w:jc w:val="center"/>
              <w:rPr>
                <w:rFonts w:ascii="宋体" w:hAnsi="宋体" w:cs="宋体"/>
                <w:b/>
                <w:bCs/>
                <w:color w:val="000000"/>
                <w:kern w:val="0"/>
                <w:sz w:val="32"/>
                <w:szCs w:val="32"/>
              </w:rPr>
            </w:pPr>
          </w:p>
          <w:p w:rsidR="008746E4" w:rsidRPr="00031C77" w:rsidRDefault="008746E4" w:rsidP="00023E28">
            <w:pPr>
              <w:widowControl/>
              <w:jc w:val="center"/>
              <w:rPr>
                <w:rFonts w:ascii="宋体" w:hAnsi="宋体" w:cs="宋体"/>
                <w:b/>
                <w:bCs/>
                <w:color w:val="000000"/>
                <w:kern w:val="0"/>
                <w:sz w:val="32"/>
                <w:szCs w:val="32"/>
              </w:rPr>
            </w:pPr>
            <w:r w:rsidRPr="00031C77">
              <w:rPr>
                <w:rFonts w:ascii="宋体" w:hAnsi="宋体" w:cs="宋体" w:hint="eastAsia"/>
                <w:b/>
                <w:bCs/>
                <w:color w:val="000000"/>
                <w:kern w:val="0"/>
                <w:sz w:val="32"/>
                <w:szCs w:val="32"/>
              </w:rPr>
              <w:t>部门（单位）整体绩效自评表</w:t>
            </w:r>
            <w:r w:rsidRPr="00031C77">
              <w:rPr>
                <w:rFonts w:ascii="宋体" w:hAnsi="宋体" w:cs="宋体" w:hint="eastAsia"/>
                <w:b/>
                <w:bCs/>
                <w:color w:val="000000"/>
                <w:kern w:val="0"/>
                <w:sz w:val="32"/>
                <w:szCs w:val="32"/>
              </w:rPr>
              <w:br/>
            </w:r>
            <w:r w:rsidRPr="00031C77">
              <w:rPr>
                <w:rFonts w:ascii="宋体" w:hAnsi="宋体" w:cs="宋体" w:hint="eastAsia"/>
                <w:color w:val="000000"/>
                <w:kern w:val="0"/>
                <w:sz w:val="24"/>
              </w:rPr>
              <w:t>（2022年度）</w:t>
            </w:r>
            <w:bookmarkEnd w:id="3"/>
          </w:p>
        </w:tc>
      </w:tr>
      <w:tr w:rsidR="008746E4" w:rsidRPr="00031C77" w:rsidTr="00023E28">
        <w:trPr>
          <w:gridBefore w:val="1"/>
          <w:wBefore w:w="82" w:type="pct"/>
          <w:trHeight w:val="624"/>
        </w:trPr>
        <w:tc>
          <w:tcPr>
            <w:tcW w:w="4918" w:type="pct"/>
            <w:gridSpan w:val="53"/>
            <w:vMerge/>
            <w:tcBorders>
              <w:top w:val="nil"/>
              <w:left w:val="nil"/>
              <w:bottom w:val="nil"/>
              <w:right w:val="nil"/>
            </w:tcBorders>
            <w:vAlign w:val="center"/>
            <w:hideMark/>
          </w:tcPr>
          <w:p w:rsidR="008746E4" w:rsidRPr="00031C77" w:rsidRDefault="008746E4" w:rsidP="00023E28">
            <w:pPr>
              <w:widowControl/>
              <w:jc w:val="left"/>
              <w:rPr>
                <w:rFonts w:ascii="宋体" w:hAnsi="宋体" w:cs="宋体"/>
                <w:b/>
                <w:bCs/>
                <w:color w:val="000000"/>
                <w:kern w:val="0"/>
                <w:sz w:val="32"/>
                <w:szCs w:val="32"/>
              </w:rPr>
            </w:pPr>
          </w:p>
        </w:tc>
      </w:tr>
      <w:tr w:rsidR="008746E4" w:rsidRPr="00031C77" w:rsidTr="00023E28">
        <w:trPr>
          <w:gridBefore w:val="1"/>
          <w:wBefore w:w="82" w:type="pct"/>
          <w:trHeight w:val="624"/>
        </w:trPr>
        <w:tc>
          <w:tcPr>
            <w:tcW w:w="4918" w:type="pct"/>
            <w:gridSpan w:val="53"/>
            <w:vMerge/>
            <w:tcBorders>
              <w:top w:val="nil"/>
              <w:left w:val="nil"/>
              <w:bottom w:val="nil"/>
              <w:right w:val="nil"/>
            </w:tcBorders>
            <w:vAlign w:val="center"/>
            <w:hideMark/>
          </w:tcPr>
          <w:p w:rsidR="008746E4" w:rsidRPr="00031C77" w:rsidRDefault="008746E4" w:rsidP="00023E28">
            <w:pPr>
              <w:widowControl/>
              <w:jc w:val="left"/>
              <w:rPr>
                <w:rFonts w:ascii="宋体" w:hAnsi="宋体" w:cs="宋体"/>
                <w:b/>
                <w:bCs/>
                <w:color w:val="000000"/>
                <w:kern w:val="0"/>
                <w:sz w:val="32"/>
                <w:szCs w:val="32"/>
              </w:rPr>
            </w:pPr>
          </w:p>
        </w:tc>
      </w:tr>
      <w:tr w:rsidR="008746E4" w:rsidRPr="00031C77" w:rsidTr="00023E28">
        <w:trPr>
          <w:gridBefore w:val="1"/>
          <w:wBefore w:w="82" w:type="pct"/>
          <w:trHeight w:val="285"/>
        </w:trPr>
        <w:tc>
          <w:tcPr>
            <w:tcW w:w="1313" w:type="pct"/>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部门（单位）名称</w:t>
            </w:r>
          </w:p>
        </w:tc>
        <w:tc>
          <w:tcPr>
            <w:tcW w:w="3604" w:type="pct"/>
            <w:gridSpan w:val="37"/>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105032中共盘锦市委巡察工作领导小组办公室-211100000</w:t>
            </w:r>
          </w:p>
        </w:tc>
      </w:tr>
      <w:tr w:rsidR="008746E4" w:rsidRPr="00031C77" w:rsidTr="00023E28">
        <w:trPr>
          <w:gridBefore w:val="1"/>
          <w:wBefore w:w="82" w:type="pct"/>
          <w:trHeight w:val="312"/>
        </w:trPr>
        <w:tc>
          <w:tcPr>
            <w:tcW w:w="1313" w:type="pct"/>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部门年初预算收入金额（万元）</w:t>
            </w:r>
          </w:p>
        </w:tc>
        <w:tc>
          <w:tcPr>
            <w:tcW w:w="3604" w:type="pct"/>
            <w:gridSpan w:val="37"/>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856.14</w:t>
            </w:r>
          </w:p>
        </w:tc>
      </w:tr>
      <w:tr w:rsidR="008746E4" w:rsidRPr="00031C77" w:rsidTr="00023E28">
        <w:trPr>
          <w:gridBefore w:val="1"/>
          <w:wBefore w:w="82" w:type="pct"/>
          <w:trHeight w:val="312"/>
        </w:trPr>
        <w:tc>
          <w:tcPr>
            <w:tcW w:w="1313" w:type="pct"/>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部门年初预算支出金额（万元）</w:t>
            </w:r>
          </w:p>
        </w:tc>
        <w:tc>
          <w:tcPr>
            <w:tcW w:w="3604" w:type="pct"/>
            <w:gridSpan w:val="37"/>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856.14</w:t>
            </w:r>
          </w:p>
        </w:tc>
      </w:tr>
      <w:tr w:rsidR="008746E4" w:rsidRPr="00031C77" w:rsidTr="00023E28">
        <w:trPr>
          <w:gridBefore w:val="1"/>
          <w:wBefore w:w="82" w:type="pct"/>
          <w:trHeight w:val="600"/>
        </w:trPr>
        <w:tc>
          <w:tcPr>
            <w:tcW w:w="181"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年度主要任务</w:t>
            </w:r>
          </w:p>
        </w:tc>
        <w:tc>
          <w:tcPr>
            <w:tcW w:w="2272" w:type="pct"/>
            <w:gridSpan w:val="3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对应项目</w:t>
            </w:r>
          </w:p>
        </w:tc>
        <w:tc>
          <w:tcPr>
            <w:tcW w:w="1330" w:type="pct"/>
            <w:gridSpan w:val="1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项目下达金额（万元）</w:t>
            </w:r>
          </w:p>
        </w:tc>
        <w:tc>
          <w:tcPr>
            <w:tcW w:w="468"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项目执行金额（万元）</w:t>
            </w:r>
          </w:p>
        </w:tc>
        <w:tc>
          <w:tcPr>
            <w:tcW w:w="29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项目执行率</w:t>
            </w:r>
          </w:p>
        </w:tc>
        <w:tc>
          <w:tcPr>
            <w:tcW w:w="168" w:type="pct"/>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分值</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得分</w:t>
            </w:r>
          </w:p>
        </w:tc>
      </w:tr>
      <w:tr w:rsidR="008746E4" w:rsidRPr="00031C77" w:rsidTr="00023E28">
        <w:trPr>
          <w:gridBefore w:val="1"/>
          <w:wBefore w:w="82" w:type="pct"/>
          <w:trHeight w:val="480"/>
        </w:trPr>
        <w:tc>
          <w:tcPr>
            <w:tcW w:w="18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2272" w:type="pct"/>
            <w:gridSpan w:val="3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巡察工作经费</w:t>
            </w:r>
          </w:p>
        </w:tc>
        <w:tc>
          <w:tcPr>
            <w:tcW w:w="1330" w:type="pct"/>
            <w:gridSpan w:val="1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59.00</w:t>
            </w:r>
          </w:p>
        </w:tc>
        <w:tc>
          <w:tcPr>
            <w:tcW w:w="468"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57.9</w:t>
            </w:r>
          </w:p>
        </w:tc>
        <w:tc>
          <w:tcPr>
            <w:tcW w:w="29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98.14%</w:t>
            </w:r>
          </w:p>
        </w:tc>
        <w:tc>
          <w:tcPr>
            <w:tcW w:w="168" w:type="pct"/>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6.6</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6.47</w:t>
            </w:r>
          </w:p>
        </w:tc>
      </w:tr>
      <w:tr w:rsidR="008746E4" w:rsidRPr="00031C77" w:rsidTr="00023E28">
        <w:trPr>
          <w:gridBefore w:val="1"/>
          <w:wBefore w:w="82" w:type="pct"/>
          <w:trHeight w:val="480"/>
        </w:trPr>
        <w:tc>
          <w:tcPr>
            <w:tcW w:w="18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2272" w:type="pct"/>
            <w:gridSpan w:val="3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部门预算基本支出人员经费</w:t>
            </w:r>
          </w:p>
        </w:tc>
        <w:tc>
          <w:tcPr>
            <w:tcW w:w="1330" w:type="pct"/>
            <w:gridSpan w:val="1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468"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29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0.00%</w:t>
            </w:r>
          </w:p>
        </w:tc>
        <w:tc>
          <w:tcPr>
            <w:tcW w:w="168" w:type="pct"/>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6.6</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r>
      <w:tr w:rsidR="008746E4" w:rsidRPr="00031C77" w:rsidTr="00023E28">
        <w:trPr>
          <w:gridBefore w:val="1"/>
          <w:wBefore w:w="82" w:type="pct"/>
          <w:trHeight w:val="480"/>
        </w:trPr>
        <w:tc>
          <w:tcPr>
            <w:tcW w:w="18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2272" w:type="pct"/>
            <w:gridSpan w:val="3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巡察期间集中封闭办公经费</w:t>
            </w:r>
          </w:p>
        </w:tc>
        <w:tc>
          <w:tcPr>
            <w:tcW w:w="1330" w:type="pct"/>
            <w:gridSpan w:val="1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476.21</w:t>
            </w:r>
          </w:p>
        </w:tc>
        <w:tc>
          <w:tcPr>
            <w:tcW w:w="468"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313.07</w:t>
            </w:r>
          </w:p>
        </w:tc>
        <w:tc>
          <w:tcPr>
            <w:tcW w:w="29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65.74%</w:t>
            </w:r>
          </w:p>
        </w:tc>
        <w:tc>
          <w:tcPr>
            <w:tcW w:w="168" w:type="pct"/>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6.6</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4.33</w:t>
            </w:r>
          </w:p>
        </w:tc>
      </w:tr>
      <w:tr w:rsidR="008746E4" w:rsidRPr="00031C77" w:rsidTr="00023E28">
        <w:trPr>
          <w:gridBefore w:val="1"/>
          <w:wBefore w:w="82" w:type="pct"/>
          <w:trHeight w:val="480"/>
        </w:trPr>
        <w:tc>
          <w:tcPr>
            <w:tcW w:w="18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2272" w:type="pct"/>
            <w:gridSpan w:val="3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维修（维护）费</w:t>
            </w:r>
          </w:p>
        </w:tc>
        <w:tc>
          <w:tcPr>
            <w:tcW w:w="1330" w:type="pct"/>
            <w:gridSpan w:val="1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14.00</w:t>
            </w:r>
          </w:p>
        </w:tc>
        <w:tc>
          <w:tcPr>
            <w:tcW w:w="468"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14</w:t>
            </w:r>
          </w:p>
        </w:tc>
        <w:tc>
          <w:tcPr>
            <w:tcW w:w="29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100.00%</w:t>
            </w:r>
          </w:p>
        </w:tc>
        <w:tc>
          <w:tcPr>
            <w:tcW w:w="168" w:type="pct"/>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6.6</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6.6</w:t>
            </w:r>
          </w:p>
        </w:tc>
      </w:tr>
      <w:tr w:rsidR="008746E4" w:rsidRPr="00031C77" w:rsidTr="00023E28">
        <w:trPr>
          <w:gridBefore w:val="1"/>
          <w:wBefore w:w="82" w:type="pct"/>
          <w:trHeight w:val="480"/>
        </w:trPr>
        <w:tc>
          <w:tcPr>
            <w:tcW w:w="18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2272" w:type="pct"/>
            <w:gridSpan w:val="3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部门预算基本支出公用经费</w:t>
            </w:r>
          </w:p>
        </w:tc>
        <w:tc>
          <w:tcPr>
            <w:tcW w:w="1330" w:type="pct"/>
            <w:gridSpan w:val="1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468"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29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0.00%</w:t>
            </w:r>
          </w:p>
        </w:tc>
        <w:tc>
          <w:tcPr>
            <w:tcW w:w="168" w:type="pct"/>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6.6</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r>
      <w:tr w:rsidR="008746E4" w:rsidRPr="00031C77" w:rsidTr="00023E28">
        <w:trPr>
          <w:gridBefore w:val="1"/>
          <w:wBefore w:w="82" w:type="pct"/>
          <w:trHeight w:val="480"/>
        </w:trPr>
        <w:tc>
          <w:tcPr>
            <w:tcW w:w="18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2272" w:type="pct"/>
            <w:gridSpan w:val="3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巡察办公设备购置</w:t>
            </w:r>
          </w:p>
        </w:tc>
        <w:tc>
          <w:tcPr>
            <w:tcW w:w="1330" w:type="pct"/>
            <w:gridSpan w:val="1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26.00</w:t>
            </w:r>
          </w:p>
        </w:tc>
        <w:tc>
          <w:tcPr>
            <w:tcW w:w="468" w:type="pct"/>
            <w:gridSpan w:val="3"/>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26</w:t>
            </w:r>
          </w:p>
        </w:tc>
        <w:tc>
          <w:tcPr>
            <w:tcW w:w="29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100.00%</w:t>
            </w:r>
          </w:p>
        </w:tc>
        <w:tc>
          <w:tcPr>
            <w:tcW w:w="168" w:type="pct"/>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7</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7</w:t>
            </w:r>
          </w:p>
        </w:tc>
      </w:tr>
      <w:tr w:rsidR="008746E4" w:rsidRPr="00031C77" w:rsidTr="00023E28">
        <w:trPr>
          <w:gridBefore w:val="1"/>
          <w:wBefore w:w="82" w:type="pct"/>
          <w:trHeight w:val="312"/>
        </w:trPr>
        <w:tc>
          <w:tcPr>
            <w:tcW w:w="181"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年度目标</w:t>
            </w:r>
          </w:p>
        </w:tc>
        <w:tc>
          <w:tcPr>
            <w:tcW w:w="2272" w:type="pct"/>
            <w:gridSpan w:val="3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年初总体目标</w:t>
            </w:r>
          </w:p>
        </w:tc>
        <w:tc>
          <w:tcPr>
            <w:tcW w:w="2465" w:type="pct"/>
            <w:gridSpan w:val="2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全年完成情况</w:t>
            </w:r>
          </w:p>
        </w:tc>
      </w:tr>
      <w:tr w:rsidR="008746E4" w:rsidRPr="00031C77" w:rsidTr="00023E28">
        <w:trPr>
          <w:gridBefore w:val="1"/>
          <w:wBefore w:w="82" w:type="pct"/>
          <w:trHeight w:val="480"/>
        </w:trPr>
        <w:tc>
          <w:tcPr>
            <w:tcW w:w="18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2272" w:type="pct"/>
            <w:gridSpan w:val="3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全面贯彻中央巡视工作方针，盯紧“关键少数”，强化政治监督，扎实推动新时代巡察工作高质量发展，充分发挥巡察监督的利剑震慑作用，促进社会公平、正义。</w:t>
            </w:r>
          </w:p>
        </w:tc>
        <w:tc>
          <w:tcPr>
            <w:tcW w:w="2465" w:type="pct"/>
            <w:gridSpan w:val="20"/>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全年开展2轮巡察，派出10个巡察组对23家单位党组织开展巡察，共发现问题1066个，移交问题线索140件。</w:t>
            </w:r>
          </w:p>
        </w:tc>
      </w:tr>
      <w:tr w:rsidR="008746E4" w:rsidRPr="00031C77" w:rsidTr="00023E28">
        <w:trPr>
          <w:gridBefore w:val="1"/>
          <w:wBefore w:w="82" w:type="pct"/>
          <w:trHeight w:val="285"/>
        </w:trPr>
        <w:tc>
          <w:tcPr>
            <w:tcW w:w="181" w:type="pct"/>
            <w:gridSpan w:val="3"/>
            <w:vMerge w:val="restart"/>
            <w:tcBorders>
              <w:top w:val="nil"/>
              <w:left w:val="single" w:sz="4" w:space="0" w:color="auto"/>
              <w:bottom w:val="nil"/>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绩效指标</w:t>
            </w:r>
          </w:p>
        </w:tc>
        <w:tc>
          <w:tcPr>
            <w:tcW w:w="33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一级指标</w:t>
            </w:r>
          </w:p>
        </w:tc>
        <w:tc>
          <w:tcPr>
            <w:tcW w:w="141"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二级指标</w:t>
            </w:r>
          </w:p>
        </w:tc>
        <w:tc>
          <w:tcPr>
            <w:tcW w:w="657" w:type="pct"/>
            <w:gridSpan w:val="6"/>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三级指标</w:t>
            </w:r>
          </w:p>
        </w:tc>
        <w:tc>
          <w:tcPr>
            <w:tcW w:w="305"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运算符号</w:t>
            </w:r>
          </w:p>
        </w:tc>
        <w:tc>
          <w:tcPr>
            <w:tcW w:w="198"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指标值</w:t>
            </w:r>
          </w:p>
        </w:tc>
        <w:tc>
          <w:tcPr>
            <w:tcW w:w="247"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度量单位</w:t>
            </w:r>
          </w:p>
        </w:tc>
        <w:tc>
          <w:tcPr>
            <w:tcW w:w="334" w:type="pct"/>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全年完成值</w:t>
            </w:r>
          </w:p>
        </w:tc>
        <w:tc>
          <w:tcPr>
            <w:tcW w:w="189"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完成程度</w:t>
            </w:r>
          </w:p>
        </w:tc>
        <w:tc>
          <w:tcPr>
            <w:tcW w:w="356"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分值</w:t>
            </w:r>
          </w:p>
        </w:tc>
        <w:tc>
          <w:tcPr>
            <w:tcW w:w="1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得分</w:t>
            </w:r>
          </w:p>
        </w:tc>
        <w:tc>
          <w:tcPr>
            <w:tcW w:w="1439" w:type="pct"/>
            <w:gridSpan w:val="11"/>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偏差原因分析</w:t>
            </w:r>
          </w:p>
        </w:tc>
        <w:tc>
          <w:tcPr>
            <w:tcW w:w="369"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改进措施</w:t>
            </w:r>
          </w:p>
        </w:tc>
      </w:tr>
      <w:tr w:rsidR="008746E4" w:rsidRPr="00031C77" w:rsidTr="00023E28">
        <w:trPr>
          <w:gridBefore w:val="1"/>
          <w:wBefore w:w="82" w:type="pct"/>
          <w:trHeight w:val="96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14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657" w:type="pct"/>
            <w:gridSpan w:val="6"/>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05" w:type="pct"/>
            <w:gridSpan w:val="5"/>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198"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247"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5"/>
            <w:vMerge/>
            <w:tcBorders>
              <w:top w:val="nil"/>
              <w:left w:val="single" w:sz="4" w:space="0" w:color="auto"/>
              <w:bottom w:val="single" w:sz="4" w:space="0" w:color="000000"/>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189" w:type="pct"/>
            <w:gridSpan w:val="3"/>
            <w:vMerge/>
            <w:tcBorders>
              <w:top w:val="nil"/>
              <w:left w:val="single" w:sz="4" w:space="0" w:color="auto"/>
              <w:bottom w:val="single" w:sz="4" w:space="0" w:color="000000"/>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56" w:type="pct"/>
            <w:gridSpan w:val="4"/>
            <w:vMerge/>
            <w:tcBorders>
              <w:top w:val="nil"/>
              <w:left w:val="single" w:sz="4" w:space="0" w:color="auto"/>
              <w:bottom w:val="single" w:sz="4" w:space="0" w:color="000000"/>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169" w:type="pct"/>
            <w:vMerge/>
            <w:tcBorders>
              <w:top w:val="nil"/>
              <w:left w:val="single" w:sz="4" w:space="0" w:color="auto"/>
              <w:bottom w:val="single" w:sz="4" w:space="0" w:color="000000"/>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经费保障原因分析</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制度保障原因分析</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人员保障原因分析</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硬件条件保障原因分析</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b/>
                <w:bCs/>
                <w:color w:val="000000"/>
                <w:kern w:val="0"/>
                <w:sz w:val="20"/>
                <w:szCs w:val="20"/>
              </w:rPr>
            </w:pPr>
            <w:r w:rsidRPr="00031C77">
              <w:rPr>
                <w:rFonts w:ascii="宋体" w:hAnsi="宋体" w:cs="宋体" w:hint="eastAsia"/>
                <w:b/>
                <w:bCs/>
                <w:color w:val="000000"/>
                <w:kern w:val="0"/>
                <w:sz w:val="20"/>
                <w:szCs w:val="20"/>
              </w:rPr>
              <w:t>其他原因分析</w:t>
            </w:r>
          </w:p>
        </w:tc>
        <w:tc>
          <w:tcPr>
            <w:tcW w:w="369" w:type="pct"/>
            <w:gridSpan w:val="2"/>
            <w:vMerge/>
            <w:tcBorders>
              <w:top w:val="nil"/>
              <w:left w:val="nil"/>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r>
      <w:tr w:rsidR="008746E4" w:rsidRPr="00031C77" w:rsidTr="00023E28">
        <w:trPr>
          <w:gridBefore w:val="1"/>
          <w:wBefore w:w="82" w:type="pct"/>
          <w:trHeight w:val="96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履职效能</w:t>
            </w:r>
          </w:p>
        </w:tc>
        <w:tc>
          <w:tcPr>
            <w:tcW w:w="141"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重点工作履行情况</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重点工作办结率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3.5</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3.5</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48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整体工作完成情况</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总体工作完成率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48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工作完成及时率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48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工作质量达标率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40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基础管理</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依法行政能力</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管理规范</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全部或基本达成预期指标100%-80%（含）</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40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综合管理水平</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管理规范</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全部或基本达成预期指标100%-80%（含）</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3.3</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85"/>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预算执行</w:t>
            </w:r>
          </w:p>
        </w:tc>
        <w:tc>
          <w:tcPr>
            <w:tcW w:w="141"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预算执行效率</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预算执行率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1.6</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1.6</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85"/>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预算调整率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&lt;=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5</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5</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1.6</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1.6</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48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结转结余变动率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&lt;=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1.8</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1.8</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72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管理效率</w:t>
            </w:r>
          </w:p>
        </w:tc>
        <w:tc>
          <w:tcPr>
            <w:tcW w:w="141"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预算编制管理</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预算绩效目标覆盖率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40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预算监督管理</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预决算公开情况</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全部公开</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全部或基本达成预期指标100%-80%（含）</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40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预算收支管理</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预算收入管理规范性</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管理规范</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全部或基本达成预期指标100%-80%（含）</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40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预算支出管理规范性</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管理规范</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全部或基本达成预期指标100%-80%（含）</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40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财务管理</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内控制度有效性</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制度有效</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全部或基本达成预期指标100%-80%（含）</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48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资产管理</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固定资产利用率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0.8</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0.8</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72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业务管理</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政府采购管理违法违规行为发生次数</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次</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0.7</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48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运行成本</w:t>
            </w:r>
          </w:p>
        </w:tc>
        <w:tc>
          <w:tcPr>
            <w:tcW w:w="141"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成本控制成效</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“三公”经费变动率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&lt;=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2.5</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2.5</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48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在职人员控制率</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&lt;=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2.5</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2.5</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40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社会效应</w:t>
            </w:r>
          </w:p>
        </w:tc>
        <w:tc>
          <w:tcPr>
            <w:tcW w:w="141"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政治效益</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有利于促进社会公平、正义</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公平正义</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全部或基本达成预期指标100%-80%（含）</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96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vMerge/>
            <w:tcBorders>
              <w:top w:val="nil"/>
              <w:left w:val="single" w:sz="4" w:space="0" w:color="auto"/>
              <w:bottom w:val="single" w:sz="4" w:space="0" w:color="auto"/>
              <w:right w:val="single" w:sz="4" w:space="0" w:color="auto"/>
            </w:tcBorders>
            <w:vAlign w:val="center"/>
            <w:hideMark/>
          </w:tcPr>
          <w:p w:rsidR="008746E4" w:rsidRPr="00031C77" w:rsidRDefault="008746E4" w:rsidP="00023E28">
            <w:pPr>
              <w:widowControl/>
              <w:jc w:val="left"/>
              <w:rPr>
                <w:rFonts w:ascii="宋体" w:hAnsi="宋体" w:cs="宋体"/>
                <w:color w:val="000000"/>
                <w:kern w:val="0"/>
                <w:sz w:val="20"/>
                <w:szCs w:val="20"/>
              </w:rPr>
            </w:pPr>
          </w:p>
        </w:tc>
        <w:tc>
          <w:tcPr>
            <w:tcW w:w="141"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服务对象满意度</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被保障人员满意度</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&gt;=</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90</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90</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10</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400"/>
        </w:trPr>
        <w:tc>
          <w:tcPr>
            <w:tcW w:w="181" w:type="pct"/>
            <w:gridSpan w:val="3"/>
            <w:vMerge/>
            <w:tcBorders>
              <w:top w:val="nil"/>
              <w:left w:val="single" w:sz="4" w:space="0" w:color="auto"/>
              <w:bottom w:val="nil"/>
              <w:right w:val="single" w:sz="4" w:space="0" w:color="auto"/>
            </w:tcBorders>
            <w:vAlign w:val="center"/>
            <w:hideMark/>
          </w:tcPr>
          <w:p w:rsidR="008746E4" w:rsidRPr="00031C77" w:rsidRDefault="008746E4" w:rsidP="00023E28">
            <w:pPr>
              <w:widowControl/>
              <w:jc w:val="left"/>
              <w:rPr>
                <w:rFonts w:ascii="宋体" w:hAnsi="宋体" w:cs="宋体"/>
                <w:b/>
                <w:bCs/>
                <w:color w:val="000000"/>
                <w:kern w:val="0"/>
                <w:sz w:val="20"/>
                <w:szCs w:val="20"/>
              </w:rPr>
            </w:pPr>
          </w:p>
        </w:tc>
        <w:tc>
          <w:tcPr>
            <w:tcW w:w="334"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可持续性</w:t>
            </w:r>
          </w:p>
        </w:tc>
        <w:tc>
          <w:tcPr>
            <w:tcW w:w="141"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体制机制改革</w:t>
            </w:r>
          </w:p>
        </w:tc>
        <w:tc>
          <w:tcPr>
            <w:tcW w:w="657"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完善巡视巡察上下联动工作格局</w:t>
            </w:r>
          </w:p>
        </w:tc>
        <w:tc>
          <w:tcPr>
            <w:tcW w:w="305"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98"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完善</w:t>
            </w:r>
          </w:p>
        </w:tc>
        <w:tc>
          <w:tcPr>
            <w:tcW w:w="247"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4" w:type="pct"/>
            <w:gridSpan w:val="5"/>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全部或基本达成预期指标100%-80%（含）</w:t>
            </w:r>
          </w:p>
        </w:tc>
        <w:tc>
          <w:tcPr>
            <w:tcW w:w="189" w:type="pct"/>
            <w:gridSpan w:val="3"/>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1</w:t>
            </w:r>
          </w:p>
        </w:tc>
        <w:tc>
          <w:tcPr>
            <w:tcW w:w="356" w:type="pct"/>
            <w:gridSpan w:val="4"/>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5</w:t>
            </w:r>
          </w:p>
        </w:tc>
        <w:tc>
          <w:tcPr>
            <w:tcW w:w="16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5</w:t>
            </w:r>
          </w:p>
        </w:tc>
        <w:tc>
          <w:tcPr>
            <w:tcW w:w="672" w:type="pct"/>
            <w:gridSpan w:val="6"/>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32" w:type="pct"/>
            <w:gridSpan w:val="2"/>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36"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49"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150" w:type="pct"/>
            <w:tcBorders>
              <w:top w:val="nil"/>
              <w:left w:val="nil"/>
              <w:bottom w:val="single" w:sz="4" w:space="0" w:color="auto"/>
              <w:right w:val="single" w:sz="4" w:space="0" w:color="auto"/>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c>
          <w:tcPr>
            <w:tcW w:w="369" w:type="pct"/>
            <w:gridSpan w:val="2"/>
            <w:tcBorders>
              <w:top w:val="single" w:sz="4" w:space="0" w:color="auto"/>
              <w:left w:val="nil"/>
              <w:bottom w:val="single" w:sz="4" w:space="0" w:color="auto"/>
              <w:right w:val="single" w:sz="4" w:space="0" w:color="000000"/>
            </w:tcBorders>
            <w:shd w:val="clear" w:color="000000" w:fill="FFFFFF"/>
            <w:vAlign w:val="center"/>
            <w:hideMark/>
          </w:tcPr>
          <w:p w:rsidR="008746E4" w:rsidRPr="00031C77" w:rsidRDefault="008746E4" w:rsidP="00023E28">
            <w:pPr>
              <w:widowControl/>
              <w:jc w:val="center"/>
              <w:rPr>
                <w:rFonts w:ascii="宋体" w:hAnsi="宋体" w:cs="宋体"/>
                <w:color w:val="000000"/>
                <w:kern w:val="0"/>
                <w:sz w:val="20"/>
                <w:szCs w:val="20"/>
              </w:rPr>
            </w:pPr>
            <w:r w:rsidRPr="00031C77">
              <w:rPr>
                <w:rFonts w:ascii="宋体" w:hAnsi="宋体" w:cs="宋体" w:hint="eastAsia"/>
                <w:color w:val="000000"/>
                <w:kern w:val="0"/>
                <w:sz w:val="20"/>
                <w:szCs w:val="20"/>
              </w:rPr>
              <w:t xml:space="preserve">　</w:t>
            </w:r>
          </w:p>
        </w:tc>
      </w:tr>
      <w:tr w:rsidR="008746E4" w:rsidRPr="00031C77" w:rsidTr="00023E28">
        <w:trPr>
          <w:gridBefore w:val="1"/>
          <w:wBefore w:w="82" w:type="pct"/>
          <w:trHeight w:val="285"/>
        </w:trPr>
        <w:tc>
          <w:tcPr>
            <w:tcW w:w="1489" w:type="pct"/>
            <w:gridSpan w:val="1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46E4" w:rsidRPr="00031C77" w:rsidRDefault="008746E4" w:rsidP="00023E28">
            <w:pPr>
              <w:widowControl/>
              <w:jc w:val="center"/>
              <w:rPr>
                <w:rFonts w:ascii="宋体" w:hAnsi="宋体" w:cs="宋体"/>
                <w:b/>
                <w:bCs/>
                <w:color w:val="000000"/>
                <w:kern w:val="0"/>
                <w:sz w:val="22"/>
                <w:szCs w:val="22"/>
              </w:rPr>
            </w:pPr>
            <w:r w:rsidRPr="00031C77">
              <w:rPr>
                <w:rFonts w:ascii="宋体" w:hAnsi="宋体" w:cs="宋体" w:hint="eastAsia"/>
                <w:b/>
                <w:bCs/>
                <w:color w:val="000000"/>
                <w:kern w:val="0"/>
                <w:sz w:val="22"/>
                <w:szCs w:val="22"/>
              </w:rPr>
              <w:lastRenderedPageBreak/>
              <w:t>总评价得分</w:t>
            </w:r>
          </w:p>
        </w:tc>
        <w:tc>
          <w:tcPr>
            <w:tcW w:w="3428" w:type="pct"/>
            <w:gridSpan w:val="34"/>
            <w:tcBorders>
              <w:top w:val="single" w:sz="4" w:space="0" w:color="auto"/>
              <w:left w:val="nil"/>
              <w:bottom w:val="single" w:sz="4" w:space="0" w:color="auto"/>
              <w:right w:val="single" w:sz="4" w:space="0" w:color="000000"/>
            </w:tcBorders>
            <w:shd w:val="clear" w:color="000000" w:fill="FFFFFF"/>
            <w:noWrap/>
            <w:vAlign w:val="bottom"/>
            <w:hideMark/>
          </w:tcPr>
          <w:p w:rsidR="008746E4" w:rsidRPr="00031C77" w:rsidRDefault="008746E4" w:rsidP="00023E28">
            <w:pPr>
              <w:widowControl/>
              <w:jc w:val="center"/>
              <w:rPr>
                <w:rFonts w:ascii="宋体" w:hAnsi="宋体" w:cs="宋体"/>
                <w:color w:val="000000"/>
                <w:kern w:val="0"/>
                <w:sz w:val="22"/>
                <w:szCs w:val="22"/>
              </w:rPr>
            </w:pPr>
            <w:r w:rsidRPr="00031C77">
              <w:rPr>
                <w:rFonts w:ascii="宋体" w:hAnsi="宋体" w:cs="宋体" w:hint="eastAsia"/>
                <w:color w:val="000000"/>
                <w:kern w:val="0"/>
                <w:sz w:val="22"/>
                <w:szCs w:val="22"/>
              </w:rPr>
              <w:t>84.40</w:t>
            </w:r>
          </w:p>
        </w:tc>
      </w:tr>
    </w:tbl>
    <w:p w:rsidR="008746E4" w:rsidRDefault="008746E4" w:rsidP="008746E4">
      <w:pPr>
        <w:spacing w:line="540" w:lineRule="exact"/>
        <w:rPr>
          <w:rFonts w:ascii="仿宋" w:eastAsia="仿宋" w:hAnsi="仿宋" w:cs="仿宋"/>
        </w:rPr>
      </w:pPr>
    </w:p>
    <w:p w:rsidR="008746E4" w:rsidRPr="008746E4" w:rsidRDefault="008746E4" w:rsidP="008746E4"/>
    <w:p w:rsidR="008746E4" w:rsidRDefault="008746E4" w:rsidP="008746E4"/>
    <w:p w:rsidR="00551CD4" w:rsidRPr="008746E4" w:rsidRDefault="008746E4" w:rsidP="008746E4">
      <w:pPr>
        <w:tabs>
          <w:tab w:val="left" w:pos="1920"/>
        </w:tabs>
      </w:pPr>
      <w:r>
        <w:tab/>
      </w:r>
    </w:p>
    <w:sectPr w:rsidR="00551CD4" w:rsidRPr="008746E4" w:rsidSect="00D240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D9" w:rsidRDefault="001B64D9" w:rsidP="008746E4">
      <w:r>
        <w:separator/>
      </w:r>
    </w:p>
  </w:endnote>
  <w:endnote w:type="continuationSeparator" w:id="1">
    <w:p w:rsidR="001B64D9" w:rsidRDefault="001B64D9" w:rsidP="00874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D9" w:rsidRDefault="001B64D9" w:rsidP="008746E4">
      <w:r>
        <w:separator/>
      </w:r>
    </w:p>
  </w:footnote>
  <w:footnote w:type="continuationSeparator" w:id="1">
    <w:p w:rsidR="001B64D9" w:rsidRDefault="001B64D9" w:rsidP="00874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japaneseCounting"/>
      <w:lvlText w:val="%1、"/>
      <w:lvlJc w:val="left"/>
      <w:pPr>
        <w:ind w:left="1347" w:hanging="720"/>
      </w:pPr>
      <w:rPr>
        <w:rFonts w:cs="Times New Roman" w:hint="default"/>
      </w:rPr>
    </w:lvl>
    <w:lvl w:ilvl="1">
      <w:start w:val="1"/>
      <w:numFmt w:val="lowerLetter"/>
      <w:lvlText w:val="%2)"/>
      <w:lvlJc w:val="left"/>
      <w:pPr>
        <w:ind w:left="1467" w:hanging="420"/>
      </w:pPr>
      <w:rPr>
        <w:rFonts w:cs="Times New Roman"/>
      </w:rPr>
    </w:lvl>
    <w:lvl w:ilvl="2">
      <w:start w:val="1"/>
      <w:numFmt w:val="lowerRoman"/>
      <w:lvlText w:val="%3."/>
      <w:lvlJc w:val="right"/>
      <w:pPr>
        <w:ind w:left="1887" w:hanging="420"/>
      </w:pPr>
      <w:rPr>
        <w:rFonts w:cs="Times New Roman"/>
      </w:rPr>
    </w:lvl>
    <w:lvl w:ilvl="3">
      <w:start w:val="1"/>
      <w:numFmt w:val="decimal"/>
      <w:lvlText w:val="%4."/>
      <w:lvlJc w:val="left"/>
      <w:pPr>
        <w:ind w:left="2307" w:hanging="420"/>
      </w:pPr>
      <w:rPr>
        <w:rFonts w:cs="Times New Roman"/>
      </w:rPr>
    </w:lvl>
    <w:lvl w:ilvl="4">
      <w:start w:val="1"/>
      <w:numFmt w:val="lowerLetter"/>
      <w:lvlText w:val="%5)"/>
      <w:lvlJc w:val="left"/>
      <w:pPr>
        <w:ind w:left="2727" w:hanging="420"/>
      </w:pPr>
      <w:rPr>
        <w:rFonts w:cs="Times New Roman"/>
      </w:rPr>
    </w:lvl>
    <w:lvl w:ilvl="5">
      <w:start w:val="1"/>
      <w:numFmt w:val="lowerRoman"/>
      <w:lvlText w:val="%6."/>
      <w:lvlJc w:val="right"/>
      <w:pPr>
        <w:ind w:left="3147" w:hanging="420"/>
      </w:pPr>
      <w:rPr>
        <w:rFonts w:cs="Times New Roman"/>
      </w:rPr>
    </w:lvl>
    <w:lvl w:ilvl="6">
      <w:start w:val="1"/>
      <w:numFmt w:val="decimal"/>
      <w:lvlText w:val="%7."/>
      <w:lvlJc w:val="left"/>
      <w:pPr>
        <w:ind w:left="3567" w:hanging="420"/>
      </w:pPr>
      <w:rPr>
        <w:rFonts w:cs="Times New Roman"/>
      </w:rPr>
    </w:lvl>
    <w:lvl w:ilvl="7">
      <w:start w:val="1"/>
      <w:numFmt w:val="lowerLetter"/>
      <w:lvlText w:val="%8)"/>
      <w:lvlJc w:val="left"/>
      <w:pPr>
        <w:ind w:left="3987" w:hanging="420"/>
      </w:pPr>
      <w:rPr>
        <w:rFonts w:cs="Times New Roman"/>
      </w:rPr>
    </w:lvl>
    <w:lvl w:ilvl="8">
      <w:start w:val="1"/>
      <w:numFmt w:val="lowerRoman"/>
      <w:lvlText w:val="%9."/>
      <w:lvlJc w:val="right"/>
      <w:pPr>
        <w:ind w:left="4407"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6E4"/>
    <w:rsid w:val="001B64D9"/>
    <w:rsid w:val="00551CD4"/>
    <w:rsid w:val="008746E4"/>
    <w:rsid w:val="00946CB0"/>
    <w:rsid w:val="00D24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6E4"/>
    <w:rPr>
      <w:sz w:val="18"/>
      <w:szCs w:val="18"/>
    </w:rPr>
  </w:style>
  <w:style w:type="paragraph" w:styleId="a4">
    <w:name w:val="footer"/>
    <w:basedOn w:val="a"/>
    <w:link w:val="Char0"/>
    <w:uiPriority w:val="99"/>
    <w:unhideWhenUsed/>
    <w:rsid w:val="008746E4"/>
    <w:pPr>
      <w:tabs>
        <w:tab w:val="center" w:pos="4153"/>
        <w:tab w:val="right" w:pos="8306"/>
      </w:tabs>
      <w:snapToGrid w:val="0"/>
      <w:jc w:val="left"/>
    </w:pPr>
    <w:rPr>
      <w:sz w:val="18"/>
      <w:szCs w:val="18"/>
    </w:rPr>
  </w:style>
  <w:style w:type="character" w:customStyle="1" w:styleId="Char0">
    <w:name w:val="页脚 Char"/>
    <w:basedOn w:val="a0"/>
    <w:link w:val="a4"/>
    <w:uiPriority w:val="99"/>
    <w:rsid w:val="008746E4"/>
    <w:rPr>
      <w:sz w:val="18"/>
      <w:szCs w:val="18"/>
    </w:rPr>
  </w:style>
  <w:style w:type="paragraph" w:styleId="a5">
    <w:name w:val="Normal (Web)"/>
    <w:basedOn w:val="a"/>
    <w:uiPriority w:val="99"/>
    <w:qFormat/>
    <w:rsid w:val="008746E4"/>
    <w:pPr>
      <w:spacing w:before="100" w:beforeAutospacing="1" w:after="100" w:afterAutospacing="1"/>
      <w:jc w:val="left"/>
    </w:pPr>
    <w:rPr>
      <w:kern w:val="0"/>
      <w:sz w:val="24"/>
    </w:rPr>
  </w:style>
  <w:style w:type="character" w:styleId="a6">
    <w:name w:val="page number"/>
    <w:basedOn w:val="a0"/>
    <w:uiPriority w:val="99"/>
    <w:rsid w:val="008746E4"/>
  </w:style>
  <w:style w:type="paragraph" w:customStyle="1" w:styleId="ListParagraph1">
    <w:name w:val="List Paragraph1"/>
    <w:basedOn w:val="a"/>
    <w:rsid w:val="008746E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2182</Words>
  <Characters>12442</Characters>
  <Application>Microsoft Office Word</Application>
  <DocSecurity>0</DocSecurity>
  <Lines>103</Lines>
  <Paragraphs>29</Paragraphs>
  <ScaleCrop>false</ScaleCrop>
  <Company>china</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2023-11-13T02:09:00Z</dcterms:created>
  <dcterms:modified xsi:type="dcterms:W3CDTF">2023-11-13T02:11:00Z</dcterms:modified>
</cp:coreProperties>
</file>