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r>
        <w:rPr>
          <w:rFonts w:hint="eastAsia" w:ascii="仿宋" w:hAnsi="仿宋" w:eastAsia="仿宋" w:cs="仿宋"/>
          <w:b/>
          <w:bCs w:val="0"/>
          <w:spacing w:val="20"/>
          <w:w w:val="105"/>
          <w:sz w:val="36"/>
          <w:szCs w:val="36"/>
          <w:lang w:eastAsia="zh-CN"/>
        </w:rPr>
        <w:t>燃气炉灶</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燃气炉灶</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3"/>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轻工产品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燃气用具</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家用燃气灶</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rPr>
      </w:pPr>
      <w:r>
        <w:rPr>
          <w:rFonts w:hint="eastAsia" w:ascii="仿宋_GB2312" w:hAnsi="宋体" w:eastAsia="仿宋_GB2312"/>
          <w:b w:val="0"/>
          <w:bCs/>
          <w:sz w:val="28"/>
          <w:szCs w:val="28"/>
        </w:rPr>
        <w:t>本细则涉及产品种</w:t>
      </w:r>
      <w:r>
        <w:rPr>
          <w:rFonts w:hint="eastAsia" w:ascii="仿宋_GB2312" w:hAnsi="宋体" w:eastAsia="仿宋_GB2312" w:cs="Times New Roman"/>
          <w:b w:val="0"/>
          <w:bCs/>
          <w:sz w:val="28"/>
          <w:szCs w:val="28"/>
        </w:rPr>
        <w:t>类：</w:t>
      </w:r>
      <w:r>
        <w:rPr>
          <w:rFonts w:hint="eastAsia" w:ascii="仿宋_GB2312" w:hAnsi="宋体" w:eastAsia="仿宋_GB2312" w:cs="Times New Roman"/>
          <w:b w:val="0"/>
          <w:bCs/>
          <w:sz w:val="28"/>
          <w:szCs w:val="28"/>
          <w:lang w:val="en-US" w:eastAsia="zh-CN"/>
        </w:rPr>
        <w:t>燃气炉灶（</w:t>
      </w:r>
      <w:r>
        <w:rPr>
          <w:rFonts w:hint="eastAsia" w:ascii="仿宋_GB2312" w:hAnsi="宋体" w:eastAsia="仿宋_GB2312" w:cs="Times New Roman"/>
          <w:b w:val="0"/>
          <w:bCs/>
          <w:sz w:val="28"/>
          <w:szCs w:val="28"/>
        </w:rPr>
        <w:t>家用燃气灶</w:t>
      </w:r>
      <w:r>
        <w:rPr>
          <w:rFonts w:hint="eastAsia" w:ascii="仿宋_GB2312" w:hAnsi="宋体" w:eastAsia="仿宋_GB2312" w:cs="Times New Roman"/>
          <w:b w:val="0"/>
          <w:bCs/>
          <w:sz w:val="28"/>
          <w:szCs w:val="28"/>
          <w:lang w:val="en-US" w:eastAsia="zh-CN"/>
        </w:rPr>
        <w:t>）</w:t>
      </w:r>
      <w:r>
        <w:rPr>
          <w:rFonts w:hint="eastAsia" w:ascii="仿宋_GB2312" w:hAnsi="宋体" w:eastAsia="仿宋_GB2312" w:cs="Times New Roman"/>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540" w:lineRule="atLeast"/>
        <w:ind w:firstLine="560" w:firstLineChars="200"/>
        <w:textAlignment w:val="auto"/>
        <w:rPr>
          <w:rFonts w:hint="eastAsia" w:ascii="仿宋_GB2312" w:eastAsia="仿宋_GB2312" w:cs="Times New Roman"/>
          <w:sz w:val="28"/>
          <w:szCs w:val="28"/>
          <w:lang w:val="en-US" w:eastAsia="zh-CN"/>
        </w:rPr>
      </w:pPr>
      <w:r>
        <w:rPr>
          <w:rFonts w:hint="eastAsia" w:ascii="仿宋" w:hAnsi="仿宋" w:eastAsia="仿宋" w:cs="仿宋"/>
          <w:sz w:val="28"/>
          <w:szCs w:val="28"/>
        </w:rPr>
        <w:t>GB 16410-2020</w:t>
      </w:r>
      <w:r>
        <w:rPr>
          <w:rFonts w:hint="eastAsia" w:ascii="仿宋_GB2312" w:eastAsia="仿宋_GB2312" w:cs="Times New Roman"/>
          <w:sz w:val="28"/>
          <w:szCs w:val="28"/>
          <w:lang w:val="en-US" w:eastAsia="zh-CN"/>
        </w:rPr>
        <w:t>《</w:t>
      </w:r>
      <w:r>
        <w:rPr>
          <w:rFonts w:hint="eastAsia" w:ascii="仿宋" w:hAnsi="仿宋" w:eastAsia="仿宋" w:cs="仿宋"/>
          <w:sz w:val="28"/>
          <w:szCs w:val="28"/>
        </w:rPr>
        <w:t>家用燃气灶具</w:t>
      </w:r>
      <w:r>
        <w:rPr>
          <w:rFonts w:hint="eastAsia" w:ascii="仿宋_GB2312" w:eastAsia="仿宋_GB2312"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rFonts w:ascii="仿宋_GB2312" w:hAnsi="宋体" w:eastAsia="仿宋_GB2312"/>
          <w:b w:val="0"/>
          <w:bCs/>
          <w:sz w:val="28"/>
          <w:szCs w:val="28"/>
        </w:rPr>
      </w:pPr>
      <w:r>
        <w:rPr>
          <w:rFonts w:ascii="仿宋_GB2312" w:eastAsia="仿宋_GB2312"/>
          <w:sz w:val="28"/>
          <w:szCs w:val="28"/>
        </w:rPr>
        <w:t>每批次产品抽取样品</w:t>
      </w:r>
      <w:r>
        <w:rPr>
          <w:rFonts w:hint="eastAsia" w:ascii="仿宋_GB2312" w:hAnsi="宋体" w:eastAsia="仿宋_GB2312" w:cs="仿宋_GB2312"/>
          <w:color w:val="000000"/>
          <w:sz w:val="28"/>
          <w:szCs w:val="28"/>
        </w:rPr>
        <w:t>2台，其中1台为检验样品，1台为备用样品。</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燃气炉灶（家用燃气灶具）</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气密性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热负荷</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离焰</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熄火</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回火</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燃烧噪声</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熄火噪声</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干烟气中CO浓度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温升—操作时手必须接触的部位</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熄火保护装置—闭阀时间</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燃气导管</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耐热冲击</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耐重力冲击</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bookmarkStart w:id="0" w:name="_GoBack"/>
      <w:bookmarkEnd w:id="0"/>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6B50E10"/>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ED84802"/>
    <w:rsid w:val="2F95332F"/>
    <w:rsid w:val="31B062AC"/>
    <w:rsid w:val="34125EC4"/>
    <w:rsid w:val="36AB6D68"/>
    <w:rsid w:val="373F3B68"/>
    <w:rsid w:val="390A3219"/>
    <w:rsid w:val="3947634D"/>
    <w:rsid w:val="39D241A6"/>
    <w:rsid w:val="3A6F0931"/>
    <w:rsid w:val="3B0C5CFD"/>
    <w:rsid w:val="3BA40D5C"/>
    <w:rsid w:val="426D07BC"/>
    <w:rsid w:val="45AB4389"/>
    <w:rsid w:val="460C34F8"/>
    <w:rsid w:val="469E1CE6"/>
    <w:rsid w:val="48856A98"/>
    <w:rsid w:val="488E6CFB"/>
    <w:rsid w:val="489D613D"/>
    <w:rsid w:val="48DA2CCE"/>
    <w:rsid w:val="49313F1A"/>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E633BB"/>
    <w:rsid w:val="595C3210"/>
    <w:rsid w:val="5A110E67"/>
    <w:rsid w:val="5C20251D"/>
    <w:rsid w:val="5E026D1F"/>
    <w:rsid w:val="5FE645AE"/>
    <w:rsid w:val="61CD17D4"/>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22F294B"/>
    <w:rsid w:val="72DC238B"/>
    <w:rsid w:val="72F21524"/>
    <w:rsid w:val="75FEF899"/>
    <w:rsid w:val="77BA1CD3"/>
    <w:rsid w:val="79AB040C"/>
    <w:rsid w:val="79F66E84"/>
    <w:rsid w:val="7A30427B"/>
    <w:rsid w:val="7B857057"/>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ind w:firstLine="420"/>
    </w:pPr>
    <w:rPr>
      <w:rFonts w:ascii="仿宋_GB2312" w:hAnsi="Times New Roman" w:eastAsia="仿宋_GB2312"/>
      <w:sz w:val="32"/>
      <w:szCs w:val="20"/>
    </w:rPr>
  </w:style>
  <w:style w:type="paragraph" w:styleId="4">
    <w:name w:val="Body Text"/>
    <w:basedOn w:val="1"/>
    <w:next w:val="1"/>
    <w:qFormat/>
    <w:uiPriority w:val="0"/>
    <w:pPr>
      <w:spacing w:after="120"/>
    </w:pPr>
  </w:style>
  <w:style w:type="paragraph" w:styleId="5">
    <w:name w:val="Body Text Indent"/>
    <w:basedOn w:val="1"/>
    <w:next w:val="1"/>
    <w:qFormat/>
    <w:uiPriority w:val="0"/>
    <w:pPr>
      <w:spacing w:line="360" w:lineRule="auto"/>
      <w:ind w:firstLine="480" w:firstLineChars="200"/>
    </w:pPr>
    <w:rPr>
      <w:rFonts w:ascii="宋体" w:hAnsi="宋体"/>
      <w:kern w:val="0"/>
      <w:szCs w:val="20"/>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First Indent"/>
    <w:basedOn w:val="1"/>
    <w:qFormat/>
    <w:uiPriority w:val="99"/>
    <w:pPr>
      <w:spacing w:line="360" w:lineRule="auto"/>
      <w:ind w:firstLine="200" w:firstLineChars="200"/>
    </w:pPr>
    <w:rPr>
      <w:rFonts w:ascii="仿宋_GB2312" w:eastAsia="仿宋_GB2312"/>
      <w:sz w:val="30"/>
      <w:szCs w:val="30"/>
    </w:rPr>
  </w:style>
  <w:style w:type="paragraph" w:styleId="12">
    <w:name w:val="Body Text First Indent 2"/>
    <w:basedOn w:val="5"/>
    <w:next w:val="3"/>
    <w:unhideWhenUsed/>
    <w:qFormat/>
    <w:uiPriority w:val="99"/>
    <w:pPr>
      <w:spacing w:after="120"/>
      <w:ind w:left="420" w:leftChars="200" w:firstLine="420"/>
    </w:pPr>
    <w:rPr>
      <w:rFonts w:cs="Times New Roman"/>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wang正文"/>
    <w:basedOn w:val="1"/>
    <w:qFormat/>
    <w:uiPriority w:val="0"/>
    <w:pPr>
      <w:tabs>
        <w:tab w:val="left" w:pos="6840"/>
      </w:tabs>
      <w:topLinePunct/>
      <w:ind w:firstLine="420"/>
    </w:pPr>
    <w:rPr>
      <w:kern w:val="0"/>
    </w:rPr>
  </w:style>
  <w:style w:type="character" w:customStyle="1" w:styleId="17">
    <w:name w:val="批注框文本 Char"/>
    <w:basedOn w:val="15"/>
    <w:link w:val="7"/>
    <w:semiHidden/>
    <w:qFormat/>
    <w:uiPriority w:val="99"/>
    <w:rPr>
      <w:rFonts w:ascii="Calibri" w:hAnsi="Calibri" w:eastAsia="宋体" w:cs="Times New Roman"/>
      <w:sz w:val="18"/>
      <w:szCs w:val="18"/>
    </w:rPr>
  </w:style>
  <w:style w:type="paragraph" w:customStyle="1" w:styleId="18">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9">
    <w:name w:val="页眉 Char"/>
    <w:basedOn w:val="15"/>
    <w:link w:val="9"/>
    <w:qFormat/>
    <w:uiPriority w:val="99"/>
    <w:rPr>
      <w:rFonts w:ascii="Calibri" w:hAnsi="Calibri" w:eastAsia="宋体" w:cs="Times New Roman"/>
      <w:sz w:val="18"/>
      <w:szCs w:val="18"/>
    </w:rPr>
  </w:style>
  <w:style w:type="character" w:customStyle="1" w:styleId="20">
    <w:name w:val="页脚 Char"/>
    <w:basedOn w:val="15"/>
    <w:link w:val="8"/>
    <w:qFormat/>
    <w:uiPriority w:val="99"/>
    <w:rPr>
      <w:rFonts w:ascii="Calibri" w:hAnsi="Calibri" w:eastAsia="宋体" w:cs="Times New Roman"/>
      <w:sz w:val="18"/>
      <w:szCs w:val="18"/>
    </w:rPr>
  </w:style>
  <w:style w:type="character" w:customStyle="1" w:styleId="21">
    <w:name w:val="日期 Char"/>
    <w:basedOn w:val="15"/>
    <w:link w:val="6"/>
    <w:semiHidden/>
    <w:qFormat/>
    <w:uiPriority w:val="99"/>
    <w:rPr>
      <w:rFonts w:ascii="Calibri" w:hAnsi="Calibri" w:eastAsia="宋体" w:cs="Times New Roman"/>
    </w:rPr>
  </w:style>
  <w:style w:type="character" w:customStyle="1" w:styleId="22">
    <w:name w:val="段 Char"/>
    <w:link w:val="23"/>
    <w:qFormat/>
    <w:uiPriority w:val="0"/>
    <w:rPr>
      <w:rFonts w:ascii="宋体" w:eastAsia="Times New Roman"/>
    </w:rPr>
  </w:style>
  <w:style w:type="paragraph" w:customStyle="1" w:styleId="23">
    <w:name w:val="段"/>
    <w:link w:val="22"/>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4">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0</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2023-10-25T00:07:29Z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4B28CBD0271743AABAD265830D531554_13</vt:lpwstr>
  </property>
</Properties>
</file>