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b/>
          <w:bCs w:val="0"/>
          <w:spacing w:val="20"/>
          <w:w w:val="105"/>
          <w:sz w:val="36"/>
          <w:szCs w:val="36"/>
          <w:lang w:eastAsia="zh-CN"/>
        </w:rPr>
      </w:pPr>
      <w:r>
        <w:rPr>
          <w:rFonts w:hint="eastAsia" w:ascii="仿宋" w:hAnsi="仿宋" w:eastAsia="仿宋" w:cs="仿宋"/>
          <w:b/>
          <w:bCs w:val="0"/>
          <w:spacing w:val="20"/>
          <w:w w:val="105"/>
          <w:sz w:val="36"/>
          <w:szCs w:val="36"/>
          <w:lang w:val="en-US" w:eastAsia="zh-CN"/>
        </w:rPr>
        <w:t>2023年盘锦市兴隆台区</w:t>
      </w:r>
      <w:r>
        <w:rPr>
          <w:rFonts w:hint="eastAsia" w:ascii="仿宋" w:hAnsi="仿宋" w:eastAsia="仿宋" w:cs="仿宋"/>
          <w:b/>
          <w:bCs w:val="0"/>
          <w:spacing w:val="20"/>
          <w:w w:val="105"/>
          <w:sz w:val="36"/>
          <w:szCs w:val="36"/>
          <w:lang w:eastAsia="zh-CN"/>
        </w:rPr>
        <w:t>燃气软管</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b/>
          <w:bCs w:val="0"/>
          <w:spacing w:val="20"/>
          <w:w w:val="105"/>
          <w:sz w:val="36"/>
          <w:szCs w:val="36"/>
        </w:rPr>
      </w:pPr>
      <w:r>
        <w:rPr>
          <w:rFonts w:hint="eastAsia" w:ascii="仿宋" w:hAnsi="仿宋" w:eastAsia="仿宋" w:cs="仿宋"/>
          <w:b/>
          <w:bCs w:val="0"/>
          <w:spacing w:val="20"/>
          <w:w w:val="105"/>
          <w:sz w:val="36"/>
          <w:szCs w:val="36"/>
        </w:rPr>
        <w:t>产品质量监督抽查实施细则</w:t>
      </w:r>
    </w:p>
    <w:p>
      <w:pPr>
        <w:keepNext w:val="0"/>
        <w:keepLines w:val="0"/>
        <w:pageBreakBefore w:val="0"/>
        <w:widowControl w:val="0"/>
        <w:kinsoku/>
        <w:wordWrap/>
        <w:overflowPunct/>
        <w:topLinePunct w:val="0"/>
        <w:autoSpaceDE/>
        <w:autoSpaceDN/>
        <w:bidi w:val="0"/>
        <w:spacing w:line="594" w:lineRule="exact"/>
        <w:ind w:firstLine="560" w:firstLineChars="200"/>
        <w:jc w:val="center"/>
        <w:textAlignment w:val="auto"/>
        <w:rPr>
          <w:rFonts w:hint="eastAsia" w:ascii="仿宋_GB2312" w:hAnsi="仿宋_GB2312" w:eastAsia="仿宋_GB2312" w:cs="仿宋_GB2312"/>
          <w:b w:val="0"/>
          <w:bCs/>
          <w:sz w:val="28"/>
          <w:szCs w:val="28"/>
        </w:rPr>
      </w:pPr>
    </w:p>
    <w:p>
      <w:pPr>
        <w:keepNext w:val="0"/>
        <w:keepLines w:val="0"/>
        <w:pageBreakBefore w:val="0"/>
        <w:widowControl w:val="0"/>
        <w:kinsoku/>
        <w:wordWrap/>
        <w:overflowPunct/>
        <w:topLinePunct w:val="0"/>
        <w:autoSpaceDE/>
        <w:autoSpaceDN/>
        <w:bidi w:val="0"/>
        <w:adjustRightInd w:val="0"/>
        <w:snapToGrid w:val="0"/>
        <w:spacing w:line="540" w:lineRule="exact"/>
        <w:ind w:firstLine="562" w:firstLineChars="200"/>
        <w:textAlignment w:val="auto"/>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1适用范围</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sz w:val="28"/>
          <w:szCs w:val="28"/>
        </w:rPr>
        <w:t>本细则适用于</w:t>
      </w:r>
      <w:r>
        <w:rPr>
          <w:rFonts w:hint="eastAsia" w:ascii="仿宋_GB2312" w:hAnsi="仿宋_GB2312" w:eastAsia="仿宋_GB2312" w:cs="仿宋_GB2312"/>
          <w:b w:val="0"/>
          <w:bCs/>
          <w:sz w:val="28"/>
          <w:szCs w:val="28"/>
          <w:lang w:val="en-US" w:eastAsia="zh-CN"/>
        </w:rPr>
        <w:t>盘锦市兴隆台区</w:t>
      </w:r>
      <w:r>
        <w:rPr>
          <w:rFonts w:hint="eastAsia" w:ascii="仿宋_GB2312" w:hAnsi="仿宋_GB2312" w:eastAsia="仿宋_GB2312" w:cs="仿宋_GB2312"/>
          <w:b w:val="0"/>
          <w:bCs/>
          <w:kern w:val="0"/>
          <w:sz w:val="28"/>
          <w:szCs w:val="28"/>
          <w:lang w:eastAsia="zh-CN"/>
        </w:rPr>
        <w:t>燃气软管</w:t>
      </w:r>
      <w:r>
        <w:rPr>
          <w:rFonts w:hint="eastAsia" w:ascii="仿宋_GB2312" w:hAnsi="仿宋_GB2312" w:eastAsia="仿宋_GB2312" w:cs="仿宋_GB2312"/>
          <w:b w:val="0"/>
          <w:bCs/>
          <w:sz w:val="28"/>
          <w:szCs w:val="28"/>
        </w:rPr>
        <w:t>产品质量监督抽查，针对特殊情况的专项抽查可参照执行。本细则内容包括产品分类</w:t>
      </w:r>
      <w:r>
        <w:rPr>
          <w:rFonts w:hint="eastAsia" w:ascii="仿宋_GB2312" w:hAnsi="仿宋_GB2312" w:eastAsia="仿宋_GB2312" w:cs="仿宋_GB2312"/>
          <w:b w:val="0"/>
          <w:bCs/>
          <w:kern w:val="0"/>
          <w:sz w:val="28"/>
          <w:szCs w:val="28"/>
        </w:rPr>
        <w:t>、术语和定义、生产企业规模划分、检验依据、抽样、检验要求、判定原则、异议处理。</w:t>
      </w:r>
    </w:p>
    <w:p>
      <w:pPr>
        <w:keepNext w:val="0"/>
        <w:keepLines w:val="0"/>
        <w:pageBreakBefore w:val="0"/>
        <w:widowControl w:val="0"/>
        <w:kinsoku/>
        <w:wordWrap/>
        <w:overflowPunct/>
        <w:topLinePunct w:val="0"/>
        <w:autoSpaceDE/>
        <w:autoSpaceDN/>
        <w:bidi w:val="0"/>
        <w:adjustRightInd w:val="0"/>
        <w:snapToGrid w:val="0"/>
        <w:spacing w:line="540" w:lineRule="exact"/>
        <w:ind w:firstLine="562" w:firstLineChars="200"/>
        <w:textAlignment w:val="auto"/>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2产品分类、术语和定义</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2.1产品分类及代码见表1。</w:t>
      </w:r>
    </w:p>
    <w:p>
      <w:pPr>
        <w:keepNext w:val="0"/>
        <w:keepLines w:val="0"/>
        <w:pageBreakBefore w:val="0"/>
        <w:widowControl w:val="0"/>
        <w:kinsoku/>
        <w:wordWrap/>
        <w:overflowPunct/>
        <w:topLinePunct w:val="0"/>
        <w:autoSpaceDE/>
        <w:autoSpaceDN/>
        <w:bidi w:val="0"/>
        <w:adjustRightInd w:val="0"/>
        <w:snapToGrid w:val="0"/>
        <w:spacing w:line="540" w:lineRule="exact"/>
        <w:ind w:firstLine="420"/>
        <w:jc w:val="center"/>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表1  产品分类及代码</w:t>
      </w:r>
    </w:p>
    <w:tbl>
      <w:tblPr>
        <w:tblStyle w:val="13"/>
        <w:tblW w:w="92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3"/>
        <w:gridCol w:w="1740"/>
        <w:gridCol w:w="2026"/>
        <w:gridCol w:w="2146"/>
        <w:gridCol w:w="1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产品分类</w:t>
            </w:r>
          </w:p>
        </w:tc>
        <w:tc>
          <w:tcPr>
            <w:tcW w:w="1740"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一级分类</w:t>
            </w:r>
          </w:p>
        </w:tc>
        <w:tc>
          <w:tcPr>
            <w:tcW w:w="202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二级分类</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产品编码</w:t>
            </w:r>
            <w:r>
              <w:rPr>
                <w:rFonts w:hint="eastAsia" w:ascii="仿宋" w:hAnsi="仿宋" w:eastAsia="仿宋" w:cs="仿宋"/>
                <w:sz w:val="24"/>
                <w:szCs w:val="24"/>
                <w:lang w:eastAsia="zh-CN"/>
              </w:rPr>
              <w:t>及名称</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rPr>
              <w:t>属性编码</w:t>
            </w:r>
            <w:r>
              <w:rPr>
                <w:rFonts w:hint="eastAsia" w:ascii="仿宋" w:hAnsi="仿宋" w:eastAsia="仿宋" w:cs="仿宋"/>
                <w:sz w:val="24"/>
                <w:szCs w:val="24"/>
                <w:lang w:eastAsia="zh-CN"/>
              </w:rPr>
              <w:t>及名称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分类代码</w:t>
            </w:r>
          </w:p>
        </w:tc>
        <w:tc>
          <w:tcPr>
            <w:tcW w:w="1740"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03</w:t>
            </w:r>
          </w:p>
        </w:tc>
        <w:tc>
          <w:tcPr>
            <w:tcW w:w="202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07</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06</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分类名称</w:t>
            </w:r>
          </w:p>
        </w:tc>
        <w:tc>
          <w:tcPr>
            <w:tcW w:w="1740"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轻工产品</w:t>
            </w:r>
          </w:p>
        </w:tc>
        <w:tc>
          <w:tcPr>
            <w:tcW w:w="202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rPr>
              <w:t>燃气用具</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燃气用不锈钢波纹软管</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分类代码</w:t>
            </w:r>
          </w:p>
        </w:tc>
        <w:tc>
          <w:tcPr>
            <w:tcW w:w="1740"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07</w:t>
            </w:r>
          </w:p>
        </w:tc>
        <w:tc>
          <w:tcPr>
            <w:tcW w:w="202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14</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33</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分类名称</w:t>
            </w:r>
          </w:p>
        </w:tc>
        <w:tc>
          <w:tcPr>
            <w:tcW w:w="1740"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电工及材料</w:t>
            </w:r>
          </w:p>
        </w:tc>
        <w:tc>
          <w:tcPr>
            <w:tcW w:w="202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rPr>
              <w:t>非金属材料</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橡胶软管和软管组合件</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家用燃气软管</w:t>
            </w:r>
          </w:p>
        </w:tc>
      </w:tr>
    </w:tbl>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2.2产品种类</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hint="eastAsia" w:ascii="仿宋_GB2312" w:hAnsi="宋体" w:eastAsia="仿宋_GB2312" w:cs="Times New Roman"/>
          <w:b w:val="0"/>
          <w:bCs/>
          <w:sz w:val="28"/>
          <w:szCs w:val="28"/>
          <w:lang w:val="en-US" w:eastAsia="zh-CN"/>
        </w:rPr>
      </w:pPr>
      <w:r>
        <w:rPr>
          <w:rFonts w:hint="eastAsia" w:ascii="仿宋_GB2312" w:hAnsi="宋体" w:eastAsia="仿宋_GB2312" w:cs="Times New Roman"/>
          <w:b w:val="0"/>
          <w:bCs/>
          <w:sz w:val="28"/>
          <w:szCs w:val="28"/>
        </w:rPr>
        <w:t>本细则涉及产品种类：</w:t>
      </w:r>
      <w:r>
        <w:rPr>
          <w:rFonts w:hint="eastAsia" w:ascii="仿宋_GB2312" w:hAnsi="宋体" w:eastAsia="仿宋_GB2312" w:cs="Times New Roman"/>
          <w:b w:val="0"/>
          <w:bCs/>
          <w:sz w:val="28"/>
          <w:szCs w:val="28"/>
          <w:lang w:val="en-US" w:eastAsia="zh-CN"/>
        </w:rPr>
        <w:t>燃气软管（家用燃气用橡胶和塑料软管、家用煤气软管、燃气用具连接用不锈钢波纹软管）。</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hint="eastAsia" w:ascii="仿宋_GB2312" w:hAnsi="宋体" w:eastAsia="仿宋_GB2312" w:cs="Times New Roman"/>
          <w:b w:val="0"/>
          <w:bCs/>
          <w:sz w:val="28"/>
          <w:szCs w:val="28"/>
        </w:rPr>
      </w:pPr>
      <w:r>
        <w:rPr>
          <w:rFonts w:hint="eastAsia" w:ascii="仿宋_GB2312" w:hAnsi="宋体" w:eastAsia="仿宋_GB2312" w:cs="Times New Roman"/>
          <w:b w:val="0"/>
          <w:bCs/>
          <w:sz w:val="28"/>
          <w:szCs w:val="28"/>
        </w:rPr>
        <w:t>2.3术语和定义</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本细则中未列出的术语和定义同相关引用标准。</w:t>
      </w:r>
    </w:p>
    <w:p>
      <w:pPr>
        <w:keepNext w:val="0"/>
        <w:keepLines w:val="0"/>
        <w:pageBreakBefore w:val="0"/>
        <w:widowControl w:val="0"/>
        <w:kinsoku/>
        <w:wordWrap/>
        <w:overflowPunct/>
        <w:topLinePunct w:val="0"/>
        <w:autoSpaceDE/>
        <w:autoSpaceDN/>
        <w:bidi w:val="0"/>
        <w:adjustRightInd w:val="0"/>
        <w:snapToGrid/>
        <w:spacing w:line="540" w:lineRule="exact"/>
        <w:ind w:firstLine="562" w:firstLineChars="200"/>
        <w:textAlignment w:val="auto"/>
        <w:rPr>
          <w:rFonts w:ascii="仿宋_GB2312" w:hAnsi="宋体" w:eastAsia="仿宋_GB2312"/>
          <w:b/>
          <w:bCs w:val="0"/>
          <w:sz w:val="28"/>
          <w:szCs w:val="28"/>
        </w:rPr>
      </w:pPr>
      <w:r>
        <w:rPr>
          <w:rFonts w:hint="eastAsia" w:ascii="仿宋_GB2312" w:hAnsi="宋体" w:eastAsia="仿宋_GB2312"/>
          <w:b/>
          <w:bCs w:val="0"/>
          <w:sz w:val="28"/>
          <w:szCs w:val="28"/>
        </w:rPr>
        <w:t>3企业规模划分</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根据国家统计局印发的相关管理办法，确定企业规模。</w:t>
      </w:r>
    </w:p>
    <w:p>
      <w:pPr>
        <w:keepNext w:val="0"/>
        <w:keepLines w:val="0"/>
        <w:pageBreakBefore w:val="0"/>
        <w:widowControl w:val="0"/>
        <w:kinsoku/>
        <w:wordWrap/>
        <w:overflowPunct/>
        <w:topLinePunct w:val="0"/>
        <w:autoSpaceDE/>
        <w:autoSpaceDN/>
        <w:bidi w:val="0"/>
        <w:adjustRightInd w:val="0"/>
        <w:snapToGrid/>
        <w:spacing w:line="540" w:lineRule="exact"/>
        <w:ind w:firstLine="562" w:firstLineChars="200"/>
        <w:textAlignment w:val="auto"/>
        <w:rPr>
          <w:rFonts w:ascii="仿宋_GB2312" w:hAnsi="宋体" w:eastAsia="仿宋_GB2312"/>
          <w:b/>
          <w:bCs w:val="0"/>
          <w:sz w:val="28"/>
          <w:szCs w:val="28"/>
        </w:rPr>
      </w:pPr>
      <w:r>
        <w:rPr>
          <w:rFonts w:hint="eastAsia" w:ascii="仿宋_GB2312" w:hAnsi="宋体" w:eastAsia="仿宋_GB2312"/>
          <w:b/>
          <w:bCs w:val="0"/>
          <w:sz w:val="28"/>
          <w:szCs w:val="28"/>
        </w:rPr>
        <w:t>4检验依据</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snapToGrid w:val="0"/>
        <w:spacing w:line="540" w:lineRule="atLeas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GB 29993-2013</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家用燃气用橡胶和塑料软管及软管组合件技术条件和评价方法</w:t>
      </w:r>
      <w:r>
        <w:rPr>
          <w:rFonts w:hint="eastAsia" w:ascii="仿宋" w:hAnsi="仿宋" w:eastAsia="仿宋" w:cs="仿宋"/>
          <w:color w:val="000000"/>
          <w:sz w:val="28"/>
          <w:szCs w:val="28"/>
          <w:lang w:eastAsia="zh-CN"/>
        </w:rPr>
        <w:t>》</w:t>
      </w:r>
    </w:p>
    <w:p>
      <w:pPr>
        <w:keepNext w:val="0"/>
        <w:keepLines w:val="0"/>
        <w:pageBreakBefore w:val="0"/>
        <w:widowControl w:val="0"/>
        <w:kinsoku/>
        <w:wordWrap/>
        <w:overflowPunct/>
        <w:topLinePunct w:val="0"/>
        <w:autoSpaceDE/>
        <w:autoSpaceDN/>
        <w:bidi w:val="0"/>
        <w:snapToGrid w:val="0"/>
        <w:spacing w:line="540" w:lineRule="atLeas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HG 2486-1993</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家用煤气软管</w:t>
      </w:r>
      <w:r>
        <w:rPr>
          <w:rFonts w:hint="eastAsia" w:ascii="仿宋" w:hAnsi="仿宋" w:eastAsia="仿宋" w:cs="仿宋"/>
          <w:color w:val="000000"/>
          <w:sz w:val="28"/>
          <w:szCs w:val="28"/>
          <w:lang w:eastAsia="zh-CN"/>
        </w:rPr>
        <w:t>》</w:t>
      </w:r>
    </w:p>
    <w:p>
      <w:pPr>
        <w:keepNext w:val="0"/>
        <w:keepLines w:val="0"/>
        <w:pageBreakBefore w:val="0"/>
        <w:widowControl w:val="0"/>
        <w:kinsoku/>
        <w:wordWrap/>
        <w:overflowPunct/>
        <w:topLinePunct w:val="0"/>
        <w:autoSpaceDE/>
        <w:autoSpaceDN/>
        <w:bidi w:val="0"/>
        <w:snapToGrid w:val="0"/>
        <w:spacing w:line="540" w:lineRule="atLeas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CJ/T 197-2010</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燃气用具连接用不锈钢波纹软管</w:t>
      </w:r>
      <w:r>
        <w:rPr>
          <w:rFonts w:hint="eastAsia" w:ascii="仿宋" w:hAnsi="仿宋" w:eastAsia="仿宋" w:cs="仿宋"/>
          <w:color w:val="000000"/>
          <w:sz w:val="28"/>
          <w:szCs w:val="28"/>
          <w:lang w:eastAsia="zh-CN"/>
        </w:rPr>
        <w:t>》</w:t>
      </w:r>
    </w:p>
    <w:p>
      <w:pPr>
        <w:keepNext w:val="0"/>
        <w:keepLines w:val="0"/>
        <w:pageBreakBefore w:val="0"/>
        <w:widowControl w:val="0"/>
        <w:kinsoku/>
        <w:wordWrap/>
        <w:overflowPunct/>
        <w:topLinePunct w:val="0"/>
        <w:autoSpaceDE/>
        <w:autoSpaceDN/>
        <w:bidi w:val="0"/>
        <w:snapToGrid w:val="0"/>
        <w:spacing w:line="540" w:lineRule="atLeas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CJ/T 490-2016《燃气用具连接用金属包覆软管》</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hint="eastAsia" w:ascii="仿宋_GB2312" w:hAnsi="宋体" w:eastAsia="仿宋_GB2312"/>
          <w:b w:val="0"/>
          <w:bCs/>
          <w:sz w:val="28"/>
          <w:szCs w:val="28"/>
          <w:lang w:eastAsia="zh-CN"/>
        </w:rPr>
      </w:pPr>
      <w:r>
        <w:rPr>
          <w:rFonts w:hint="eastAsia" w:ascii="仿宋_GB2312" w:hAnsi="宋体" w:eastAsia="仿宋_GB2312"/>
          <w:b w:val="0"/>
          <w:bCs/>
          <w:sz w:val="28"/>
          <w:szCs w:val="28"/>
        </w:rPr>
        <w:t>GB/T 41317-2022</w:t>
      </w:r>
      <w:r>
        <w:rPr>
          <w:rFonts w:hint="eastAsia" w:ascii="仿宋_GB2312" w:hAnsi="宋体" w:eastAsia="仿宋_GB2312"/>
          <w:b w:val="0"/>
          <w:bCs/>
          <w:sz w:val="28"/>
          <w:szCs w:val="28"/>
          <w:lang w:eastAsia="zh-CN"/>
        </w:rPr>
        <w:t>《燃气用具连接用不锈钢波纹软管</w:t>
      </w:r>
      <w:bookmarkStart w:id="0" w:name="_GoBack"/>
      <w:bookmarkEnd w:id="0"/>
      <w:r>
        <w:rPr>
          <w:rFonts w:hint="eastAsia" w:ascii="仿宋_GB2312" w:hAnsi="宋体" w:eastAsia="仿宋_GB2312"/>
          <w:b w:val="0"/>
          <w:bCs/>
          <w:sz w:val="28"/>
          <w:szCs w:val="28"/>
          <w:lang w:eastAsia="zh-CN"/>
        </w:rPr>
        <w:t>》</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ascii="仿宋_GB2312" w:hAnsi="宋体" w:eastAsia="仿宋_GB2312"/>
          <w:b w:val="0"/>
          <w:bCs/>
          <w:sz w:val="28"/>
          <w:szCs w:val="28"/>
        </w:rPr>
        <w:t>现行有效的企业标准、团体标准、地方标准及产品明示质量要求</w:t>
      </w:r>
      <w:r>
        <w:rPr>
          <w:rFonts w:hint="eastAsia" w:ascii="仿宋_GB2312" w:hAnsi="宋体" w:eastAsia="仿宋_GB2312"/>
          <w:b w:val="0"/>
          <w:bCs/>
          <w:sz w:val="28"/>
          <w:szCs w:val="28"/>
        </w:rPr>
        <w:t>以及相关法律法规。</w:t>
      </w:r>
    </w:p>
    <w:p>
      <w:pPr>
        <w:keepNext w:val="0"/>
        <w:keepLines w:val="0"/>
        <w:pageBreakBefore w:val="0"/>
        <w:widowControl w:val="0"/>
        <w:kinsoku/>
        <w:wordWrap/>
        <w:overflowPunct/>
        <w:topLinePunct w:val="0"/>
        <w:autoSpaceDE/>
        <w:autoSpaceDN/>
        <w:bidi w:val="0"/>
        <w:adjustRightInd w:val="0"/>
        <w:snapToGrid/>
        <w:spacing w:line="540" w:lineRule="exact"/>
        <w:ind w:firstLine="562" w:firstLineChars="200"/>
        <w:textAlignment w:val="auto"/>
        <w:rPr>
          <w:rFonts w:ascii="仿宋_GB2312" w:hAnsi="宋体" w:eastAsia="仿宋_GB2312"/>
          <w:b/>
          <w:bCs w:val="0"/>
          <w:sz w:val="28"/>
          <w:szCs w:val="28"/>
        </w:rPr>
      </w:pPr>
      <w:r>
        <w:rPr>
          <w:rFonts w:hint="eastAsia" w:ascii="仿宋_GB2312" w:hAnsi="宋体" w:eastAsia="仿宋_GB2312"/>
          <w:b/>
          <w:bCs w:val="0"/>
          <w:sz w:val="28"/>
          <w:szCs w:val="28"/>
        </w:rPr>
        <w:t>5抽样</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hint="eastAsia" w:ascii="仿宋_GB2312" w:hAnsi="宋体" w:eastAsia="仿宋_GB2312" w:cs="Times New Roman"/>
          <w:b w:val="0"/>
          <w:bCs/>
          <w:sz w:val="28"/>
          <w:szCs w:val="28"/>
          <w:lang w:val="en-US" w:eastAsia="zh-CN"/>
        </w:rPr>
      </w:pPr>
      <w:r>
        <w:rPr>
          <w:rFonts w:hint="eastAsia" w:ascii="仿宋_GB2312" w:hAnsi="宋体" w:eastAsia="仿宋_GB2312" w:cs="Times New Roman"/>
          <w:b w:val="0"/>
          <w:bCs/>
          <w:sz w:val="28"/>
          <w:szCs w:val="28"/>
          <w:lang w:val="en-US" w:eastAsia="zh-CN"/>
        </w:rPr>
        <w:t>5.1抽样型号或规格</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hint="eastAsia" w:ascii="仿宋_GB2312" w:hAnsi="宋体" w:eastAsia="仿宋_GB2312" w:cs="Times New Roman"/>
          <w:b w:val="0"/>
          <w:bCs/>
          <w:sz w:val="28"/>
          <w:szCs w:val="28"/>
          <w:lang w:val="en-US" w:eastAsia="zh-CN"/>
        </w:rPr>
      </w:pPr>
      <w:r>
        <w:rPr>
          <w:rFonts w:hint="eastAsia" w:ascii="仿宋_GB2312" w:hAnsi="宋体" w:eastAsia="仿宋_GB2312" w:cs="Times New Roman"/>
          <w:b w:val="0"/>
          <w:bCs/>
          <w:sz w:val="28"/>
          <w:szCs w:val="28"/>
          <w:lang w:val="en-US" w:eastAsia="zh-CN"/>
        </w:rPr>
        <w:t>应根据产品的销售单元（件/包）抽取同一款式、同一规格的样品的产品。</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cs="Times New Roman"/>
          <w:b w:val="0"/>
          <w:bCs/>
          <w:sz w:val="28"/>
          <w:szCs w:val="28"/>
          <w:lang w:val="en-US" w:eastAsia="zh-CN"/>
        </w:rPr>
        <w:t>5.2抽样基数、抽样数</w:t>
      </w:r>
      <w:r>
        <w:rPr>
          <w:rFonts w:hint="eastAsia" w:ascii="仿宋_GB2312" w:hAnsi="宋体" w:eastAsia="仿宋_GB2312"/>
          <w:b w:val="0"/>
          <w:bCs/>
          <w:sz w:val="28"/>
          <w:szCs w:val="28"/>
        </w:rPr>
        <w:t>量</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5.2.1 抽样地点为经销单位的销售现场、仓库。</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在企业的成品库内或市场待销产品中随机抽取有产品质量检验合格证明或者以其他形式表明合格的产品。</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5.2.2抽样基数</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抽样基数满足抽样数量即可。</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5.2.3抽样数量</w:t>
      </w:r>
    </w:p>
    <w:p>
      <w:pPr>
        <w:keepNext w:val="0"/>
        <w:keepLines w:val="0"/>
        <w:pageBreakBefore w:val="0"/>
        <w:widowControl w:val="0"/>
        <w:kinsoku/>
        <w:wordWrap/>
        <w:overflowPunct/>
        <w:topLinePunct w:val="0"/>
        <w:autoSpaceDE/>
        <w:autoSpaceDN/>
        <w:bidi w:val="0"/>
        <w:adjustRightInd/>
        <w:spacing w:line="540" w:lineRule="exact"/>
        <w:ind w:firstLine="560" w:firstLineChars="200"/>
        <w:textAlignment w:val="auto"/>
        <w:rPr>
          <w:rFonts w:ascii="仿宋_GB2312" w:hAnsi="宋体" w:eastAsia="仿宋_GB2312"/>
          <w:b w:val="0"/>
          <w:bCs/>
          <w:sz w:val="28"/>
          <w:szCs w:val="28"/>
        </w:rPr>
      </w:pPr>
      <w:r>
        <w:rPr>
          <w:rFonts w:ascii="仿宋_GB2312" w:eastAsia="仿宋_GB2312"/>
          <w:sz w:val="28"/>
          <w:szCs w:val="28"/>
        </w:rPr>
        <w:t>每批次产品抽取样品</w:t>
      </w:r>
      <w:r>
        <w:rPr>
          <w:rFonts w:hint="eastAsia" w:ascii="仿宋_GB2312" w:hAnsi="宋体" w:eastAsia="仿宋_GB2312" w:cs="仿宋_GB2312"/>
          <w:color w:val="000000"/>
          <w:sz w:val="28"/>
          <w:szCs w:val="28"/>
          <w:lang w:val="en-US" w:eastAsia="zh-CN"/>
        </w:rPr>
        <w:t>6根（带接头）</w:t>
      </w:r>
      <w:r>
        <w:rPr>
          <w:rFonts w:hint="eastAsia" w:ascii="仿宋_GB2312" w:hAnsi="宋体" w:eastAsia="仿宋_GB2312" w:cs="仿宋_GB2312"/>
          <w:color w:val="000000"/>
          <w:sz w:val="28"/>
          <w:szCs w:val="28"/>
        </w:rPr>
        <w:t>，其中</w:t>
      </w:r>
      <w:r>
        <w:rPr>
          <w:rFonts w:hint="eastAsia" w:ascii="仿宋_GB2312" w:hAnsi="宋体" w:eastAsia="仿宋_GB2312" w:cs="仿宋_GB2312"/>
          <w:color w:val="000000"/>
          <w:sz w:val="28"/>
          <w:szCs w:val="28"/>
          <w:lang w:val="en-US" w:eastAsia="zh-CN"/>
        </w:rPr>
        <w:t>4根（带接头）</w:t>
      </w:r>
      <w:r>
        <w:rPr>
          <w:rFonts w:hint="eastAsia" w:ascii="仿宋_GB2312" w:hAnsi="宋体" w:eastAsia="仿宋_GB2312" w:cs="仿宋_GB2312"/>
          <w:color w:val="000000"/>
          <w:sz w:val="28"/>
          <w:szCs w:val="28"/>
        </w:rPr>
        <w:t>为检验样品，</w:t>
      </w:r>
      <w:r>
        <w:rPr>
          <w:rFonts w:hint="eastAsia" w:ascii="仿宋_GB2312" w:hAnsi="宋体" w:eastAsia="仿宋_GB2312" w:cs="仿宋_GB2312"/>
          <w:color w:val="000000"/>
          <w:sz w:val="28"/>
          <w:szCs w:val="28"/>
          <w:lang w:val="en-US" w:eastAsia="zh-CN"/>
        </w:rPr>
        <w:t>2根（带接头）</w:t>
      </w:r>
      <w:r>
        <w:rPr>
          <w:rFonts w:hint="eastAsia" w:ascii="仿宋_GB2312" w:hAnsi="宋体" w:eastAsia="仿宋_GB2312" w:cs="仿宋_GB2312"/>
          <w:color w:val="000000"/>
          <w:sz w:val="28"/>
          <w:szCs w:val="28"/>
        </w:rPr>
        <w:t>为备用样品。</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5.3样品处置</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5.3.1 对抽取的样品，应注明“检验样品”与“备用样品”并分别封样，备份样品封存受检企业。为保证样品的真实性，要有相应的防拆封措施，并保证封条在运输过程中不会破损。抽取的样品上应标明样品编号，封条上至少有抽样日期、抽样人签字、被抽查企业代表签字及抽样单位公章等相关信息。</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5.3.2 抽取的样品应按运输条件包装好，由抽样人员通过合适的途径运送至检验地点。运输时严防雨淋、日晒、受潮。装卸时轻搬轻放，严禁掷抛。</w:t>
      </w:r>
    </w:p>
    <w:p>
      <w:pPr>
        <w:keepNext w:val="0"/>
        <w:keepLines w:val="0"/>
        <w:pageBreakBefore w:val="0"/>
        <w:kinsoku/>
        <w:wordWrap/>
        <w:overflowPunct/>
        <w:topLinePunct w:val="0"/>
        <w:bidi w:val="0"/>
        <w:adjustRightInd w:val="0"/>
        <w:snapToGrid w:val="0"/>
        <w:spacing w:line="540" w:lineRule="exact"/>
        <w:ind w:firstLine="560" w:firstLineChars="200"/>
        <w:textAlignment w:val="auto"/>
        <w:rPr>
          <w:rFonts w:ascii="仿宋_GB2312" w:hAnsi="仿宋" w:eastAsia="仿宋_GB2312" w:cs="仿宋"/>
          <w:sz w:val="28"/>
          <w:szCs w:val="28"/>
        </w:rPr>
      </w:pPr>
      <w:r>
        <w:rPr>
          <w:rFonts w:hint="eastAsia" w:ascii="仿宋_GB2312" w:hAnsi="仿宋" w:eastAsia="仿宋_GB2312" w:cs="仿宋"/>
          <w:sz w:val="28"/>
          <w:szCs w:val="28"/>
          <w:lang w:val="en-US" w:eastAsia="zh-CN"/>
        </w:rPr>
        <w:t>5</w:t>
      </w:r>
      <w:r>
        <w:rPr>
          <w:rFonts w:hint="eastAsia" w:ascii="仿宋_GB2312" w:hAnsi="仿宋" w:eastAsia="仿宋_GB2312" w:cs="仿宋"/>
          <w:sz w:val="28"/>
          <w:szCs w:val="28"/>
        </w:rPr>
        <w:t>.4抽样单</w:t>
      </w:r>
    </w:p>
    <w:p>
      <w:pPr>
        <w:keepNext w:val="0"/>
        <w:keepLines w:val="0"/>
        <w:pageBreakBefore w:val="0"/>
        <w:kinsoku/>
        <w:wordWrap/>
        <w:overflowPunct/>
        <w:topLinePunct w:val="0"/>
        <w:bidi w:val="0"/>
        <w:adjustRightInd w:val="0"/>
        <w:snapToGrid w:val="0"/>
        <w:spacing w:line="54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highlight w:val="none"/>
        </w:rPr>
        <w:t>应按有关规定填写抽样单，并记录被抽查产品及企业相关信息。需要被抽企业提供的其他样品信息应注明，并经企业确认。</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5.5 其他要求</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可对抽样的关键过程留下影像资料。在进入企业、取样、双方签字确认等环节时，影像资料要能清晰记录企业名称、营业执照名称、被抽样的产品、抽样状态、抽样人员和企业陪同人员等。</w:t>
      </w:r>
    </w:p>
    <w:p>
      <w:pPr>
        <w:keepNext w:val="0"/>
        <w:keepLines w:val="0"/>
        <w:pageBreakBefore w:val="0"/>
        <w:kinsoku/>
        <w:wordWrap/>
        <w:overflowPunct/>
        <w:topLinePunct w:val="0"/>
        <w:bidi w:val="0"/>
        <w:spacing w:line="540" w:lineRule="exact"/>
        <w:ind w:firstLine="548" w:firstLineChars="196"/>
        <w:contextualSpacing/>
        <w:textAlignment w:val="auto"/>
        <w:rPr>
          <w:rFonts w:ascii="仿宋_GB2312" w:hAnsi="宋体" w:eastAsia="仿宋_GB2312"/>
          <w:color w:val="000000"/>
          <w:sz w:val="28"/>
          <w:szCs w:val="28"/>
        </w:rPr>
      </w:pPr>
      <w:r>
        <w:rPr>
          <w:rFonts w:hint="eastAsia" w:ascii="仿宋_GB2312" w:hAnsi="宋体" w:eastAsia="仿宋_GB2312"/>
          <w:color w:val="000000"/>
          <w:sz w:val="28"/>
          <w:szCs w:val="28"/>
        </w:rPr>
        <w:t>5.</w:t>
      </w:r>
      <w:r>
        <w:rPr>
          <w:rFonts w:hint="eastAsia" w:ascii="仿宋_GB2312" w:hAnsi="宋体" w:eastAsia="仿宋_GB2312"/>
          <w:color w:val="000000"/>
          <w:sz w:val="28"/>
          <w:szCs w:val="28"/>
          <w:lang w:val="en-US" w:eastAsia="zh-CN"/>
        </w:rPr>
        <w:t>6</w:t>
      </w:r>
      <w:r>
        <w:rPr>
          <w:rFonts w:hint="eastAsia" w:ascii="仿宋" w:hAnsi="仿宋" w:eastAsia="仿宋" w:cs="仿宋"/>
          <w:sz w:val="28"/>
          <w:szCs w:val="28"/>
        </w:rPr>
        <w:t>样品获取方式</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监督抽查所需的</w:t>
      </w:r>
      <w:r>
        <w:rPr>
          <w:rFonts w:hint="eastAsia" w:ascii="仿宋" w:hAnsi="仿宋" w:eastAsia="仿宋"/>
          <w:sz w:val="28"/>
          <w:szCs w:val="28"/>
          <w:lang w:val="en-US" w:eastAsia="zh-CN"/>
        </w:rPr>
        <w:t>检验</w:t>
      </w:r>
      <w:r>
        <w:rPr>
          <w:rFonts w:hint="eastAsia" w:ascii="仿宋" w:hAnsi="仿宋" w:eastAsia="仿宋"/>
          <w:sz w:val="28"/>
          <w:szCs w:val="28"/>
        </w:rPr>
        <w:t>样品要在受检单位以购买方式获取</w:t>
      </w:r>
      <w:r>
        <w:rPr>
          <w:rFonts w:hint="eastAsia" w:ascii="仿宋" w:hAnsi="仿宋" w:eastAsia="仿宋"/>
          <w:sz w:val="28"/>
          <w:szCs w:val="28"/>
          <w:lang w:eastAsia="zh-CN"/>
        </w:rPr>
        <w:t>，</w:t>
      </w:r>
      <w:r>
        <w:rPr>
          <w:rFonts w:hint="eastAsia" w:ascii="仿宋" w:hAnsi="仿宋" w:eastAsia="仿宋"/>
          <w:sz w:val="28"/>
          <w:szCs w:val="28"/>
        </w:rPr>
        <w:t>受检单位</w:t>
      </w:r>
      <w:r>
        <w:rPr>
          <w:rFonts w:hint="eastAsia" w:ascii="仿宋" w:hAnsi="仿宋" w:eastAsia="仿宋"/>
          <w:sz w:val="28"/>
          <w:szCs w:val="28"/>
          <w:lang w:val="en-US" w:eastAsia="zh-CN"/>
        </w:rPr>
        <w:t>提供收取费用的发票</w:t>
      </w:r>
      <w:r>
        <w:rPr>
          <w:rFonts w:hint="eastAsia" w:ascii="仿宋" w:hAnsi="仿宋" w:eastAsia="仿宋"/>
          <w:sz w:val="28"/>
          <w:szCs w:val="28"/>
        </w:rPr>
        <w:t>。</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备检样品由受检单位先行无偿提供，后续启用备检样品进行复检时，由承担检验的复检机构另行付费购买，受检单位需另行提供发票。</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5.7抽样时应注意的问题</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5.7.1应由抽样技术人员在现场进行抽取，不得由企业自行抽样。抽取的样品应当是有产品质量检验合格证明或者以其他形式表明合格的产品，其保质期应满足检验及异议处理时间要求。</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 xml:space="preserve">5.7.2抽样时，抽样人员应当认真核实营业执照、销售许可证等被抽查企业的相关信息，确认企业不存在不得抽样的情形。遇有下列情况之一且能提供有效证明的，不得抽样： </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（1）被抽查企业无监督抽查通知书或者相关文件复印件所列产品的；</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（2）有充分证据证明拟抽查的产品是不用于销售的；</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（3）产品不涉及强制性标准要求，仅按双方约定的技术要求加工生产，且未执行任何标准的；</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（4）有充分证据证明拟抽查的产品为企业用于出口，并且出口合同对产品质量另有规定的；</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（5）产品或者标签、包装、说明书标有“试制”、“处理”或者“样品”等字样的；</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（6）企业提供上级市场监管部门6个月内该种产品的监督抽查抽样单或者合格检验报告的。</w:t>
      </w:r>
    </w:p>
    <w:p>
      <w:pPr>
        <w:keepNext w:val="0"/>
        <w:keepLines w:val="0"/>
        <w:pageBreakBefore w:val="0"/>
        <w:kinsoku/>
        <w:wordWrap/>
        <w:overflowPunct/>
        <w:topLinePunct w:val="0"/>
        <w:autoSpaceDE/>
        <w:autoSpaceDN/>
        <w:bidi w:val="0"/>
        <w:adjustRightInd w:val="0"/>
        <w:snapToGrid w:val="0"/>
        <w:spacing w:line="540" w:lineRule="exact"/>
        <w:ind w:firstLine="562" w:firstLineChars="200"/>
        <w:textAlignment w:val="auto"/>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6检验要求</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6.1检验项目</w:t>
      </w:r>
    </w:p>
    <w:p>
      <w:pPr>
        <w:keepNext w:val="0"/>
        <w:keepLines w:val="0"/>
        <w:pageBreakBefore w:val="0"/>
        <w:kinsoku/>
        <w:wordWrap/>
        <w:overflowPunct/>
        <w:topLinePunct w:val="0"/>
        <w:bidi w:val="0"/>
        <w:snapToGrid w:val="0"/>
        <w:spacing w:line="5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表</w:t>
      </w:r>
      <w:r>
        <w:rPr>
          <w:rFonts w:hint="eastAsia" w:ascii="仿宋" w:hAnsi="仿宋" w:eastAsia="仿宋" w:cs="仿宋"/>
          <w:sz w:val="24"/>
          <w:szCs w:val="24"/>
          <w:lang w:val="en-US" w:eastAsia="zh-CN"/>
        </w:rPr>
        <w:t>2</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燃气软管（家用燃气用橡胶和塑料软管）</w:t>
      </w:r>
    </w:p>
    <w:tbl>
      <w:tblPr>
        <w:tblStyle w:val="13"/>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5310"/>
        <w:gridCol w:w="3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序号</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检验项目</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1</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尺寸和公差</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GB/T 9573-2013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2</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外观</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 29993-2013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3</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耐液体性能</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GB 29993-2013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4</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难燃试验</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GB 29993-2013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5</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气密试验</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GB 29993-2013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6</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弯曲试验</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GB/T 5565-2006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7</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耐热试验</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rPr>
              <w:t>GB 29993-2013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压力试验</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rPr>
              <w:t>GB/T 5563-2013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拉断试验</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rPr>
              <w:t>GB 29993-2013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10</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低温弯曲试验</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rPr>
              <w:t>GB/T 5564-2006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11</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标志</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rPr>
              <w:t>GB 29993-2013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9174"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left"/>
              <w:rPr>
                <w:rFonts w:hint="eastAsia" w:ascii="仿宋" w:hAnsi="仿宋" w:eastAsia="仿宋" w:cs="仿宋"/>
                <w:sz w:val="24"/>
                <w:szCs w:val="24"/>
                <w:lang w:val="en-US" w:eastAsia="zh-CN"/>
              </w:rPr>
            </w:pPr>
            <w:r>
              <w:rPr>
                <w:rFonts w:hint="eastAsia" w:ascii="仿宋" w:hAnsi="仿宋" w:eastAsia="仿宋" w:cs="仿宋"/>
                <w:sz w:val="24"/>
                <w:szCs w:val="24"/>
              </w:rPr>
              <w:t>备注：</w:t>
            </w:r>
            <w:r>
              <w:rPr>
                <w:rFonts w:hint="eastAsia" w:ascii="仿宋" w:hAnsi="仿宋" w:eastAsia="仿宋" w:cs="仿宋"/>
                <w:bCs/>
                <w:sz w:val="24"/>
                <w:szCs w:val="24"/>
                <w:lang w:val="en-US" w:eastAsia="zh-CN"/>
              </w:rPr>
              <w:t>根据实际样品，</w:t>
            </w:r>
            <w:r>
              <w:rPr>
                <w:rFonts w:hint="eastAsia" w:ascii="仿宋" w:hAnsi="仿宋" w:eastAsia="仿宋" w:cs="仿宋"/>
                <w:bCs/>
                <w:sz w:val="24"/>
                <w:szCs w:val="24"/>
              </w:rPr>
              <w:t>仅对适用项目进行检测。</w:t>
            </w:r>
          </w:p>
        </w:tc>
      </w:tr>
    </w:tbl>
    <w:p>
      <w:pPr>
        <w:keepNext w:val="0"/>
        <w:keepLines w:val="0"/>
        <w:pageBreakBefore w:val="0"/>
        <w:kinsoku/>
        <w:wordWrap/>
        <w:overflowPunct/>
        <w:topLinePunct w:val="0"/>
        <w:bidi w:val="0"/>
        <w:snapToGrid w:val="0"/>
        <w:spacing w:line="5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表3 燃气软管（家用煤气软管）</w:t>
      </w:r>
    </w:p>
    <w:tbl>
      <w:tblPr>
        <w:tblStyle w:val="13"/>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5310"/>
        <w:gridCol w:w="3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序号</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检验项目</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1</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软管的尺寸与公差</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HG 2486-1993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2</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外观</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HG 2486-1993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3</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气密性</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HG 2486-1993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4</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耐压性能</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HG 2486-1993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5</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弯曲性能</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GB/T 556</w:t>
            </w:r>
            <w:r>
              <w:rPr>
                <w:rFonts w:hint="eastAsia" w:ascii="仿宋" w:hAnsi="仿宋" w:eastAsia="仿宋" w:cs="仿宋"/>
                <w:sz w:val="24"/>
                <w:szCs w:val="24"/>
                <w:lang w:val="en-US" w:eastAsia="zh-CN"/>
              </w:rPr>
              <w:t>5</w:t>
            </w:r>
            <w:r>
              <w:rPr>
                <w:rFonts w:hint="eastAsia" w:ascii="仿宋" w:hAnsi="仿宋" w:eastAsia="仿宋" w:cs="仿宋"/>
                <w:sz w:val="24"/>
                <w:szCs w:val="24"/>
              </w:rPr>
              <w:t>-20</w:t>
            </w:r>
            <w:r>
              <w:rPr>
                <w:rFonts w:hint="eastAsia" w:ascii="仿宋" w:hAnsi="仿宋" w:eastAsia="仿宋" w:cs="仿宋"/>
                <w:sz w:val="24"/>
                <w:szCs w:val="24"/>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6</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难燃试验</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HG 2486-1993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耐液体性能</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rPr>
              <w:t>GB/T 1690-2010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标志</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rPr>
              <w:t>HG 2486-1993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9174"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left"/>
              <w:rPr>
                <w:rFonts w:hint="eastAsia" w:ascii="仿宋" w:hAnsi="仿宋" w:eastAsia="仿宋" w:cs="仿宋"/>
                <w:sz w:val="24"/>
                <w:szCs w:val="24"/>
                <w:lang w:val="en-US" w:eastAsia="zh-CN"/>
              </w:rPr>
            </w:pPr>
            <w:r>
              <w:rPr>
                <w:rFonts w:hint="eastAsia" w:ascii="仿宋" w:hAnsi="仿宋" w:eastAsia="仿宋" w:cs="仿宋"/>
                <w:sz w:val="24"/>
                <w:szCs w:val="24"/>
              </w:rPr>
              <w:t>备注：</w:t>
            </w:r>
            <w:r>
              <w:rPr>
                <w:rFonts w:hint="eastAsia" w:ascii="仿宋" w:hAnsi="仿宋" w:eastAsia="仿宋" w:cs="仿宋"/>
                <w:bCs/>
                <w:sz w:val="24"/>
                <w:szCs w:val="24"/>
                <w:lang w:val="en-US" w:eastAsia="zh-CN"/>
              </w:rPr>
              <w:t>根据实际样品，</w:t>
            </w:r>
            <w:r>
              <w:rPr>
                <w:rFonts w:hint="eastAsia" w:ascii="仿宋" w:hAnsi="仿宋" w:eastAsia="仿宋" w:cs="仿宋"/>
                <w:bCs/>
                <w:sz w:val="24"/>
                <w:szCs w:val="24"/>
              </w:rPr>
              <w:t>仅对适用项目进行检测。</w:t>
            </w:r>
          </w:p>
        </w:tc>
      </w:tr>
    </w:tbl>
    <w:p>
      <w:pPr>
        <w:keepNext w:val="0"/>
        <w:keepLines w:val="0"/>
        <w:pageBreakBefore w:val="0"/>
        <w:kinsoku/>
        <w:wordWrap/>
        <w:overflowPunct/>
        <w:topLinePunct w:val="0"/>
        <w:bidi w:val="0"/>
        <w:snapToGrid w:val="0"/>
        <w:spacing w:line="5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表</w:t>
      </w:r>
      <w:r>
        <w:rPr>
          <w:rFonts w:hint="eastAsia" w:ascii="仿宋" w:hAnsi="仿宋" w:eastAsia="仿宋" w:cs="仿宋"/>
          <w:sz w:val="24"/>
          <w:szCs w:val="24"/>
          <w:lang w:val="en-US" w:eastAsia="zh-CN"/>
        </w:rPr>
        <w:t>4</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燃气软管（燃气用具连接用不锈钢波纹软管</w:t>
      </w:r>
      <w:r>
        <w:rPr>
          <w:rFonts w:hint="eastAsia" w:ascii="仿宋" w:hAnsi="仿宋" w:eastAsia="仿宋" w:cs="仿宋"/>
          <w:sz w:val="24"/>
          <w:szCs w:val="24"/>
        </w:rPr>
        <w:t>CJ/T 197-2010</w:t>
      </w:r>
      <w:r>
        <w:rPr>
          <w:rFonts w:hint="eastAsia" w:ascii="仿宋" w:hAnsi="仿宋" w:eastAsia="仿宋" w:cs="仿宋"/>
          <w:sz w:val="24"/>
          <w:szCs w:val="24"/>
          <w:lang w:val="en-US" w:eastAsia="zh-CN"/>
        </w:rPr>
        <w:t>）</w:t>
      </w:r>
    </w:p>
    <w:tbl>
      <w:tblPr>
        <w:tblStyle w:val="13"/>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5310"/>
        <w:gridCol w:w="3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序号</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检验项目</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1</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外观</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CJ/T 197-2010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2</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结构与尺寸</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CJ/T 197-2010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3</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耐压性</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CJ/T 197-2010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4</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气密性</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CJ/T 197-2010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5</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耐热性</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CJ/T 197-2010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6</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软管抗拉性</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CJ/T 197-2010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7</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软管扭曲性</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rPr>
              <w:t>CJ/T 197-2010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软管弯曲性</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rPr>
              <w:t>CJ/T 197-2010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软管耐冲击性</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rPr>
              <w:t>CJ/T 197-2010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10</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被覆层阻燃性</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rPr>
              <w:t>CJ/T 197-2010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11</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标志包装</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rPr>
              <w:t>CJ/T 197-2010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9174"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left"/>
              <w:rPr>
                <w:rFonts w:hint="eastAsia" w:ascii="仿宋" w:hAnsi="仿宋" w:eastAsia="仿宋" w:cs="仿宋"/>
                <w:sz w:val="24"/>
                <w:szCs w:val="24"/>
                <w:lang w:val="en-US" w:eastAsia="zh-CN"/>
              </w:rPr>
            </w:pPr>
            <w:r>
              <w:rPr>
                <w:rFonts w:hint="eastAsia" w:ascii="仿宋" w:hAnsi="仿宋" w:eastAsia="仿宋" w:cs="仿宋"/>
                <w:sz w:val="24"/>
                <w:szCs w:val="24"/>
              </w:rPr>
              <w:t>备注：</w:t>
            </w:r>
            <w:r>
              <w:rPr>
                <w:rFonts w:hint="eastAsia" w:ascii="仿宋" w:hAnsi="仿宋" w:eastAsia="仿宋" w:cs="仿宋"/>
                <w:bCs/>
                <w:sz w:val="24"/>
                <w:szCs w:val="24"/>
                <w:lang w:val="en-US" w:eastAsia="zh-CN"/>
              </w:rPr>
              <w:t>根据实际样品，</w:t>
            </w:r>
            <w:r>
              <w:rPr>
                <w:rFonts w:hint="eastAsia" w:ascii="仿宋" w:hAnsi="仿宋" w:eastAsia="仿宋" w:cs="仿宋"/>
                <w:bCs/>
                <w:sz w:val="24"/>
                <w:szCs w:val="24"/>
              </w:rPr>
              <w:t>仅对适用项目进行检测。</w:t>
            </w:r>
          </w:p>
        </w:tc>
      </w:tr>
    </w:tbl>
    <w:p>
      <w:pPr>
        <w:keepNext w:val="0"/>
        <w:keepLines w:val="0"/>
        <w:pageBreakBefore w:val="0"/>
        <w:kinsoku/>
        <w:wordWrap/>
        <w:overflowPunct/>
        <w:topLinePunct w:val="0"/>
        <w:bidi w:val="0"/>
        <w:snapToGrid w:val="0"/>
        <w:spacing w:line="5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表</w:t>
      </w:r>
      <w:r>
        <w:rPr>
          <w:rFonts w:hint="eastAsia" w:ascii="仿宋" w:hAnsi="仿宋" w:eastAsia="仿宋" w:cs="仿宋"/>
          <w:sz w:val="24"/>
          <w:szCs w:val="24"/>
          <w:lang w:val="en-US" w:eastAsia="zh-CN"/>
        </w:rPr>
        <w:t>5</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燃气软管（燃气用具连接用不锈钢波纹软管</w:t>
      </w:r>
      <w:r>
        <w:rPr>
          <w:rFonts w:hint="eastAsia" w:ascii="仿宋" w:hAnsi="仿宋" w:eastAsia="仿宋" w:cs="仿宋"/>
          <w:color w:val="000000"/>
          <w:sz w:val="24"/>
          <w:szCs w:val="24"/>
          <w:lang w:val="en-US" w:eastAsia="zh-CN"/>
        </w:rPr>
        <w:t>CJ/T 490-2016</w:t>
      </w:r>
      <w:r>
        <w:rPr>
          <w:rFonts w:hint="eastAsia" w:ascii="仿宋" w:hAnsi="仿宋" w:eastAsia="仿宋" w:cs="仿宋"/>
          <w:sz w:val="24"/>
          <w:szCs w:val="24"/>
          <w:lang w:val="en-US" w:eastAsia="zh-CN"/>
        </w:rPr>
        <w:t>）</w:t>
      </w:r>
    </w:p>
    <w:tbl>
      <w:tblPr>
        <w:tblStyle w:val="13"/>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5310"/>
        <w:gridCol w:w="3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序号</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检验项目</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1</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color w:val="000000"/>
                <w:sz w:val="24"/>
                <w:szCs w:val="24"/>
                <w:lang w:val="en-US" w:eastAsia="zh-CN"/>
              </w:rPr>
              <w:t>外观</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color w:val="000000"/>
                <w:sz w:val="24"/>
                <w:szCs w:val="24"/>
                <w:lang w:val="en-US" w:eastAsia="zh-CN"/>
              </w:rPr>
              <w:t>CJ/T 490-2016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2</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color w:val="000000"/>
                <w:sz w:val="24"/>
                <w:szCs w:val="24"/>
                <w:lang w:val="en-US" w:eastAsia="zh-CN"/>
              </w:rPr>
              <w:t>结构与尺寸</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color w:val="000000"/>
                <w:sz w:val="24"/>
                <w:szCs w:val="24"/>
                <w:lang w:val="en-US" w:eastAsia="zh-CN"/>
              </w:rPr>
              <w:t>CJ/T 490-2016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3</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440" w:lineRule="exact"/>
              <w:jc w:val="center"/>
              <w:textAlignment w:val="auto"/>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软管耐压性</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440" w:lineRule="exact"/>
              <w:jc w:val="center"/>
              <w:textAlignment w:val="auto"/>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CJ/T 490-2016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4</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440" w:lineRule="exact"/>
              <w:jc w:val="center"/>
              <w:textAlignment w:val="auto"/>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软管气密性</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440" w:lineRule="exact"/>
              <w:jc w:val="center"/>
              <w:textAlignment w:val="auto"/>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CJ/T 490-2016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5</w:t>
            </w:r>
          </w:p>
        </w:tc>
        <w:tc>
          <w:tcPr>
            <w:tcW w:w="5310" w:type="dxa"/>
            <w:tcBorders>
              <w:left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440" w:lineRule="exact"/>
              <w:jc w:val="center"/>
              <w:textAlignment w:val="auto"/>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软管抗拉性</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440" w:lineRule="exact"/>
              <w:jc w:val="center"/>
              <w:textAlignment w:val="auto"/>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CJ/T 490-2016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6</w:t>
            </w:r>
          </w:p>
        </w:tc>
        <w:tc>
          <w:tcPr>
            <w:tcW w:w="5310" w:type="dxa"/>
            <w:tcBorders>
              <w:left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440" w:lineRule="exact"/>
              <w:jc w:val="center"/>
              <w:textAlignment w:val="auto"/>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软管柔软性</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440" w:lineRule="exact"/>
              <w:jc w:val="center"/>
              <w:textAlignment w:val="auto"/>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CJ/T 490-2016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7</w:t>
            </w:r>
          </w:p>
        </w:tc>
        <w:tc>
          <w:tcPr>
            <w:tcW w:w="5310" w:type="dxa"/>
            <w:tcBorders>
              <w:left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4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i w:val="0"/>
                <w:iCs w:val="0"/>
                <w:color w:val="000000"/>
                <w:kern w:val="0"/>
                <w:sz w:val="24"/>
                <w:szCs w:val="24"/>
                <w:u w:val="none"/>
                <w:lang w:val="en-US" w:eastAsia="zh-CN" w:bidi="ar"/>
              </w:rPr>
              <w:t>软管挤压试验</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4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i w:val="0"/>
                <w:iCs w:val="0"/>
                <w:color w:val="000000"/>
                <w:kern w:val="0"/>
                <w:sz w:val="24"/>
                <w:szCs w:val="24"/>
                <w:u w:val="none"/>
                <w:lang w:val="en-US" w:eastAsia="zh-CN" w:bidi="ar"/>
              </w:rPr>
              <w:t>CJ/T 490-2016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8</w:t>
            </w:r>
          </w:p>
        </w:tc>
        <w:tc>
          <w:tcPr>
            <w:tcW w:w="5310" w:type="dxa"/>
            <w:tcBorders>
              <w:left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4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i w:val="0"/>
                <w:iCs w:val="0"/>
                <w:color w:val="000000"/>
                <w:kern w:val="0"/>
                <w:sz w:val="24"/>
                <w:szCs w:val="24"/>
                <w:u w:val="none"/>
                <w:lang w:val="en-US" w:eastAsia="zh-CN" w:bidi="ar"/>
              </w:rPr>
              <w:t>包覆层阻燃性</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4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i w:val="0"/>
                <w:iCs w:val="0"/>
                <w:color w:val="000000"/>
                <w:kern w:val="0"/>
                <w:sz w:val="24"/>
                <w:szCs w:val="24"/>
                <w:u w:val="none"/>
                <w:lang w:val="en-US" w:eastAsia="zh-CN" w:bidi="ar"/>
              </w:rPr>
              <w:t>CJ/T 197-2010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9174"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left"/>
              <w:rPr>
                <w:rFonts w:hint="eastAsia" w:ascii="仿宋" w:hAnsi="仿宋" w:eastAsia="仿宋" w:cs="仿宋"/>
                <w:sz w:val="24"/>
                <w:szCs w:val="24"/>
                <w:lang w:val="en-US" w:eastAsia="zh-CN"/>
              </w:rPr>
            </w:pPr>
            <w:r>
              <w:rPr>
                <w:rFonts w:hint="eastAsia" w:ascii="仿宋" w:hAnsi="仿宋" w:eastAsia="仿宋" w:cs="仿宋"/>
                <w:sz w:val="24"/>
                <w:szCs w:val="24"/>
              </w:rPr>
              <w:t>备注：</w:t>
            </w:r>
            <w:r>
              <w:rPr>
                <w:rFonts w:hint="eastAsia" w:ascii="仿宋" w:hAnsi="仿宋" w:eastAsia="仿宋" w:cs="仿宋"/>
                <w:bCs/>
                <w:sz w:val="24"/>
                <w:szCs w:val="24"/>
                <w:lang w:val="en-US" w:eastAsia="zh-CN"/>
              </w:rPr>
              <w:t>根据实际样品，</w:t>
            </w:r>
            <w:r>
              <w:rPr>
                <w:rFonts w:hint="eastAsia" w:ascii="仿宋" w:hAnsi="仿宋" w:eastAsia="仿宋" w:cs="仿宋"/>
                <w:bCs/>
                <w:sz w:val="24"/>
                <w:szCs w:val="24"/>
              </w:rPr>
              <w:t>仅对适用项目进行检测。</w:t>
            </w:r>
          </w:p>
        </w:tc>
      </w:tr>
    </w:tbl>
    <w:p>
      <w:pPr>
        <w:keepNext w:val="0"/>
        <w:keepLines w:val="0"/>
        <w:pageBreakBefore w:val="0"/>
        <w:kinsoku/>
        <w:wordWrap/>
        <w:overflowPunct/>
        <w:topLinePunct w:val="0"/>
        <w:bidi w:val="0"/>
        <w:snapToGrid w:val="0"/>
        <w:spacing w:line="5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表</w:t>
      </w:r>
      <w:r>
        <w:rPr>
          <w:rFonts w:hint="eastAsia" w:ascii="仿宋" w:hAnsi="仿宋" w:eastAsia="仿宋" w:cs="仿宋"/>
          <w:sz w:val="24"/>
          <w:szCs w:val="24"/>
          <w:lang w:val="en-US" w:eastAsia="zh-CN"/>
        </w:rPr>
        <w:t>6</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燃气软管（燃气用具连接用不锈钢波纹软管GB/T 41317-2022</w:t>
      </w:r>
      <w:r>
        <w:rPr>
          <w:rFonts w:hint="eastAsia" w:ascii="仿宋" w:hAnsi="仿宋" w:eastAsia="仿宋" w:cs="仿宋"/>
          <w:sz w:val="24"/>
          <w:szCs w:val="24"/>
          <w:lang w:val="en-US" w:eastAsia="zh-CN"/>
        </w:rPr>
        <w:t>）</w:t>
      </w:r>
    </w:p>
    <w:tbl>
      <w:tblPr>
        <w:tblStyle w:val="13"/>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5310"/>
        <w:gridCol w:w="3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序号</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检验项目</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1</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外观</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GB/T 41317-2022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2</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结构与尺寸</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GB/T 41317-2022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3</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软管耐压性</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GB/T 41317-2022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4</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软管气密性</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GB/T 41317-2022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5</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软管抗拉性</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GB/T 41317-2022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6</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软管耐热性</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GB/T 41317-2022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7</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软管柔软性</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GB/T 41317-2022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软管弯曲性</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GB/T 41317-2022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9174"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left"/>
              <w:rPr>
                <w:rFonts w:hint="eastAsia" w:ascii="仿宋" w:hAnsi="仿宋" w:eastAsia="仿宋" w:cs="仿宋"/>
                <w:sz w:val="24"/>
                <w:szCs w:val="24"/>
                <w:lang w:val="en-US" w:eastAsia="zh-CN"/>
              </w:rPr>
            </w:pPr>
            <w:r>
              <w:rPr>
                <w:rFonts w:hint="eastAsia" w:ascii="仿宋" w:hAnsi="仿宋" w:eastAsia="仿宋" w:cs="仿宋"/>
                <w:sz w:val="24"/>
                <w:szCs w:val="24"/>
              </w:rPr>
              <w:t>备注：</w:t>
            </w:r>
            <w:r>
              <w:rPr>
                <w:rFonts w:hint="eastAsia" w:ascii="仿宋" w:hAnsi="仿宋" w:eastAsia="仿宋" w:cs="仿宋"/>
                <w:bCs/>
                <w:sz w:val="24"/>
                <w:szCs w:val="24"/>
                <w:lang w:val="en-US" w:eastAsia="zh-CN"/>
              </w:rPr>
              <w:t>根据实际样品，</w:t>
            </w:r>
            <w:r>
              <w:rPr>
                <w:rFonts w:hint="eastAsia" w:ascii="仿宋" w:hAnsi="仿宋" w:eastAsia="仿宋" w:cs="仿宋"/>
                <w:bCs/>
                <w:sz w:val="24"/>
                <w:szCs w:val="24"/>
              </w:rPr>
              <w:t>仅对适用项目进行检测。</w:t>
            </w:r>
          </w:p>
        </w:tc>
      </w:tr>
    </w:tbl>
    <w:p>
      <w:pPr>
        <w:keepNext w:val="0"/>
        <w:keepLines w:val="0"/>
        <w:pageBreakBefore w:val="0"/>
        <w:kinsoku/>
        <w:wordWrap/>
        <w:overflowPunct/>
        <w:topLinePunct w:val="0"/>
        <w:autoSpaceDE/>
        <w:autoSpaceDN/>
        <w:bidi w:val="0"/>
        <w:adjustRightInd w:val="0"/>
        <w:spacing w:line="594" w:lineRule="exact"/>
        <w:ind w:firstLine="560" w:firstLineChars="200"/>
        <w:textAlignment w:val="auto"/>
        <w:rPr>
          <w:rFonts w:hint="eastAsia" w:ascii="仿宋_GB2312" w:hAnsi="仿宋_GB2312" w:eastAsia="仿宋_GB2312" w:cs="仿宋_GB2312"/>
          <w:b w:val="0"/>
          <w:bCs/>
          <w:color w:val="000000"/>
          <w:sz w:val="28"/>
          <w:szCs w:val="28"/>
        </w:rPr>
      </w:pPr>
    </w:p>
    <w:p>
      <w:pPr>
        <w:keepNext w:val="0"/>
        <w:keepLines w:val="0"/>
        <w:pageBreakBefore w:val="0"/>
        <w:kinsoku/>
        <w:wordWrap/>
        <w:overflowPunct/>
        <w:topLinePunct w:val="0"/>
        <w:autoSpaceDE/>
        <w:autoSpaceDN/>
        <w:bidi w:val="0"/>
        <w:adjustRightInd w:val="0"/>
        <w:spacing w:line="540" w:lineRule="exact"/>
        <w:ind w:firstLine="560" w:firstLineChars="200"/>
        <w:textAlignment w:val="auto"/>
        <w:rPr>
          <w:rFonts w:hint="eastAsia" w:ascii="仿宋_GB2312" w:hAnsi="仿宋_GB2312" w:eastAsia="仿宋_GB2312" w:cs="仿宋_GB2312"/>
          <w:b w:val="0"/>
          <w:bCs/>
          <w:color w:val="000000"/>
          <w:sz w:val="28"/>
          <w:szCs w:val="28"/>
        </w:rPr>
      </w:pPr>
      <w:r>
        <w:rPr>
          <w:rFonts w:hint="eastAsia" w:ascii="仿宋_GB2312" w:hAnsi="仿宋_GB2312" w:eastAsia="仿宋_GB2312" w:cs="仿宋_GB2312"/>
          <w:b w:val="0"/>
          <w:bCs/>
          <w:color w:val="000000"/>
          <w:sz w:val="28"/>
          <w:szCs w:val="28"/>
        </w:rPr>
        <w:t>注：执行企业标准、团体标准、地方标准的产品，检验项目参照上述内容执行。</w:t>
      </w:r>
    </w:p>
    <w:p>
      <w:pPr>
        <w:keepNext w:val="0"/>
        <w:keepLines w:val="0"/>
        <w:pageBreakBefore w:val="0"/>
        <w:widowControl/>
        <w:kinsoku/>
        <w:wordWrap/>
        <w:overflowPunct/>
        <w:topLinePunct w:val="0"/>
        <w:autoSpaceDE/>
        <w:autoSpaceDN/>
        <w:bidi w:val="0"/>
        <w:spacing w:line="540" w:lineRule="exact"/>
        <w:ind w:firstLine="560" w:firstLineChars="200"/>
        <w:jc w:val="left"/>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凡是注日期的文件，其随后所有的修改单（不包括勘误的内容）或修订版不适用于本细则。凡是不注日期的文件，其最新版本适用于本细则。</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6.2检验应注意的问题</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若被检产品明示的质量要求高于本细则中检验项目依据的标准要求时，应按被检产品明示的质量要求判定。</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b w:val="0"/>
          <w:bCs/>
          <w:sz w:val="28"/>
          <w:szCs w:val="28"/>
        </w:rPr>
      </w:pPr>
      <w:r>
        <w:rPr>
          <w:rFonts w:hint="eastAsia" w:ascii="仿宋_GB2312" w:hAnsi="仿宋_GB2312" w:eastAsia="仿宋_GB2312" w:cs="仿宋_GB2312"/>
          <w:b w:val="0"/>
          <w:bCs/>
          <w:sz w:val="28"/>
          <w:szCs w:val="28"/>
        </w:rPr>
        <w:t>若被检产品明示的质量要求低</w:t>
      </w:r>
      <w:r>
        <w:rPr>
          <w:rFonts w:hint="eastAsia" w:ascii="仿宋_GB2312" w:eastAsia="仿宋_GB2312"/>
          <w:b w:val="0"/>
          <w:bCs/>
          <w:sz w:val="28"/>
          <w:szCs w:val="28"/>
        </w:rPr>
        <w:t>于本细则中检验项目依据的强制性标准要求时，应按照强制性标准要求判定。</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b w:val="0"/>
          <w:bCs/>
          <w:sz w:val="28"/>
          <w:szCs w:val="28"/>
        </w:rPr>
      </w:pPr>
      <w:r>
        <w:rPr>
          <w:rFonts w:hint="eastAsia" w:ascii="仿宋_GB2312" w:eastAsia="仿宋_GB2312"/>
          <w:b w:val="0"/>
          <w:bCs/>
          <w:sz w:val="28"/>
          <w:szCs w:val="28"/>
        </w:rPr>
        <w:t>若被检产品明示的质量要求低于或包含本细则中检验项目依据的推荐性标准要求时，应以被检产品明示的质量要求判定。</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b w:val="0"/>
          <w:bCs/>
          <w:sz w:val="28"/>
          <w:szCs w:val="28"/>
        </w:rPr>
      </w:pPr>
      <w:r>
        <w:rPr>
          <w:rFonts w:hint="eastAsia" w:ascii="仿宋_GB2312" w:eastAsia="仿宋_GB2312"/>
          <w:b w:val="0"/>
          <w:bCs/>
          <w:sz w:val="28"/>
          <w:szCs w:val="28"/>
        </w:rPr>
        <w:t>若被检产品明示的质量要求缺少本细则中检验项目依据的强制性标准要求时，应按照强制性标准要求判定。</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b w:val="0"/>
          <w:bCs/>
          <w:sz w:val="28"/>
          <w:szCs w:val="28"/>
        </w:rPr>
      </w:pPr>
      <w:r>
        <w:rPr>
          <w:rFonts w:hint="eastAsia" w:ascii="仿宋_GB2312" w:eastAsia="仿宋_GB2312"/>
          <w:b w:val="0"/>
          <w:bCs/>
          <w:sz w:val="28"/>
          <w:szCs w:val="28"/>
        </w:rPr>
        <w:t>若被检产品明示的质量要求缺少本细则中检验项目依据的推荐性标准要求时，该项目不参与判定，但应在检验报告备注中进行说明。</w:t>
      </w:r>
    </w:p>
    <w:p>
      <w:pPr>
        <w:keepNext w:val="0"/>
        <w:keepLines w:val="0"/>
        <w:pageBreakBefore w:val="0"/>
        <w:kinsoku/>
        <w:wordWrap/>
        <w:overflowPunct/>
        <w:topLinePunct w:val="0"/>
        <w:autoSpaceDE/>
        <w:autoSpaceDN/>
        <w:bidi w:val="0"/>
        <w:adjustRightInd w:val="0"/>
        <w:snapToGrid w:val="0"/>
        <w:spacing w:line="540" w:lineRule="exact"/>
        <w:ind w:firstLine="562" w:firstLineChars="200"/>
        <w:textAlignment w:val="auto"/>
        <w:rPr>
          <w:rFonts w:ascii="仿宋_GB2312" w:eastAsia="仿宋_GB2312"/>
          <w:b/>
          <w:bCs w:val="0"/>
          <w:sz w:val="28"/>
          <w:szCs w:val="28"/>
        </w:rPr>
      </w:pPr>
      <w:r>
        <w:rPr>
          <w:rFonts w:hint="eastAsia" w:ascii="仿宋_GB2312" w:eastAsia="仿宋_GB2312"/>
          <w:b/>
          <w:bCs w:val="0"/>
          <w:sz w:val="28"/>
          <w:szCs w:val="28"/>
        </w:rPr>
        <w:t>7判定原则</w:t>
      </w:r>
    </w:p>
    <w:p>
      <w:pPr>
        <w:keepNext w:val="0"/>
        <w:keepLines w:val="0"/>
        <w:pageBreakBefore w:val="0"/>
        <w:kinsoku/>
        <w:wordWrap/>
        <w:overflowPunct/>
        <w:topLinePunct w:val="0"/>
        <w:autoSpaceDE/>
        <w:autoSpaceDN/>
        <w:bidi w:val="0"/>
        <w:spacing w:line="540" w:lineRule="exact"/>
        <w:ind w:firstLine="560" w:firstLineChars="200"/>
        <w:textAlignment w:val="auto"/>
        <w:rPr>
          <w:rFonts w:ascii="仿宋" w:hAnsi="仿宋" w:eastAsia="仿宋"/>
          <w:b w:val="0"/>
          <w:bCs/>
          <w:sz w:val="28"/>
          <w:szCs w:val="28"/>
        </w:rPr>
      </w:pPr>
      <w:r>
        <w:rPr>
          <w:rFonts w:hint="eastAsia" w:ascii="仿宋" w:hAnsi="仿宋" w:eastAsia="仿宋"/>
          <w:b w:val="0"/>
          <w:bCs/>
          <w:sz w:val="28"/>
          <w:szCs w:val="28"/>
        </w:rPr>
        <w:t>经检验，检验项目全部合格，判定为被抽查产品所检项目未发现不合格；检验项目中任一项或一项以上不合格，判定为被抽查产品不合格。</w:t>
      </w:r>
    </w:p>
    <w:p>
      <w:pPr>
        <w:keepNext w:val="0"/>
        <w:keepLines w:val="0"/>
        <w:pageBreakBefore w:val="0"/>
        <w:kinsoku/>
        <w:wordWrap/>
        <w:overflowPunct/>
        <w:topLinePunct w:val="0"/>
        <w:autoSpaceDE/>
        <w:autoSpaceDN/>
        <w:bidi w:val="0"/>
        <w:adjustRightInd w:val="0"/>
        <w:snapToGrid w:val="0"/>
        <w:spacing w:line="540" w:lineRule="exact"/>
        <w:ind w:firstLine="562" w:firstLineChars="200"/>
        <w:textAlignment w:val="auto"/>
        <w:rPr>
          <w:rFonts w:ascii="仿宋_GB2312" w:eastAsia="仿宋_GB2312"/>
          <w:b/>
          <w:bCs w:val="0"/>
          <w:sz w:val="28"/>
          <w:szCs w:val="28"/>
        </w:rPr>
      </w:pPr>
      <w:r>
        <w:rPr>
          <w:rFonts w:hint="eastAsia" w:ascii="仿宋_GB2312" w:eastAsia="仿宋_GB2312"/>
          <w:b/>
          <w:bCs w:val="0"/>
          <w:sz w:val="28"/>
          <w:szCs w:val="28"/>
        </w:rPr>
        <w:t>8异议处理</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b w:val="0"/>
          <w:bCs/>
          <w:sz w:val="28"/>
          <w:szCs w:val="28"/>
        </w:rPr>
      </w:pPr>
      <w:r>
        <w:rPr>
          <w:rFonts w:hint="eastAsia" w:ascii="仿宋_GB2312" w:eastAsia="仿宋_GB2312"/>
          <w:b w:val="0"/>
          <w:bCs/>
          <w:sz w:val="28"/>
          <w:szCs w:val="28"/>
        </w:rPr>
        <w:t>对被判定为不合格企业进行异议处理时，按以下方式进行：</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b w:val="0"/>
          <w:bCs/>
          <w:sz w:val="28"/>
          <w:szCs w:val="28"/>
        </w:rPr>
      </w:pPr>
      <w:r>
        <w:rPr>
          <w:rFonts w:hint="eastAsia" w:ascii="仿宋_GB2312" w:eastAsia="仿宋_GB2312"/>
          <w:b w:val="0"/>
          <w:bCs/>
          <w:sz w:val="28"/>
          <w:szCs w:val="28"/>
        </w:rPr>
        <w:t>8.1核查不合格项目相关证据，能够以记录（纸质记录或电子记录或影像记录）或与不合格项目相关联的其它质量数据等检验证据证明。</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eastAsia="仿宋_GB2312"/>
          <w:b w:val="0"/>
          <w:bCs/>
          <w:sz w:val="28"/>
          <w:szCs w:val="28"/>
        </w:rPr>
      </w:pPr>
      <w:r>
        <w:rPr>
          <w:rFonts w:hint="eastAsia" w:ascii="仿宋_GB2312" w:eastAsia="仿宋_GB2312"/>
          <w:b w:val="0"/>
          <w:bCs/>
          <w:sz w:val="28"/>
          <w:szCs w:val="28"/>
        </w:rPr>
        <w:t>8.2对需要复检并具备检验条件的，处理企业异议的市场监督管理部门或者指定检验机构应当按原监督抽查细则对留存的样品或抽取的备用样品组织复检，并出具检验报告。复检结论为最终结论。</w:t>
      </w:r>
    </w:p>
    <w:p>
      <w:pPr>
        <w:pStyle w:val="4"/>
        <w:keepNext w:val="0"/>
        <w:keepLines w:val="0"/>
        <w:pageBreakBefore w:val="0"/>
        <w:widowControl w:val="0"/>
        <w:kinsoku/>
        <w:wordWrap/>
        <w:overflowPunct/>
        <w:topLinePunct w:val="0"/>
        <w:autoSpaceDE/>
        <w:autoSpaceDN/>
        <w:bidi w:val="0"/>
        <w:adjustRightInd w:val="0"/>
        <w:snapToGrid w:val="0"/>
        <w:spacing w:line="540" w:lineRule="exact"/>
        <w:ind w:firstLine="420"/>
        <w:textAlignment w:val="auto"/>
        <w:rPr>
          <w:rFonts w:hint="eastAsia" w:ascii="仿宋" w:hAnsi="仿宋" w:eastAsia="仿宋" w:cs="仿宋"/>
          <w:b/>
          <w:bCs/>
          <w:sz w:val="28"/>
          <w:szCs w:val="28"/>
        </w:rPr>
      </w:pPr>
      <w:r>
        <w:rPr>
          <w:rFonts w:hint="eastAsia" w:ascii="仿宋" w:hAnsi="仿宋" w:eastAsia="仿宋" w:cs="仿宋"/>
          <w:b/>
          <w:bCs/>
          <w:sz w:val="28"/>
          <w:szCs w:val="28"/>
          <w:lang w:val="en-US" w:eastAsia="zh-CN"/>
        </w:rPr>
        <w:t>9</w:t>
      </w:r>
      <w:r>
        <w:rPr>
          <w:rFonts w:hint="eastAsia" w:ascii="仿宋" w:hAnsi="仿宋" w:eastAsia="仿宋" w:cs="仿宋"/>
          <w:b/>
          <w:bCs/>
          <w:sz w:val="28"/>
          <w:szCs w:val="28"/>
        </w:rPr>
        <w:t xml:space="preserve"> 检验后的样品处置</w:t>
      </w:r>
    </w:p>
    <w:p>
      <w:pPr>
        <w:pStyle w:val="4"/>
        <w:keepNext w:val="0"/>
        <w:keepLines w:val="0"/>
        <w:pageBreakBefore w:val="0"/>
        <w:widowControl w:val="0"/>
        <w:kinsoku/>
        <w:wordWrap/>
        <w:overflowPunct/>
        <w:topLinePunct w:val="0"/>
        <w:autoSpaceDE/>
        <w:autoSpaceDN/>
        <w:bidi w:val="0"/>
        <w:adjustRightInd w:val="0"/>
        <w:snapToGrid w:val="0"/>
        <w:spacing w:line="540" w:lineRule="exact"/>
        <w:ind w:firstLine="42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9</w:t>
      </w:r>
      <w:r>
        <w:rPr>
          <w:rFonts w:hint="eastAsia" w:ascii="仿宋" w:hAnsi="仿宋" w:eastAsia="仿宋" w:cs="仿宋"/>
          <w:sz w:val="28"/>
          <w:szCs w:val="28"/>
        </w:rPr>
        <w:t>.1经检验并综合判定为合格的样品，异议期满后，由承检单位将样品直接做弃置处理；</w:t>
      </w:r>
    </w:p>
    <w:p>
      <w:pPr>
        <w:pStyle w:val="4"/>
        <w:keepNext w:val="0"/>
        <w:keepLines w:val="0"/>
        <w:pageBreakBefore w:val="0"/>
        <w:widowControl w:val="0"/>
        <w:kinsoku/>
        <w:wordWrap/>
        <w:overflowPunct/>
        <w:topLinePunct w:val="0"/>
        <w:autoSpaceDE/>
        <w:autoSpaceDN/>
        <w:bidi w:val="0"/>
        <w:adjustRightInd w:val="0"/>
        <w:snapToGrid w:val="0"/>
        <w:spacing w:line="540" w:lineRule="exact"/>
        <w:ind w:firstLine="42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9</w:t>
      </w:r>
      <w:r>
        <w:rPr>
          <w:rFonts w:hint="eastAsia" w:ascii="仿宋" w:hAnsi="仿宋" w:eastAsia="仿宋" w:cs="仿宋"/>
          <w:sz w:val="28"/>
          <w:szCs w:val="28"/>
        </w:rPr>
        <w:t>.2经检验并综合判定为不合格的样品，异议期满3个月后，由承检单位将样品做弃置处理；</w:t>
      </w:r>
    </w:p>
    <w:p>
      <w:pPr>
        <w:keepNext w:val="0"/>
        <w:keepLines w:val="0"/>
        <w:pageBreakBefore w:val="0"/>
        <w:kinsoku/>
        <w:wordWrap/>
        <w:overflowPunct/>
        <w:autoSpaceDE/>
        <w:autoSpaceDN/>
        <w:bidi w:val="0"/>
        <w:adjustRightInd w:val="0"/>
        <w:snapToGrid w:val="0"/>
        <w:spacing w:line="540" w:lineRule="exact"/>
        <w:ind w:firstLine="551" w:firstLineChars="196"/>
        <w:textAlignment w:val="auto"/>
        <w:rPr>
          <w:rFonts w:hint="eastAsia" w:ascii="仿宋_GB2312" w:eastAsia="仿宋_GB2312"/>
          <w:b/>
          <w:bCs w:val="0"/>
          <w:sz w:val="28"/>
          <w:szCs w:val="28"/>
        </w:rPr>
      </w:pPr>
      <w:r>
        <w:rPr>
          <w:rFonts w:hint="eastAsia" w:ascii="仿宋_GB2312" w:eastAsia="仿宋_GB2312"/>
          <w:b/>
          <w:bCs w:val="0"/>
          <w:sz w:val="28"/>
          <w:szCs w:val="28"/>
          <w:lang w:val="en-US" w:eastAsia="zh-CN"/>
        </w:rPr>
        <w:t>10</w:t>
      </w:r>
      <w:r>
        <w:rPr>
          <w:rFonts w:hint="eastAsia" w:ascii="仿宋_GB2312" w:eastAsia="仿宋_GB2312"/>
          <w:b/>
          <w:bCs w:val="0"/>
          <w:sz w:val="28"/>
          <w:szCs w:val="28"/>
        </w:rPr>
        <w:t xml:space="preserve"> 附则</w:t>
      </w:r>
    </w:p>
    <w:p>
      <w:pPr>
        <w:keepNext w:val="0"/>
        <w:keepLines w:val="0"/>
        <w:pageBreakBefore w:val="0"/>
        <w:kinsoku/>
        <w:wordWrap/>
        <w:overflowPunct/>
        <w:autoSpaceDE/>
        <w:autoSpaceDN/>
        <w:bidi w:val="0"/>
        <w:adjustRightInd w:val="0"/>
        <w:snapToGrid w:val="0"/>
        <w:spacing w:line="540" w:lineRule="exact"/>
        <w:ind w:firstLine="548" w:firstLineChars="196"/>
        <w:textAlignment w:val="auto"/>
        <w:rPr>
          <w:rFonts w:hint="eastAsia" w:ascii="仿宋" w:hAnsi="仿宋" w:eastAsia="仿宋"/>
          <w:sz w:val="28"/>
          <w:szCs w:val="28"/>
          <w:lang w:eastAsia="zh-CN"/>
        </w:rPr>
      </w:pPr>
      <w:r>
        <w:rPr>
          <w:rFonts w:hint="eastAsia" w:ascii="仿宋" w:hAnsi="仿宋" w:eastAsia="仿宋"/>
          <w:sz w:val="28"/>
          <w:szCs w:val="28"/>
        </w:rPr>
        <w:t>本细则编写单位:</w:t>
      </w:r>
      <w:r>
        <w:rPr>
          <w:rFonts w:hint="eastAsia" w:ascii="仿宋" w:hAnsi="仿宋" w:eastAsia="仿宋"/>
          <w:sz w:val="28"/>
          <w:szCs w:val="28"/>
          <w:lang w:eastAsia="zh-CN"/>
        </w:rPr>
        <w:t>山东腾翔产品质量检测有限公司。</w:t>
      </w:r>
    </w:p>
    <w:p>
      <w:pPr>
        <w:keepNext w:val="0"/>
        <w:keepLines w:val="0"/>
        <w:pageBreakBefore w:val="0"/>
        <w:kinsoku/>
        <w:wordWrap/>
        <w:overflowPunct/>
        <w:autoSpaceDE/>
        <w:autoSpaceDN/>
        <w:bidi w:val="0"/>
        <w:adjustRightInd w:val="0"/>
        <w:snapToGrid w:val="0"/>
        <w:spacing w:line="540" w:lineRule="exact"/>
        <w:ind w:firstLine="411" w:firstLineChars="196"/>
        <w:textAlignment w:val="auto"/>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汉鼎简书宋二">
    <w:altName w:val="微软雅黑"/>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9"/>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  \* MERGEFORMAT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8</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lang w:val="en-US" w:eastAsia="zh-CN"/>
                            </w:rPr>
                            <w:t>-</w:t>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s0lY7tAAAAAFAQAADwAAAAAAAAABACAAAAAiAAAAZHJz&#10;L2Rvd25yZXYueG1sUEsBAhQAFAAAAAgAh07iQPWfuI3TAQAApQMAAA4AAAAAAAAAAQAgAAAAHwEA&#10;AGRycy9lMm9Eb2MueG1sUEsFBgAAAAAGAAYAWQEAAGQFAAAAAA==&#10;">
              <v:fill on="f" focussize="0,0"/>
              <v:stroke on="f" weight="0.5pt"/>
              <v:imagedata o:title=""/>
              <o:lock v:ext="edit" aspectratio="f"/>
              <v:textbox inset="0mm,0mm,0mm,0mm" style="mso-fit-shape-to-text:t;">
                <w:txbxContent>
                  <w:p>
                    <w:pPr>
                      <w:pStyle w:val="9"/>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  \* MERGEFORMAT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8</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lang w:val="en-US"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1M2FhZjFkMGNjZGM3MTA2OTc3MmM3NTMzZTdmNTYifQ=="/>
  </w:docVars>
  <w:rsids>
    <w:rsidRoot w:val="00B32679"/>
    <w:rsid w:val="00014F35"/>
    <w:rsid w:val="000204C4"/>
    <w:rsid w:val="00053EFC"/>
    <w:rsid w:val="000623B5"/>
    <w:rsid w:val="000930C6"/>
    <w:rsid w:val="000A351D"/>
    <w:rsid w:val="000A7648"/>
    <w:rsid w:val="000B3572"/>
    <w:rsid w:val="000C2479"/>
    <w:rsid w:val="000C40CF"/>
    <w:rsid w:val="000E4826"/>
    <w:rsid w:val="000F79E9"/>
    <w:rsid w:val="000F7DB4"/>
    <w:rsid w:val="00107ABE"/>
    <w:rsid w:val="001300B3"/>
    <w:rsid w:val="00130529"/>
    <w:rsid w:val="00141995"/>
    <w:rsid w:val="00190AE8"/>
    <w:rsid w:val="001A2372"/>
    <w:rsid w:val="001B2038"/>
    <w:rsid w:val="001B6E21"/>
    <w:rsid w:val="001C3E50"/>
    <w:rsid w:val="001C6932"/>
    <w:rsid w:val="001D4CF7"/>
    <w:rsid w:val="001F0EEF"/>
    <w:rsid w:val="001F1C54"/>
    <w:rsid w:val="001F445B"/>
    <w:rsid w:val="0022414B"/>
    <w:rsid w:val="002776F4"/>
    <w:rsid w:val="002B49FB"/>
    <w:rsid w:val="002B783E"/>
    <w:rsid w:val="002C5FF7"/>
    <w:rsid w:val="002E70FD"/>
    <w:rsid w:val="003076DF"/>
    <w:rsid w:val="00341A24"/>
    <w:rsid w:val="00345DF4"/>
    <w:rsid w:val="003626D0"/>
    <w:rsid w:val="00373FB4"/>
    <w:rsid w:val="0037771F"/>
    <w:rsid w:val="003812B8"/>
    <w:rsid w:val="00387151"/>
    <w:rsid w:val="003901CA"/>
    <w:rsid w:val="00396E4A"/>
    <w:rsid w:val="00397AD9"/>
    <w:rsid w:val="003A5FDA"/>
    <w:rsid w:val="003A773D"/>
    <w:rsid w:val="003B64F6"/>
    <w:rsid w:val="003C2030"/>
    <w:rsid w:val="003E16CE"/>
    <w:rsid w:val="003F6E0B"/>
    <w:rsid w:val="0040620C"/>
    <w:rsid w:val="00413A29"/>
    <w:rsid w:val="0041721D"/>
    <w:rsid w:val="00422D25"/>
    <w:rsid w:val="00431DF0"/>
    <w:rsid w:val="00435B96"/>
    <w:rsid w:val="0048725B"/>
    <w:rsid w:val="004A1DC4"/>
    <w:rsid w:val="004B2B2F"/>
    <w:rsid w:val="004C6996"/>
    <w:rsid w:val="004D363B"/>
    <w:rsid w:val="004D44F2"/>
    <w:rsid w:val="004E0A2B"/>
    <w:rsid w:val="004E712A"/>
    <w:rsid w:val="00500F8C"/>
    <w:rsid w:val="005017AC"/>
    <w:rsid w:val="00503F59"/>
    <w:rsid w:val="00517D56"/>
    <w:rsid w:val="00522D22"/>
    <w:rsid w:val="00553230"/>
    <w:rsid w:val="0055450C"/>
    <w:rsid w:val="00561759"/>
    <w:rsid w:val="00572132"/>
    <w:rsid w:val="00591CFA"/>
    <w:rsid w:val="005B7298"/>
    <w:rsid w:val="005D21DE"/>
    <w:rsid w:val="00601AE5"/>
    <w:rsid w:val="00602822"/>
    <w:rsid w:val="006109C5"/>
    <w:rsid w:val="00615BE3"/>
    <w:rsid w:val="00625BB8"/>
    <w:rsid w:val="00642116"/>
    <w:rsid w:val="0064672C"/>
    <w:rsid w:val="006559F3"/>
    <w:rsid w:val="0067546D"/>
    <w:rsid w:val="00676455"/>
    <w:rsid w:val="00694E7B"/>
    <w:rsid w:val="006C6901"/>
    <w:rsid w:val="006D44E0"/>
    <w:rsid w:val="006D67D2"/>
    <w:rsid w:val="006E0EB3"/>
    <w:rsid w:val="006E1E5B"/>
    <w:rsid w:val="006E49E5"/>
    <w:rsid w:val="007024A4"/>
    <w:rsid w:val="0071325A"/>
    <w:rsid w:val="00725A28"/>
    <w:rsid w:val="007425B8"/>
    <w:rsid w:val="00780717"/>
    <w:rsid w:val="00784475"/>
    <w:rsid w:val="007920FB"/>
    <w:rsid w:val="007E4C69"/>
    <w:rsid w:val="008104DD"/>
    <w:rsid w:val="0083253B"/>
    <w:rsid w:val="0083269E"/>
    <w:rsid w:val="00862CA8"/>
    <w:rsid w:val="008741C9"/>
    <w:rsid w:val="0088460E"/>
    <w:rsid w:val="00885EF2"/>
    <w:rsid w:val="008B11B2"/>
    <w:rsid w:val="008B29A9"/>
    <w:rsid w:val="008C6985"/>
    <w:rsid w:val="008E0113"/>
    <w:rsid w:val="008F21F5"/>
    <w:rsid w:val="00901130"/>
    <w:rsid w:val="00904983"/>
    <w:rsid w:val="00907571"/>
    <w:rsid w:val="00937EF3"/>
    <w:rsid w:val="009467CA"/>
    <w:rsid w:val="009521C2"/>
    <w:rsid w:val="00972358"/>
    <w:rsid w:val="009741E2"/>
    <w:rsid w:val="00985542"/>
    <w:rsid w:val="00995C8C"/>
    <w:rsid w:val="009B19BD"/>
    <w:rsid w:val="009B65CD"/>
    <w:rsid w:val="009C070A"/>
    <w:rsid w:val="009D01CC"/>
    <w:rsid w:val="009D4E50"/>
    <w:rsid w:val="009E62D6"/>
    <w:rsid w:val="00A66407"/>
    <w:rsid w:val="00AA1224"/>
    <w:rsid w:val="00AE3359"/>
    <w:rsid w:val="00AE459E"/>
    <w:rsid w:val="00AE7967"/>
    <w:rsid w:val="00B03A40"/>
    <w:rsid w:val="00B043A5"/>
    <w:rsid w:val="00B20DCF"/>
    <w:rsid w:val="00B32679"/>
    <w:rsid w:val="00B652A4"/>
    <w:rsid w:val="00B70C44"/>
    <w:rsid w:val="00B71B29"/>
    <w:rsid w:val="00B738C7"/>
    <w:rsid w:val="00B813C6"/>
    <w:rsid w:val="00B864DB"/>
    <w:rsid w:val="00BB3727"/>
    <w:rsid w:val="00BB6052"/>
    <w:rsid w:val="00BB6915"/>
    <w:rsid w:val="00BC253B"/>
    <w:rsid w:val="00BC5EBE"/>
    <w:rsid w:val="00C00962"/>
    <w:rsid w:val="00C023B0"/>
    <w:rsid w:val="00C46ADC"/>
    <w:rsid w:val="00C50DD1"/>
    <w:rsid w:val="00C80094"/>
    <w:rsid w:val="00CD27A7"/>
    <w:rsid w:val="00CE33AA"/>
    <w:rsid w:val="00D21591"/>
    <w:rsid w:val="00D5315E"/>
    <w:rsid w:val="00D71625"/>
    <w:rsid w:val="00DB17A3"/>
    <w:rsid w:val="00DB51A6"/>
    <w:rsid w:val="00DE33FC"/>
    <w:rsid w:val="00DE770D"/>
    <w:rsid w:val="00E0683A"/>
    <w:rsid w:val="00E11DB4"/>
    <w:rsid w:val="00E24F62"/>
    <w:rsid w:val="00E25CB8"/>
    <w:rsid w:val="00E4383B"/>
    <w:rsid w:val="00E515A2"/>
    <w:rsid w:val="00E57036"/>
    <w:rsid w:val="00E67A5D"/>
    <w:rsid w:val="00E84E68"/>
    <w:rsid w:val="00EC0A1C"/>
    <w:rsid w:val="00EC5562"/>
    <w:rsid w:val="00EC710E"/>
    <w:rsid w:val="00ED32BF"/>
    <w:rsid w:val="00EE637B"/>
    <w:rsid w:val="00EF7449"/>
    <w:rsid w:val="00F04F3B"/>
    <w:rsid w:val="00F15A10"/>
    <w:rsid w:val="00F15D77"/>
    <w:rsid w:val="00F33E4B"/>
    <w:rsid w:val="00F35E82"/>
    <w:rsid w:val="00F363AD"/>
    <w:rsid w:val="00F54A74"/>
    <w:rsid w:val="00F6554B"/>
    <w:rsid w:val="00F67C53"/>
    <w:rsid w:val="00F7631B"/>
    <w:rsid w:val="00FA62AA"/>
    <w:rsid w:val="00FB0D1C"/>
    <w:rsid w:val="00FD54CF"/>
    <w:rsid w:val="00FE3786"/>
    <w:rsid w:val="00FE3932"/>
    <w:rsid w:val="00FE3F0A"/>
    <w:rsid w:val="03517CE2"/>
    <w:rsid w:val="05B44A21"/>
    <w:rsid w:val="06B50E10"/>
    <w:rsid w:val="075E3062"/>
    <w:rsid w:val="07CB0C1A"/>
    <w:rsid w:val="07D7366F"/>
    <w:rsid w:val="08132D86"/>
    <w:rsid w:val="097C36F0"/>
    <w:rsid w:val="09894759"/>
    <w:rsid w:val="0990088F"/>
    <w:rsid w:val="0C1C096A"/>
    <w:rsid w:val="0C6A3CCE"/>
    <w:rsid w:val="0E17512C"/>
    <w:rsid w:val="0FB858AB"/>
    <w:rsid w:val="1097754E"/>
    <w:rsid w:val="11577BBD"/>
    <w:rsid w:val="132445E9"/>
    <w:rsid w:val="166C2330"/>
    <w:rsid w:val="16965343"/>
    <w:rsid w:val="16CE7D16"/>
    <w:rsid w:val="179E61C8"/>
    <w:rsid w:val="182F0E23"/>
    <w:rsid w:val="192B23F6"/>
    <w:rsid w:val="1C9066D1"/>
    <w:rsid w:val="1E107000"/>
    <w:rsid w:val="1E2F09B4"/>
    <w:rsid w:val="1FC35BBF"/>
    <w:rsid w:val="21056678"/>
    <w:rsid w:val="21CB6968"/>
    <w:rsid w:val="22744381"/>
    <w:rsid w:val="24A22A81"/>
    <w:rsid w:val="255337AE"/>
    <w:rsid w:val="258B60F4"/>
    <w:rsid w:val="26343F9F"/>
    <w:rsid w:val="2BE61DC8"/>
    <w:rsid w:val="2C3A277A"/>
    <w:rsid w:val="2D825A2F"/>
    <w:rsid w:val="2ED84802"/>
    <w:rsid w:val="2F95332F"/>
    <w:rsid w:val="31B062AC"/>
    <w:rsid w:val="34125EC4"/>
    <w:rsid w:val="36AB6D68"/>
    <w:rsid w:val="373F3B68"/>
    <w:rsid w:val="390A3219"/>
    <w:rsid w:val="3947634D"/>
    <w:rsid w:val="39D241A6"/>
    <w:rsid w:val="3A6F0931"/>
    <w:rsid w:val="3B0C5CFD"/>
    <w:rsid w:val="3BA40D5C"/>
    <w:rsid w:val="426D07BC"/>
    <w:rsid w:val="45AB4389"/>
    <w:rsid w:val="460C34F8"/>
    <w:rsid w:val="469E1CE6"/>
    <w:rsid w:val="48856A98"/>
    <w:rsid w:val="488E6CFB"/>
    <w:rsid w:val="489D613D"/>
    <w:rsid w:val="48DA2CCE"/>
    <w:rsid w:val="49313F1A"/>
    <w:rsid w:val="4A1949A7"/>
    <w:rsid w:val="4A510B43"/>
    <w:rsid w:val="4BA845EA"/>
    <w:rsid w:val="4C91318F"/>
    <w:rsid w:val="4DD12E39"/>
    <w:rsid w:val="4DDF5B1E"/>
    <w:rsid w:val="4E4F092E"/>
    <w:rsid w:val="4FC113B8"/>
    <w:rsid w:val="503A452D"/>
    <w:rsid w:val="522C6261"/>
    <w:rsid w:val="527B11B4"/>
    <w:rsid w:val="53513FD9"/>
    <w:rsid w:val="56063FC8"/>
    <w:rsid w:val="56667F7D"/>
    <w:rsid w:val="56DA7A7A"/>
    <w:rsid w:val="57BD6C6D"/>
    <w:rsid w:val="58226BF3"/>
    <w:rsid w:val="58E633BB"/>
    <w:rsid w:val="595C3210"/>
    <w:rsid w:val="5A110E67"/>
    <w:rsid w:val="5ADB4D35"/>
    <w:rsid w:val="5C20251D"/>
    <w:rsid w:val="5E026D1F"/>
    <w:rsid w:val="5FE645AE"/>
    <w:rsid w:val="637E23BD"/>
    <w:rsid w:val="64825983"/>
    <w:rsid w:val="65FF076F"/>
    <w:rsid w:val="66987670"/>
    <w:rsid w:val="68F83B72"/>
    <w:rsid w:val="69F3281F"/>
    <w:rsid w:val="6A945404"/>
    <w:rsid w:val="6AEE3FA2"/>
    <w:rsid w:val="6B4B09EA"/>
    <w:rsid w:val="6B58188D"/>
    <w:rsid w:val="6CAA0972"/>
    <w:rsid w:val="6DF418E6"/>
    <w:rsid w:val="6E0F2752"/>
    <w:rsid w:val="6E8D66BB"/>
    <w:rsid w:val="702F75A2"/>
    <w:rsid w:val="722F294B"/>
    <w:rsid w:val="72DC238B"/>
    <w:rsid w:val="72F21524"/>
    <w:rsid w:val="75FEF899"/>
    <w:rsid w:val="77BA1CD3"/>
    <w:rsid w:val="79AB040C"/>
    <w:rsid w:val="79F66E84"/>
    <w:rsid w:val="7A30427B"/>
    <w:rsid w:val="7B857057"/>
    <w:rsid w:val="7E5E415E"/>
    <w:rsid w:val="EAD410C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nhideWhenUsed="0" w:uiPriority="99" w:semiHidden="0"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qFormat/>
    <w:uiPriority w:val="0"/>
  </w:style>
  <w:style w:type="paragraph" w:styleId="4">
    <w:name w:val="Normal Indent"/>
    <w:basedOn w:val="1"/>
    <w:next w:val="5"/>
    <w:qFormat/>
    <w:uiPriority w:val="99"/>
    <w:pPr>
      <w:ind w:firstLine="420"/>
    </w:pPr>
    <w:rPr>
      <w:rFonts w:ascii="仿宋_GB2312" w:hAnsi="Times New Roman" w:eastAsia="仿宋_GB2312"/>
      <w:sz w:val="32"/>
      <w:szCs w:val="20"/>
    </w:rPr>
  </w:style>
  <w:style w:type="paragraph" w:styleId="5">
    <w:name w:val="Body Text"/>
    <w:basedOn w:val="1"/>
    <w:next w:val="1"/>
    <w:qFormat/>
    <w:uiPriority w:val="0"/>
    <w:pPr>
      <w:spacing w:after="120"/>
    </w:pPr>
  </w:style>
  <w:style w:type="paragraph" w:styleId="6">
    <w:name w:val="Body Text Indent"/>
    <w:basedOn w:val="1"/>
    <w:next w:val="1"/>
    <w:qFormat/>
    <w:uiPriority w:val="0"/>
    <w:pPr>
      <w:spacing w:line="360" w:lineRule="auto"/>
      <w:ind w:firstLine="480" w:firstLineChars="200"/>
    </w:pPr>
    <w:rPr>
      <w:rFonts w:ascii="宋体" w:hAnsi="宋体"/>
      <w:kern w:val="0"/>
      <w:szCs w:val="20"/>
    </w:rPr>
  </w:style>
  <w:style w:type="paragraph" w:styleId="7">
    <w:name w:val="Date"/>
    <w:basedOn w:val="1"/>
    <w:next w:val="1"/>
    <w:link w:val="21"/>
    <w:semiHidden/>
    <w:unhideWhenUsed/>
    <w:qFormat/>
    <w:uiPriority w:val="99"/>
    <w:pPr>
      <w:ind w:left="100" w:leftChars="2500"/>
    </w:pPr>
  </w:style>
  <w:style w:type="paragraph" w:styleId="8">
    <w:name w:val="Balloon Text"/>
    <w:basedOn w:val="1"/>
    <w:link w:val="17"/>
    <w:semiHidden/>
    <w:unhideWhenUsed/>
    <w:qFormat/>
    <w:uiPriority w:val="99"/>
    <w:rPr>
      <w:sz w:val="18"/>
      <w:szCs w:val="18"/>
    </w:rPr>
  </w:style>
  <w:style w:type="paragraph" w:styleId="9">
    <w:name w:val="footer"/>
    <w:basedOn w:val="1"/>
    <w:link w:val="20"/>
    <w:unhideWhenUsed/>
    <w:qFormat/>
    <w:uiPriority w:val="99"/>
    <w:pPr>
      <w:tabs>
        <w:tab w:val="center" w:pos="4153"/>
        <w:tab w:val="right" w:pos="8306"/>
      </w:tabs>
      <w:snapToGrid w:val="0"/>
      <w:jc w:val="left"/>
    </w:pPr>
    <w:rPr>
      <w:sz w:val="18"/>
      <w:szCs w:val="18"/>
    </w:rPr>
  </w:style>
  <w:style w:type="paragraph" w:styleId="10">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Body Text First Indent"/>
    <w:basedOn w:val="1"/>
    <w:qFormat/>
    <w:uiPriority w:val="99"/>
    <w:pPr>
      <w:spacing w:line="360" w:lineRule="auto"/>
      <w:ind w:firstLine="200" w:firstLineChars="200"/>
    </w:pPr>
    <w:rPr>
      <w:rFonts w:ascii="仿宋_GB2312" w:eastAsia="仿宋_GB2312"/>
      <w:sz w:val="30"/>
      <w:szCs w:val="30"/>
    </w:rPr>
  </w:style>
  <w:style w:type="paragraph" w:styleId="12">
    <w:name w:val="Body Text First Indent 2"/>
    <w:basedOn w:val="6"/>
    <w:next w:val="4"/>
    <w:unhideWhenUsed/>
    <w:qFormat/>
    <w:uiPriority w:val="99"/>
    <w:pPr>
      <w:spacing w:after="120"/>
      <w:ind w:left="420" w:leftChars="200" w:firstLine="420"/>
    </w:pPr>
    <w:rPr>
      <w:rFonts w:cs="Times New Roman"/>
    </w:rPr>
  </w:style>
  <w:style w:type="table" w:styleId="14">
    <w:name w:val="Table Grid"/>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6">
    <w:name w:val="wang正文"/>
    <w:basedOn w:val="1"/>
    <w:qFormat/>
    <w:uiPriority w:val="0"/>
    <w:pPr>
      <w:tabs>
        <w:tab w:val="left" w:pos="6840"/>
      </w:tabs>
      <w:topLinePunct/>
      <w:ind w:firstLine="420"/>
    </w:pPr>
    <w:rPr>
      <w:kern w:val="0"/>
    </w:rPr>
  </w:style>
  <w:style w:type="character" w:customStyle="1" w:styleId="17">
    <w:name w:val="批注框文本 Char"/>
    <w:basedOn w:val="15"/>
    <w:link w:val="8"/>
    <w:semiHidden/>
    <w:qFormat/>
    <w:uiPriority w:val="99"/>
    <w:rPr>
      <w:rFonts w:ascii="Calibri" w:hAnsi="Calibri" w:eastAsia="宋体" w:cs="Times New Roman"/>
      <w:sz w:val="18"/>
      <w:szCs w:val="18"/>
    </w:rPr>
  </w:style>
  <w:style w:type="paragraph" w:customStyle="1" w:styleId="18">
    <w:name w:val="肥料正文"/>
    <w:basedOn w:val="1"/>
    <w:qFormat/>
    <w:uiPriority w:val="0"/>
    <w:pPr>
      <w:adjustRightInd w:val="0"/>
      <w:snapToGrid w:val="0"/>
      <w:spacing w:line="316" w:lineRule="auto"/>
      <w:ind w:firstLine="200" w:firstLineChars="200"/>
    </w:pPr>
    <w:rPr>
      <w:rFonts w:ascii="Times New Roman" w:hAnsi="Times New Roman" w:eastAsia="汉鼎简书宋二"/>
      <w:spacing w:val="2"/>
      <w:kern w:val="0"/>
      <w:sz w:val="22"/>
      <w:szCs w:val="24"/>
    </w:rPr>
  </w:style>
  <w:style w:type="character" w:customStyle="1" w:styleId="19">
    <w:name w:val="页眉 Char"/>
    <w:basedOn w:val="15"/>
    <w:link w:val="10"/>
    <w:qFormat/>
    <w:uiPriority w:val="99"/>
    <w:rPr>
      <w:rFonts w:ascii="Calibri" w:hAnsi="Calibri" w:eastAsia="宋体" w:cs="Times New Roman"/>
      <w:sz w:val="18"/>
      <w:szCs w:val="18"/>
    </w:rPr>
  </w:style>
  <w:style w:type="character" w:customStyle="1" w:styleId="20">
    <w:name w:val="页脚 Char"/>
    <w:basedOn w:val="15"/>
    <w:link w:val="9"/>
    <w:qFormat/>
    <w:uiPriority w:val="99"/>
    <w:rPr>
      <w:rFonts w:ascii="Calibri" w:hAnsi="Calibri" w:eastAsia="宋体" w:cs="Times New Roman"/>
      <w:sz w:val="18"/>
      <w:szCs w:val="18"/>
    </w:rPr>
  </w:style>
  <w:style w:type="character" w:customStyle="1" w:styleId="21">
    <w:name w:val="日期 Char"/>
    <w:basedOn w:val="15"/>
    <w:link w:val="7"/>
    <w:semiHidden/>
    <w:qFormat/>
    <w:uiPriority w:val="99"/>
    <w:rPr>
      <w:rFonts w:ascii="Calibri" w:hAnsi="Calibri" w:eastAsia="宋体" w:cs="Times New Roman"/>
    </w:rPr>
  </w:style>
  <w:style w:type="character" w:customStyle="1" w:styleId="22">
    <w:name w:val="段 Char"/>
    <w:link w:val="23"/>
    <w:qFormat/>
    <w:uiPriority w:val="0"/>
    <w:rPr>
      <w:rFonts w:ascii="宋体" w:eastAsia="Times New Roman"/>
    </w:rPr>
  </w:style>
  <w:style w:type="paragraph" w:customStyle="1" w:styleId="23">
    <w:name w:val="段"/>
    <w:link w:val="22"/>
    <w:qFormat/>
    <w:uiPriority w:val="0"/>
    <w:pPr>
      <w:autoSpaceDE w:val="0"/>
      <w:autoSpaceDN w:val="0"/>
      <w:ind w:firstLine="200" w:firstLineChars="200"/>
      <w:jc w:val="both"/>
    </w:pPr>
    <w:rPr>
      <w:rFonts w:ascii="宋体" w:eastAsia="Times New Roman" w:hAnsiTheme="minorHAnsi" w:cstheme="minorBidi"/>
      <w:kern w:val="2"/>
      <w:sz w:val="21"/>
      <w:szCs w:val="22"/>
      <w:lang w:val="en-US" w:eastAsia="zh-CN" w:bidi="ar-SA"/>
    </w:rPr>
  </w:style>
  <w:style w:type="paragraph" w:customStyle="1" w:styleId="24">
    <w:name w:val="列出段落1"/>
    <w:basedOn w:val="1"/>
    <w:next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8</Pages>
  <Words>3008</Words>
  <Characters>3599</Characters>
  <Lines>26</Lines>
  <Paragraphs>7</Paragraphs>
  <TotalTime>0</TotalTime>
  <ScaleCrop>false</ScaleCrop>
  <LinksUpToDate>false</LinksUpToDate>
  <CharactersWithSpaces>3664</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2020-05-25T05:46:00Z</dcterms:created>
  <dc:creator>jiangdw</dc:creator>
  <cp:lastModifiedBy>李松岩</cp:lastModifiedBy>
  <dcterms:modified xsi:type="dcterms:W3CDTF">2023-10-25T00:42:44Z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1200F051D7E9432C86F416F782721453_13</vt:lpwstr>
  </property>
</Properties>
</file>