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val="0"/>
          <w:spacing w:val="20"/>
          <w:w w:val="105"/>
          <w:sz w:val="36"/>
          <w:szCs w:val="36"/>
          <w:lang w:eastAsia="zh-CN"/>
        </w:rPr>
      </w:pPr>
      <w:r>
        <w:rPr>
          <w:rFonts w:hint="eastAsia" w:ascii="仿宋" w:hAnsi="仿宋" w:eastAsia="仿宋" w:cs="仿宋"/>
          <w:b/>
          <w:bCs w:val="0"/>
          <w:spacing w:val="20"/>
          <w:w w:val="105"/>
          <w:sz w:val="36"/>
          <w:szCs w:val="36"/>
          <w:lang w:val="en-US" w:eastAsia="zh-CN"/>
        </w:rPr>
        <w:t>2023年盘锦市兴隆台区</w:t>
      </w:r>
      <w:bookmarkStart w:id="0" w:name="_GoBack"/>
      <w:r>
        <w:rPr>
          <w:rFonts w:hint="eastAsia" w:ascii="仿宋" w:hAnsi="仿宋" w:eastAsia="仿宋" w:cs="仿宋"/>
          <w:b/>
          <w:bCs w:val="0"/>
          <w:spacing w:val="20"/>
          <w:w w:val="105"/>
          <w:sz w:val="36"/>
          <w:szCs w:val="36"/>
          <w:lang w:eastAsia="zh-CN"/>
        </w:rPr>
        <w:t>消防器材</w:t>
      </w:r>
      <w:bookmarkEnd w:id="0"/>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val="0"/>
          <w:spacing w:val="20"/>
          <w:w w:val="105"/>
          <w:sz w:val="36"/>
          <w:szCs w:val="36"/>
        </w:rPr>
      </w:pPr>
      <w:r>
        <w:rPr>
          <w:rFonts w:hint="eastAsia" w:ascii="仿宋" w:hAnsi="仿宋" w:eastAsia="仿宋" w:cs="仿宋"/>
          <w:b/>
          <w:bCs w:val="0"/>
          <w:spacing w:val="20"/>
          <w:w w:val="105"/>
          <w:sz w:val="36"/>
          <w:szCs w:val="36"/>
        </w:rPr>
        <w:t>产品质量监督抽查实施细则</w:t>
      </w:r>
    </w:p>
    <w:p>
      <w:pPr>
        <w:keepNext w:val="0"/>
        <w:keepLines w:val="0"/>
        <w:pageBreakBefore w:val="0"/>
        <w:widowControl w:val="0"/>
        <w:kinsoku/>
        <w:wordWrap/>
        <w:overflowPunct/>
        <w:topLinePunct w:val="0"/>
        <w:autoSpaceDE/>
        <w:autoSpaceDN/>
        <w:bidi w:val="0"/>
        <w:spacing w:line="594" w:lineRule="exact"/>
        <w:ind w:firstLine="560" w:firstLineChars="200"/>
        <w:jc w:val="center"/>
        <w:textAlignment w:val="auto"/>
        <w:rPr>
          <w:rFonts w:hint="eastAsia" w:ascii="仿宋_GB2312" w:hAnsi="仿宋_GB2312" w:eastAsia="仿宋_GB2312" w:cs="仿宋_GB2312"/>
          <w:b w:val="0"/>
          <w:bCs/>
          <w:sz w:val="28"/>
          <w:szCs w:val="28"/>
        </w:rPr>
      </w:pP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1适用范围</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sz w:val="28"/>
          <w:szCs w:val="28"/>
        </w:rPr>
        <w:t>本细则适用于</w:t>
      </w:r>
      <w:r>
        <w:rPr>
          <w:rFonts w:hint="eastAsia" w:ascii="仿宋_GB2312" w:hAnsi="仿宋_GB2312" w:eastAsia="仿宋_GB2312" w:cs="仿宋_GB2312"/>
          <w:b w:val="0"/>
          <w:bCs/>
          <w:sz w:val="28"/>
          <w:szCs w:val="28"/>
          <w:lang w:val="en-US" w:eastAsia="zh-CN"/>
        </w:rPr>
        <w:t>盘锦市兴隆台区</w:t>
      </w:r>
      <w:r>
        <w:rPr>
          <w:rFonts w:hint="eastAsia" w:ascii="仿宋_GB2312" w:hAnsi="仿宋_GB2312" w:eastAsia="仿宋_GB2312" w:cs="仿宋_GB2312"/>
          <w:b w:val="0"/>
          <w:bCs/>
          <w:kern w:val="0"/>
          <w:sz w:val="28"/>
          <w:szCs w:val="28"/>
          <w:lang w:eastAsia="zh-CN"/>
        </w:rPr>
        <w:t>消防器材</w:t>
      </w:r>
      <w:r>
        <w:rPr>
          <w:rFonts w:hint="eastAsia" w:ascii="仿宋_GB2312" w:hAnsi="仿宋_GB2312" w:eastAsia="仿宋_GB2312" w:cs="仿宋_GB2312"/>
          <w:b w:val="0"/>
          <w:bCs/>
          <w:sz w:val="28"/>
          <w:szCs w:val="28"/>
        </w:rPr>
        <w:t>产品质量监督抽查，针对特殊情况的专项抽查可参照执行。本细则内容包括产品分类</w:t>
      </w:r>
      <w:r>
        <w:rPr>
          <w:rFonts w:hint="eastAsia" w:ascii="仿宋_GB2312" w:hAnsi="仿宋_GB2312" w:eastAsia="仿宋_GB2312" w:cs="仿宋_GB2312"/>
          <w:b w:val="0"/>
          <w:bCs/>
          <w:kern w:val="0"/>
          <w:sz w:val="28"/>
          <w:szCs w:val="28"/>
        </w:rPr>
        <w:t>、术语和定义、生产企业规模划分、检验依据、抽样、检验要求、判定原则、异议处理。</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2产品分类、术语和定义</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2.1产品分类及代码见表1。</w:t>
      </w:r>
    </w:p>
    <w:p>
      <w:pPr>
        <w:keepNext w:val="0"/>
        <w:keepLines w:val="0"/>
        <w:pageBreakBefore w:val="0"/>
        <w:widowControl w:val="0"/>
        <w:kinsoku/>
        <w:wordWrap/>
        <w:overflowPunct/>
        <w:topLinePunct w:val="0"/>
        <w:autoSpaceDE/>
        <w:autoSpaceDN/>
        <w:bidi w:val="0"/>
        <w:adjustRightInd w:val="0"/>
        <w:snapToGrid w:val="0"/>
        <w:spacing w:line="540" w:lineRule="exact"/>
        <w:ind w:firstLine="420"/>
        <w:jc w:val="center"/>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表1  产品分类及代码</w:t>
      </w:r>
    </w:p>
    <w:tbl>
      <w:tblPr>
        <w:tblStyle w:val="13"/>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740"/>
        <w:gridCol w:w="2026"/>
        <w:gridCol w:w="2146"/>
        <w:gridCol w:w="1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产品分类</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一级分类</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二级分类</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产品编码</w:t>
            </w:r>
            <w:r>
              <w:rPr>
                <w:rFonts w:hint="eastAsia" w:ascii="仿宋" w:hAnsi="仿宋" w:eastAsia="仿宋" w:cs="仿宋"/>
                <w:sz w:val="24"/>
                <w:szCs w:val="24"/>
                <w:lang w:eastAsia="zh-CN"/>
              </w:rPr>
              <w:t>及名称</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属性编码</w:t>
            </w:r>
            <w:r>
              <w:rPr>
                <w:rFonts w:hint="eastAsia" w:ascii="仿宋" w:hAnsi="仿宋" w:eastAsia="仿宋" w:cs="仿宋"/>
                <w:sz w:val="24"/>
                <w:szCs w:val="24"/>
                <w:lang w:eastAsia="zh-CN"/>
              </w:rPr>
              <w:t>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06</w:t>
            </w:r>
          </w:p>
        </w:tc>
        <w:tc>
          <w:tcPr>
            <w:tcW w:w="2026"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07</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机械及安防</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消防器材</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手提式灭火器</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06</w:t>
            </w:r>
          </w:p>
        </w:tc>
        <w:tc>
          <w:tcPr>
            <w:tcW w:w="2026"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07</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34</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机械及安防</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消防器材</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消防应急照明和疏散指示系统</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06</w:t>
            </w:r>
          </w:p>
        </w:tc>
        <w:tc>
          <w:tcPr>
            <w:tcW w:w="2026"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07</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机械及安防</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消防器材</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消防水带</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06</w:t>
            </w:r>
          </w:p>
        </w:tc>
        <w:tc>
          <w:tcPr>
            <w:tcW w:w="2026"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07</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机械及安防</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消防器材</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消防水枪</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06</w:t>
            </w:r>
          </w:p>
        </w:tc>
        <w:tc>
          <w:tcPr>
            <w:tcW w:w="2026"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07</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23</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机械及安防</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消防器材</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过滤式消防自救呼吸器</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r>
    </w:tbl>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2.2产品种类</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rPr>
      </w:pPr>
      <w:r>
        <w:rPr>
          <w:rFonts w:hint="eastAsia" w:ascii="仿宋_GB2312" w:hAnsi="宋体" w:eastAsia="仿宋_GB2312"/>
          <w:b w:val="0"/>
          <w:bCs/>
          <w:sz w:val="28"/>
          <w:szCs w:val="28"/>
        </w:rPr>
        <w:t>本细则涉及产品种</w:t>
      </w:r>
      <w:r>
        <w:rPr>
          <w:rFonts w:hint="eastAsia" w:ascii="仿宋_GB2312" w:hAnsi="宋体" w:eastAsia="仿宋_GB2312" w:cs="Times New Roman"/>
          <w:b w:val="0"/>
          <w:bCs/>
          <w:sz w:val="28"/>
          <w:szCs w:val="28"/>
        </w:rPr>
        <w:t>类</w:t>
      </w:r>
      <w:r>
        <w:rPr>
          <w:rFonts w:hint="eastAsia" w:ascii="仿宋_GB2312" w:hAnsi="宋体" w:eastAsia="仿宋_GB2312" w:cs="Times New Roman"/>
          <w:b w:val="0"/>
          <w:bCs/>
          <w:sz w:val="28"/>
          <w:szCs w:val="28"/>
        </w:rPr>
        <w:t>：</w:t>
      </w:r>
      <w:r>
        <w:rPr>
          <w:rFonts w:hint="eastAsia" w:ascii="仿宋_GB2312" w:hAnsi="宋体" w:eastAsia="仿宋_GB2312" w:cs="Times New Roman"/>
          <w:b w:val="0"/>
          <w:bCs/>
          <w:sz w:val="28"/>
          <w:szCs w:val="28"/>
          <w:lang w:val="en-US" w:eastAsia="zh-CN"/>
        </w:rPr>
        <w:t>消防器材（</w:t>
      </w:r>
      <w:r>
        <w:rPr>
          <w:rFonts w:hint="eastAsia" w:ascii="仿宋_GB2312" w:hAnsi="宋体" w:eastAsia="仿宋_GB2312" w:cs="Times New Roman"/>
          <w:b w:val="0"/>
          <w:bCs/>
          <w:sz w:val="28"/>
          <w:szCs w:val="28"/>
          <w:lang w:val="en-US" w:eastAsia="zh-CN"/>
        </w:rPr>
        <w:t>手提式灭火器、消防应急照明和疏散指示系统、消防水带、消防水枪、过滤式消防自救呼吸器</w:t>
      </w:r>
      <w:r>
        <w:rPr>
          <w:rFonts w:hint="eastAsia" w:ascii="仿宋" w:hAnsi="仿宋" w:eastAsia="仿宋" w:cs="仿宋"/>
          <w:i w:val="0"/>
          <w:iCs w:val="0"/>
          <w:color w:val="000000"/>
          <w:kern w:val="0"/>
          <w:sz w:val="21"/>
          <w:szCs w:val="21"/>
          <w:u w:val="none"/>
          <w:lang w:val="en-US" w:eastAsia="zh-CN" w:bidi="ar"/>
        </w:rPr>
        <w:t>）</w:t>
      </w:r>
      <w:r>
        <w:rPr>
          <w:rFonts w:hint="eastAsia" w:ascii="仿宋_GB2312" w:hAnsi="宋体" w:eastAsia="仿宋_GB2312" w:cs="Times New Roman"/>
          <w:b w:val="0"/>
          <w:bCs/>
          <w:sz w:val="28"/>
          <w:szCs w:val="28"/>
        </w:rPr>
        <w:t>。</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2.3术语和定义</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本细则中未列出的术语和定义同相关引用标准。</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3企业规模划分</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根据国家统计局印发的相关管理办法，确定企业规模。</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4检验依据</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line="594" w:lineRule="exact"/>
        <w:ind w:firstLine="560" w:firstLineChars="200"/>
        <w:textAlignment w:val="auto"/>
        <w:rPr>
          <w:rFonts w:hint="eastAsia" w:ascii="仿宋_GB2312" w:eastAsia="仿宋_GB2312" w:cs="Times New Roman"/>
          <w:sz w:val="28"/>
          <w:szCs w:val="28"/>
          <w:lang w:val="en-US" w:eastAsia="zh-CN"/>
        </w:rPr>
      </w:pPr>
      <w:r>
        <w:rPr>
          <w:rFonts w:hint="eastAsia" w:ascii="仿宋_GB2312" w:eastAsia="仿宋_GB2312" w:cs="Times New Roman"/>
          <w:sz w:val="28"/>
          <w:szCs w:val="28"/>
        </w:rPr>
        <w:t>GB 4351.1-2005</w:t>
      </w:r>
      <w:r>
        <w:rPr>
          <w:rFonts w:hint="eastAsia" w:ascii="仿宋_GB2312" w:eastAsia="仿宋_GB2312" w:cs="Times New Roman"/>
          <w:sz w:val="28"/>
          <w:szCs w:val="28"/>
          <w:lang w:val="en-US" w:eastAsia="zh-CN"/>
        </w:rPr>
        <w:t>《</w:t>
      </w:r>
      <w:r>
        <w:rPr>
          <w:rFonts w:hint="eastAsia" w:ascii="仿宋_GB2312" w:eastAsia="仿宋_GB2312" w:cs="Times New Roman"/>
          <w:sz w:val="28"/>
          <w:szCs w:val="28"/>
        </w:rPr>
        <w:t>手提式灭火器第1部分：性能和结构要求</w:t>
      </w:r>
      <w:r>
        <w:rPr>
          <w:rFonts w:hint="eastAsia" w:ascii="仿宋_GB2312" w:eastAsia="仿宋_GB2312" w:cs="Times New Roman"/>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594" w:lineRule="exact"/>
        <w:ind w:firstLine="560" w:firstLineChars="200"/>
        <w:textAlignment w:val="auto"/>
        <w:rPr>
          <w:rFonts w:hint="eastAsia" w:ascii="仿宋_GB2312" w:eastAsia="仿宋_GB2312" w:cs="Times New Roman"/>
          <w:sz w:val="28"/>
          <w:szCs w:val="28"/>
        </w:rPr>
      </w:pPr>
      <w:r>
        <w:rPr>
          <w:rFonts w:hint="eastAsia" w:ascii="仿宋_GB2312" w:eastAsia="仿宋_GB2312" w:cs="Times New Roman"/>
          <w:sz w:val="28"/>
          <w:szCs w:val="28"/>
        </w:rPr>
        <w:t>GB 6246-2011</w:t>
      </w:r>
      <w:r>
        <w:rPr>
          <w:rFonts w:hint="eastAsia" w:ascii="仿宋_GB2312" w:eastAsia="仿宋_GB2312" w:cs="Times New Roman"/>
          <w:sz w:val="28"/>
          <w:szCs w:val="28"/>
          <w:lang w:eastAsia="zh-CN"/>
        </w:rPr>
        <w:t>《</w:t>
      </w:r>
      <w:r>
        <w:rPr>
          <w:rFonts w:hint="eastAsia" w:ascii="仿宋_GB2312" w:eastAsia="仿宋_GB2312" w:cs="Times New Roman"/>
          <w:sz w:val="28"/>
          <w:szCs w:val="28"/>
        </w:rPr>
        <w:t>消防水带</w:t>
      </w:r>
      <w:r>
        <w:rPr>
          <w:rFonts w:hint="eastAsia" w:ascii="仿宋_GB2312" w:eastAsia="仿宋_GB2312" w:cs="Times New Roman"/>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94" w:lineRule="exact"/>
        <w:ind w:firstLine="560" w:firstLineChars="200"/>
        <w:textAlignment w:val="auto"/>
        <w:rPr>
          <w:rFonts w:hint="eastAsia" w:ascii="仿宋_GB2312" w:eastAsia="仿宋_GB2312" w:cs="Times New Roman"/>
          <w:sz w:val="28"/>
          <w:szCs w:val="28"/>
          <w:lang w:val="en-US" w:eastAsia="zh-CN"/>
        </w:rPr>
      </w:pPr>
      <w:r>
        <w:rPr>
          <w:rFonts w:hint="eastAsia" w:ascii="仿宋_GB2312" w:eastAsia="仿宋_GB2312" w:cs="Times New Roman"/>
          <w:sz w:val="28"/>
          <w:szCs w:val="28"/>
        </w:rPr>
        <w:t>GB 8181-2005</w:t>
      </w:r>
      <w:r>
        <w:rPr>
          <w:rFonts w:hint="eastAsia" w:ascii="仿宋_GB2312" w:eastAsia="仿宋_GB2312" w:cs="Times New Roman"/>
          <w:sz w:val="28"/>
          <w:szCs w:val="28"/>
          <w:lang w:val="en-US" w:eastAsia="zh-CN"/>
        </w:rPr>
        <w:t>《</w:t>
      </w:r>
      <w:r>
        <w:rPr>
          <w:rFonts w:hint="eastAsia" w:ascii="仿宋_GB2312" w:eastAsia="仿宋_GB2312" w:cs="Times New Roman"/>
          <w:sz w:val="28"/>
          <w:szCs w:val="28"/>
        </w:rPr>
        <w:t>消防水枪</w:t>
      </w:r>
      <w:r>
        <w:rPr>
          <w:rFonts w:hint="eastAsia" w:ascii="仿宋_GB2312" w:eastAsia="仿宋_GB2312" w:cs="Times New Roman"/>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594"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GB 17945-2010</w:t>
      </w:r>
      <w:r>
        <w:rPr>
          <w:rFonts w:hint="eastAsia" w:ascii="仿宋_GB2312" w:eastAsia="仿宋_GB2312"/>
          <w:sz w:val="28"/>
          <w:szCs w:val="28"/>
          <w:lang w:eastAsia="zh-CN"/>
        </w:rPr>
        <w:t>《</w:t>
      </w:r>
      <w:r>
        <w:rPr>
          <w:rFonts w:hint="eastAsia" w:ascii="仿宋_GB2312" w:eastAsia="仿宋_GB2312"/>
          <w:sz w:val="28"/>
          <w:szCs w:val="28"/>
        </w:rPr>
        <w:t>消防应急照明和疏散指示系统</w:t>
      </w:r>
      <w:r>
        <w:rPr>
          <w:rFonts w:hint="eastAsia" w:ascii="仿宋_GB2312" w:eastAsia="仿宋_GB2312"/>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94"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GB 21976.7-2012</w:t>
      </w:r>
      <w:r>
        <w:rPr>
          <w:rFonts w:hint="eastAsia" w:ascii="仿宋_GB2312" w:eastAsia="仿宋_GB2312"/>
          <w:sz w:val="28"/>
          <w:szCs w:val="28"/>
          <w:lang w:eastAsia="zh-CN"/>
        </w:rPr>
        <w:t>《</w:t>
      </w:r>
      <w:r>
        <w:rPr>
          <w:rFonts w:hint="eastAsia" w:ascii="仿宋_GB2312" w:eastAsia="仿宋_GB2312"/>
          <w:sz w:val="28"/>
          <w:szCs w:val="28"/>
        </w:rPr>
        <w:t>筑火灾逃生避难器材第7部分：过滤式消防自救呼吸器</w:t>
      </w:r>
      <w:r>
        <w:rPr>
          <w:rFonts w:hint="eastAsia" w:ascii="仿宋_GB2312" w:eastAsia="仿宋_GB2312"/>
          <w:sz w:val="28"/>
          <w:szCs w:val="28"/>
          <w:lang w:eastAsia="zh-CN"/>
        </w:rPr>
        <w:t>》</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ascii="仿宋_GB2312" w:hAnsi="宋体" w:eastAsia="仿宋_GB2312"/>
          <w:b w:val="0"/>
          <w:bCs/>
          <w:sz w:val="28"/>
          <w:szCs w:val="28"/>
        </w:rPr>
        <w:t>现行有效的企业标准、团体标准、地方标准及产品明示质量要求</w:t>
      </w:r>
      <w:r>
        <w:rPr>
          <w:rFonts w:hint="eastAsia" w:ascii="仿宋_GB2312" w:hAnsi="宋体" w:eastAsia="仿宋_GB2312"/>
          <w:b w:val="0"/>
          <w:bCs/>
          <w:sz w:val="28"/>
          <w:szCs w:val="28"/>
        </w:rPr>
        <w:t>以及相关法律法规。</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5抽样</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5.1抽样型号或规格</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应根据产品的销售单元（件/包）抽取同一款式、同一规格的样品的产品。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cs="Times New Roman"/>
          <w:b w:val="0"/>
          <w:bCs/>
          <w:sz w:val="28"/>
          <w:szCs w:val="28"/>
          <w:lang w:val="en-US" w:eastAsia="zh-CN"/>
        </w:rPr>
        <w:t>5.2抽样基数、抽样数</w:t>
      </w:r>
      <w:r>
        <w:rPr>
          <w:rFonts w:hint="eastAsia" w:ascii="仿宋_GB2312" w:hAnsi="宋体" w:eastAsia="仿宋_GB2312"/>
          <w:b w:val="0"/>
          <w:bCs/>
          <w:sz w:val="28"/>
          <w:szCs w:val="28"/>
        </w:rPr>
        <w:t>量</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5.2.1 抽样地点为经销单位的销售现场、仓库。</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在企业的成品库内或市场待销产品中随机抽取有产品质量检验合格证明或者以其他形式表明合格的产品。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5.2.2抽样基数</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抽样基数满足抽样数量即可。</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5.2.3抽样数量</w:t>
      </w:r>
    </w:p>
    <w:p>
      <w:pPr>
        <w:bidi w:val="0"/>
        <w:jc w:val="center"/>
        <w:rPr>
          <w:rFonts w:hint="eastAsia" w:ascii="仿宋" w:hAnsi="仿宋" w:eastAsia="仿宋" w:cs="仿宋"/>
          <w:sz w:val="24"/>
          <w:szCs w:val="24"/>
        </w:rPr>
      </w:pPr>
      <w:r>
        <w:rPr>
          <w:rFonts w:hint="eastAsia" w:ascii="仿宋" w:hAnsi="仿宋" w:eastAsia="仿宋" w:cs="仿宋"/>
          <w:sz w:val="24"/>
          <w:szCs w:val="24"/>
        </w:rPr>
        <w:t>表2  抽样数量</w:t>
      </w:r>
    </w:p>
    <w:tbl>
      <w:tblPr>
        <w:tblStyle w:val="13"/>
        <w:tblW w:w="92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86"/>
        <w:gridCol w:w="1864"/>
        <w:gridCol w:w="2000"/>
        <w:gridCol w:w="2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386" w:type="dxa"/>
            <w:vAlign w:val="center"/>
          </w:tcPr>
          <w:p>
            <w:pPr>
              <w:bidi w:val="0"/>
              <w:jc w:val="center"/>
              <w:rPr>
                <w:rFonts w:hint="eastAsia" w:ascii="仿宋" w:hAnsi="仿宋" w:eastAsia="仿宋" w:cs="仿宋"/>
                <w:lang w:eastAsia="zh-CN"/>
              </w:rPr>
            </w:pPr>
            <w:r>
              <w:rPr>
                <w:rFonts w:hint="eastAsia" w:ascii="仿宋" w:hAnsi="仿宋" w:eastAsia="仿宋" w:cs="仿宋"/>
                <w:lang w:val="en-US" w:eastAsia="zh-CN"/>
              </w:rPr>
              <w:t>产品名称</w:t>
            </w:r>
          </w:p>
        </w:tc>
        <w:tc>
          <w:tcPr>
            <w:tcW w:w="1864" w:type="dxa"/>
            <w:vAlign w:val="center"/>
          </w:tcPr>
          <w:p>
            <w:pPr>
              <w:bidi w:val="0"/>
              <w:jc w:val="center"/>
              <w:rPr>
                <w:rFonts w:hint="eastAsia" w:ascii="仿宋" w:hAnsi="仿宋" w:eastAsia="仿宋" w:cs="仿宋"/>
              </w:rPr>
            </w:pPr>
            <w:r>
              <w:rPr>
                <w:rFonts w:hint="eastAsia" w:ascii="仿宋" w:hAnsi="仿宋" w:eastAsia="仿宋" w:cs="仿宋"/>
              </w:rPr>
              <w:t>抽样数量</w:t>
            </w:r>
          </w:p>
        </w:tc>
        <w:tc>
          <w:tcPr>
            <w:tcW w:w="2000" w:type="dxa"/>
            <w:vAlign w:val="center"/>
          </w:tcPr>
          <w:p>
            <w:pPr>
              <w:bidi w:val="0"/>
              <w:jc w:val="center"/>
              <w:rPr>
                <w:rFonts w:hint="eastAsia" w:ascii="仿宋" w:hAnsi="仿宋" w:eastAsia="仿宋" w:cs="仿宋"/>
              </w:rPr>
            </w:pPr>
            <w:r>
              <w:rPr>
                <w:rFonts w:hint="eastAsia" w:ascii="仿宋" w:hAnsi="仿宋" w:eastAsia="仿宋" w:cs="仿宋"/>
              </w:rPr>
              <w:t>检样数量</w:t>
            </w:r>
          </w:p>
        </w:tc>
        <w:tc>
          <w:tcPr>
            <w:tcW w:w="2034" w:type="dxa"/>
            <w:vAlign w:val="center"/>
          </w:tcPr>
          <w:p>
            <w:pPr>
              <w:bidi w:val="0"/>
              <w:jc w:val="center"/>
              <w:rPr>
                <w:rFonts w:hint="eastAsia" w:ascii="仿宋" w:hAnsi="仿宋" w:eastAsia="仿宋" w:cs="仿宋"/>
              </w:rPr>
            </w:pPr>
            <w:r>
              <w:rPr>
                <w:rFonts w:hint="eastAsia" w:ascii="仿宋" w:hAnsi="仿宋" w:eastAsia="仿宋" w:cs="仿宋"/>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386" w:type="dxa"/>
            <w:vAlign w:val="center"/>
          </w:tcPr>
          <w:p>
            <w:pPr>
              <w:bidi w:val="0"/>
              <w:jc w:val="center"/>
              <w:rPr>
                <w:rFonts w:hint="eastAsia" w:ascii="仿宋" w:hAnsi="仿宋" w:eastAsia="仿宋" w:cs="仿宋"/>
              </w:rPr>
            </w:pPr>
            <w:r>
              <w:rPr>
                <w:rFonts w:hint="eastAsia" w:ascii="仿宋_GB2312" w:eastAsia="仿宋_GB2312"/>
                <w:sz w:val="24"/>
                <w:szCs w:val="24"/>
                <w:lang w:val="en-US" w:eastAsia="zh-CN"/>
              </w:rPr>
              <w:t>手提式</w:t>
            </w:r>
            <w:r>
              <w:rPr>
                <w:rFonts w:hint="eastAsia" w:ascii="仿宋_GB2312" w:eastAsia="仿宋_GB2312"/>
                <w:sz w:val="24"/>
                <w:szCs w:val="24"/>
              </w:rPr>
              <w:t>灭火器</w:t>
            </w:r>
          </w:p>
        </w:tc>
        <w:tc>
          <w:tcPr>
            <w:tcW w:w="1864" w:type="dxa"/>
            <w:vAlign w:val="center"/>
          </w:tcPr>
          <w:p>
            <w:pPr>
              <w:bidi w:val="0"/>
              <w:jc w:val="center"/>
              <w:rPr>
                <w:rFonts w:hint="default" w:ascii="仿宋" w:hAnsi="仿宋" w:eastAsia="仿宋" w:cs="仿宋"/>
                <w:lang w:val="en-US" w:eastAsia="zh-CN"/>
              </w:rPr>
            </w:pPr>
            <w:r>
              <w:rPr>
                <w:rFonts w:hint="eastAsia" w:ascii="仿宋" w:hAnsi="仿宋" w:eastAsia="仿宋" w:cs="仿宋"/>
                <w:lang w:val="en-US" w:eastAsia="zh-CN"/>
              </w:rPr>
              <w:t>6具</w:t>
            </w:r>
          </w:p>
        </w:tc>
        <w:tc>
          <w:tcPr>
            <w:tcW w:w="2000" w:type="dxa"/>
            <w:vAlign w:val="center"/>
          </w:tcPr>
          <w:p>
            <w:pPr>
              <w:bidi w:val="0"/>
              <w:jc w:val="center"/>
              <w:rPr>
                <w:rFonts w:hint="default" w:ascii="仿宋" w:hAnsi="仿宋" w:eastAsia="仿宋" w:cs="仿宋"/>
                <w:lang w:val="en-US" w:eastAsia="zh-CN"/>
              </w:rPr>
            </w:pPr>
            <w:r>
              <w:rPr>
                <w:rFonts w:hint="eastAsia" w:ascii="仿宋" w:hAnsi="仿宋" w:eastAsia="仿宋" w:cs="仿宋"/>
                <w:lang w:val="en-US" w:eastAsia="zh-CN"/>
              </w:rPr>
              <w:t>3具</w:t>
            </w:r>
          </w:p>
        </w:tc>
        <w:tc>
          <w:tcPr>
            <w:tcW w:w="2034" w:type="dxa"/>
            <w:vAlign w:val="center"/>
          </w:tcPr>
          <w:p>
            <w:pPr>
              <w:bidi w:val="0"/>
              <w:jc w:val="center"/>
              <w:rPr>
                <w:rFonts w:hint="default" w:ascii="仿宋" w:hAnsi="仿宋" w:eastAsia="仿宋" w:cs="仿宋"/>
                <w:lang w:val="en-US" w:eastAsia="zh-CN"/>
              </w:rPr>
            </w:pPr>
            <w:r>
              <w:rPr>
                <w:rFonts w:hint="eastAsia" w:ascii="仿宋" w:hAnsi="仿宋" w:eastAsia="仿宋" w:cs="仿宋"/>
                <w:lang w:val="en-US" w:eastAsia="zh-CN"/>
              </w:rPr>
              <w:t>3具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386" w:type="dxa"/>
            <w:vAlign w:val="center"/>
          </w:tcPr>
          <w:p>
            <w:pPr>
              <w:bidi w:val="0"/>
              <w:jc w:val="center"/>
              <w:rPr>
                <w:rFonts w:hint="eastAsia" w:ascii="仿宋" w:hAnsi="仿宋" w:eastAsia="仿宋" w:cs="仿宋"/>
              </w:rPr>
            </w:pPr>
            <w:r>
              <w:rPr>
                <w:rFonts w:hint="eastAsia" w:ascii="仿宋_GB2312" w:eastAsia="仿宋_GB2312"/>
                <w:sz w:val="24"/>
                <w:szCs w:val="24"/>
              </w:rPr>
              <w:t>消防水带</w:t>
            </w:r>
          </w:p>
        </w:tc>
        <w:tc>
          <w:tcPr>
            <w:tcW w:w="1864" w:type="dxa"/>
            <w:vAlign w:val="center"/>
          </w:tcPr>
          <w:p>
            <w:pPr>
              <w:bidi w:val="0"/>
              <w:jc w:val="center"/>
              <w:rPr>
                <w:rFonts w:hint="default" w:ascii="仿宋" w:hAnsi="仿宋" w:eastAsia="仿宋" w:cs="仿宋"/>
                <w:lang w:val="en-US" w:eastAsia="zh-CN"/>
              </w:rPr>
            </w:pPr>
            <w:r>
              <w:rPr>
                <w:rFonts w:hint="eastAsia" w:ascii="仿宋" w:hAnsi="仿宋" w:eastAsia="仿宋" w:cs="仿宋"/>
                <w:lang w:val="en-US" w:eastAsia="zh-CN"/>
              </w:rPr>
              <w:t>3盘</w:t>
            </w:r>
          </w:p>
        </w:tc>
        <w:tc>
          <w:tcPr>
            <w:tcW w:w="2000" w:type="dxa"/>
            <w:vAlign w:val="center"/>
          </w:tcPr>
          <w:p>
            <w:pPr>
              <w:bidi w:val="0"/>
              <w:jc w:val="center"/>
              <w:rPr>
                <w:rFonts w:hint="eastAsia" w:ascii="仿宋" w:hAnsi="仿宋" w:eastAsia="仿宋" w:cs="仿宋"/>
                <w:lang w:val="en-US" w:eastAsia="zh-CN"/>
              </w:rPr>
            </w:pPr>
            <w:r>
              <w:rPr>
                <w:rFonts w:hint="eastAsia" w:ascii="仿宋" w:hAnsi="仿宋" w:eastAsia="仿宋" w:cs="仿宋"/>
                <w:lang w:val="en-US" w:eastAsia="zh-CN"/>
              </w:rPr>
              <w:t>2盘</w:t>
            </w:r>
          </w:p>
        </w:tc>
        <w:tc>
          <w:tcPr>
            <w:tcW w:w="2034" w:type="dxa"/>
            <w:vAlign w:val="center"/>
          </w:tcPr>
          <w:p>
            <w:pPr>
              <w:bidi w:val="0"/>
              <w:jc w:val="center"/>
              <w:rPr>
                <w:rFonts w:hint="eastAsia" w:ascii="仿宋" w:hAnsi="仿宋" w:eastAsia="仿宋" w:cs="仿宋"/>
                <w:lang w:val="en-US" w:eastAsia="zh-CN"/>
              </w:rPr>
            </w:pPr>
            <w:r>
              <w:rPr>
                <w:rFonts w:hint="eastAsia" w:ascii="仿宋" w:hAnsi="仿宋" w:eastAsia="仿宋" w:cs="仿宋"/>
                <w:lang w:val="en-US" w:eastAsia="zh-CN"/>
              </w:rPr>
              <w:t>1盘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386" w:type="dxa"/>
            <w:vAlign w:val="center"/>
          </w:tcPr>
          <w:p>
            <w:pPr>
              <w:bidi w:val="0"/>
              <w:jc w:val="center"/>
              <w:rPr>
                <w:rFonts w:hint="eastAsia" w:ascii="仿宋" w:hAnsi="仿宋" w:eastAsia="仿宋" w:cs="仿宋"/>
              </w:rPr>
            </w:pPr>
            <w:r>
              <w:rPr>
                <w:rFonts w:hint="eastAsia" w:ascii="仿宋_GB2312" w:eastAsia="仿宋_GB2312"/>
                <w:sz w:val="24"/>
                <w:szCs w:val="24"/>
              </w:rPr>
              <w:t>消防水枪</w:t>
            </w:r>
          </w:p>
        </w:tc>
        <w:tc>
          <w:tcPr>
            <w:tcW w:w="1864" w:type="dxa"/>
            <w:vAlign w:val="center"/>
          </w:tcPr>
          <w:p>
            <w:pPr>
              <w:bidi w:val="0"/>
              <w:jc w:val="center"/>
              <w:rPr>
                <w:rFonts w:hint="default" w:ascii="仿宋" w:hAnsi="仿宋" w:eastAsia="仿宋" w:cs="仿宋"/>
                <w:lang w:val="en-US" w:eastAsia="zh-CN"/>
              </w:rPr>
            </w:pPr>
            <w:r>
              <w:rPr>
                <w:rFonts w:hint="eastAsia" w:ascii="仿宋" w:hAnsi="仿宋" w:eastAsia="仿宋" w:cs="仿宋"/>
                <w:lang w:val="en-US" w:eastAsia="zh-CN"/>
              </w:rPr>
              <w:t>6支</w:t>
            </w:r>
          </w:p>
        </w:tc>
        <w:tc>
          <w:tcPr>
            <w:tcW w:w="2000" w:type="dxa"/>
            <w:vAlign w:val="center"/>
          </w:tcPr>
          <w:p>
            <w:pPr>
              <w:bidi w:val="0"/>
              <w:jc w:val="center"/>
              <w:rPr>
                <w:rFonts w:hint="default" w:ascii="仿宋" w:hAnsi="仿宋" w:eastAsia="仿宋" w:cs="仿宋"/>
                <w:lang w:val="en-US" w:eastAsia="zh-CN"/>
              </w:rPr>
            </w:pPr>
            <w:r>
              <w:rPr>
                <w:rFonts w:hint="eastAsia" w:ascii="仿宋" w:hAnsi="仿宋" w:eastAsia="仿宋" w:cs="仿宋"/>
                <w:lang w:val="en-US" w:eastAsia="zh-CN"/>
              </w:rPr>
              <w:t>3支</w:t>
            </w:r>
          </w:p>
        </w:tc>
        <w:tc>
          <w:tcPr>
            <w:tcW w:w="2034" w:type="dxa"/>
            <w:vAlign w:val="center"/>
          </w:tcPr>
          <w:p>
            <w:pPr>
              <w:bidi w:val="0"/>
              <w:jc w:val="center"/>
              <w:rPr>
                <w:rFonts w:hint="default" w:ascii="仿宋" w:hAnsi="仿宋" w:eastAsia="仿宋" w:cs="仿宋"/>
                <w:lang w:val="en-US" w:eastAsia="zh-CN"/>
              </w:rPr>
            </w:pPr>
            <w:r>
              <w:rPr>
                <w:rFonts w:hint="eastAsia" w:ascii="仿宋" w:hAnsi="仿宋" w:eastAsia="仿宋" w:cs="仿宋"/>
                <w:lang w:val="en-US" w:eastAsia="zh-CN"/>
              </w:rPr>
              <w:t>3支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386" w:type="dxa"/>
            <w:vAlign w:val="center"/>
          </w:tcPr>
          <w:p>
            <w:pPr>
              <w:bidi w:val="0"/>
              <w:jc w:val="center"/>
              <w:rPr>
                <w:rFonts w:hint="eastAsia" w:ascii="仿宋_GB2312" w:eastAsia="仿宋_GB2312" w:cs="Times New Roman"/>
                <w:sz w:val="24"/>
                <w:szCs w:val="24"/>
              </w:rPr>
            </w:pPr>
            <w:r>
              <w:rPr>
                <w:rFonts w:hint="eastAsia" w:ascii="仿宋_GB2312" w:eastAsia="仿宋_GB2312" w:cs="Times New Roman"/>
                <w:sz w:val="24"/>
                <w:szCs w:val="24"/>
                <w:lang w:val="en-US" w:eastAsia="zh-CN"/>
              </w:rPr>
              <w:t>消防应急照明和疏散指示系统</w:t>
            </w:r>
          </w:p>
        </w:tc>
        <w:tc>
          <w:tcPr>
            <w:tcW w:w="1864" w:type="dxa"/>
            <w:vAlign w:val="center"/>
          </w:tcPr>
          <w:p>
            <w:pPr>
              <w:bidi w:val="0"/>
              <w:jc w:val="center"/>
              <w:rPr>
                <w:rFonts w:hint="eastAsia" w:ascii="仿宋_GB2312" w:eastAsia="仿宋_GB2312" w:cs="Times New Roman"/>
                <w:sz w:val="24"/>
                <w:szCs w:val="24"/>
              </w:rPr>
            </w:pPr>
            <w:r>
              <w:rPr>
                <w:rFonts w:hint="eastAsia" w:ascii="仿宋_GB2312" w:eastAsia="仿宋_GB2312" w:cs="Times New Roman"/>
                <w:sz w:val="24"/>
                <w:szCs w:val="24"/>
                <w:lang w:val="en-US" w:eastAsia="zh-CN"/>
              </w:rPr>
              <w:t>4副</w:t>
            </w:r>
          </w:p>
        </w:tc>
        <w:tc>
          <w:tcPr>
            <w:tcW w:w="2000" w:type="dxa"/>
            <w:vAlign w:val="center"/>
          </w:tcPr>
          <w:p>
            <w:pPr>
              <w:bidi w:val="0"/>
              <w:jc w:val="center"/>
              <w:rPr>
                <w:rFonts w:hint="eastAsia" w:ascii="仿宋" w:hAnsi="仿宋" w:eastAsia="仿宋" w:cs="仿宋"/>
              </w:rPr>
            </w:pPr>
            <w:r>
              <w:rPr>
                <w:rFonts w:hint="eastAsia" w:ascii="仿宋" w:hAnsi="仿宋" w:eastAsia="仿宋" w:cs="仿宋"/>
                <w:lang w:val="en-US" w:eastAsia="zh-CN"/>
              </w:rPr>
              <w:t>2副</w:t>
            </w:r>
          </w:p>
        </w:tc>
        <w:tc>
          <w:tcPr>
            <w:tcW w:w="2034" w:type="dxa"/>
            <w:vAlign w:val="center"/>
          </w:tcPr>
          <w:p>
            <w:pPr>
              <w:bidi w:val="0"/>
              <w:jc w:val="center"/>
              <w:rPr>
                <w:rFonts w:hint="eastAsia" w:ascii="仿宋" w:hAnsi="仿宋" w:eastAsia="仿宋" w:cs="仿宋"/>
              </w:rPr>
            </w:pPr>
            <w:r>
              <w:rPr>
                <w:rFonts w:hint="eastAsia" w:ascii="仿宋" w:hAnsi="仿宋" w:eastAsia="仿宋" w:cs="仿宋"/>
                <w:lang w:val="en-US" w:eastAsia="zh-CN"/>
              </w:rPr>
              <w:t>2副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386" w:type="dxa"/>
            <w:vAlign w:val="center"/>
          </w:tcPr>
          <w:p>
            <w:pPr>
              <w:bidi w:val="0"/>
              <w:jc w:val="center"/>
              <w:rPr>
                <w:rFonts w:hint="eastAsia" w:ascii="仿宋_GB2312" w:eastAsia="仿宋_GB2312"/>
                <w:sz w:val="24"/>
                <w:szCs w:val="24"/>
              </w:rPr>
            </w:pPr>
            <w:r>
              <w:rPr>
                <w:rFonts w:hint="eastAsia" w:ascii="仿宋" w:hAnsi="仿宋" w:eastAsia="仿宋" w:cs="仿宋"/>
                <w:sz w:val="24"/>
                <w:szCs w:val="24"/>
                <w:lang w:val="en-US" w:eastAsia="zh-CN"/>
              </w:rPr>
              <w:t>过滤式消防自救呼吸器</w:t>
            </w:r>
          </w:p>
        </w:tc>
        <w:tc>
          <w:tcPr>
            <w:tcW w:w="1864" w:type="dxa"/>
            <w:vAlign w:val="center"/>
          </w:tcPr>
          <w:p>
            <w:pPr>
              <w:bidi w:val="0"/>
              <w:jc w:val="center"/>
              <w:rPr>
                <w:rFonts w:hint="default" w:ascii="仿宋" w:hAnsi="仿宋" w:eastAsia="仿宋" w:cs="仿宋"/>
                <w:lang w:val="en-US" w:eastAsia="zh-CN"/>
              </w:rPr>
            </w:pPr>
            <w:r>
              <w:rPr>
                <w:rFonts w:hint="eastAsia" w:ascii="仿宋" w:hAnsi="仿宋" w:eastAsia="仿宋" w:cs="仿宋"/>
                <w:lang w:val="en-US" w:eastAsia="zh-CN"/>
              </w:rPr>
              <w:t>4副</w:t>
            </w:r>
          </w:p>
        </w:tc>
        <w:tc>
          <w:tcPr>
            <w:tcW w:w="2000" w:type="dxa"/>
            <w:vAlign w:val="center"/>
          </w:tcPr>
          <w:p>
            <w:pPr>
              <w:bidi w:val="0"/>
              <w:jc w:val="center"/>
              <w:rPr>
                <w:rFonts w:hint="default" w:ascii="仿宋" w:hAnsi="仿宋" w:eastAsia="仿宋" w:cs="仿宋"/>
                <w:lang w:val="en-US" w:eastAsia="zh-CN"/>
              </w:rPr>
            </w:pPr>
            <w:r>
              <w:rPr>
                <w:rFonts w:hint="eastAsia" w:ascii="仿宋" w:hAnsi="仿宋" w:eastAsia="仿宋" w:cs="仿宋"/>
                <w:lang w:val="en-US" w:eastAsia="zh-CN"/>
              </w:rPr>
              <w:t>2副</w:t>
            </w:r>
          </w:p>
        </w:tc>
        <w:tc>
          <w:tcPr>
            <w:tcW w:w="2034" w:type="dxa"/>
            <w:vAlign w:val="center"/>
          </w:tcPr>
          <w:p>
            <w:pPr>
              <w:bidi w:val="0"/>
              <w:jc w:val="center"/>
              <w:rPr>
                <w:rFonts w:hint="default" w:ascii="仿宋" w:hAnsi="仿宋" w:eastAsia="仿宋" w:cs="仿宋"/>
                <w:lang w:val="en-US" w:eastAsia="zh-CN"/>
              </w:rPr>
            </w:pPr>
            <w:r>
              <w:rPr>
                <w:rFonts w:hint="eastAsia" w:ascii="仿宋" w:hAnsi="仿宋" w:eastAsia="仿宋" w:cs="仿宋"/>
                <w:lang w:val="en-US" w:eastAsia="zh-CN"/>
              </w:rPr>
              <w:t>2副</w:t>
            </w:r>
          </w:p>
        </w:tc>
      </w:tr>
    </w:tbl>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5.3样品处置</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5.3.1 对抽取的样品，应注明“检验样品”与“备用样品”并分别封样，备份样品封存受检企业。为保证样品的真实性，要有相应的防拆封措施，并保证封条在运输过程中不会破损。抽取的样品上应标明样品编号，封条上至少有抽样日期、抽样人签字、被抽查企业代表签字及抽样单位公章等相关信息。</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5.3.2 抽取的样品应按运输条件包装好，由抽样人员通过合适的途径运送至检验地点。运输时严防雨淋、日晒、受潮。装卸时轻搬轻放，严禁掷抛。</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lang w:val="en-US" w:eastAsia="zh-CN"/>
        </w:rPr>
        <w:t>5</w:t>
      </w:r>
      <w:r>
        <w:rPr>
          <w:rFonts w:hint="eastAsia" w:ascii="仿宋_GB2312" w:hAnsi="仿宋" w:eastAsia="仿宋_GB2312" w:cs="仿宋"/>
          <w:sz w:val="28"/>
          <w:szCs w:val="28"/>
        </w:rPr>
        <w:t>.4抽样单</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5.5 其他要求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可对抽样的关键过程留下影像资料。在进入企业、取样、双方签字确认等环节时，影像资料要能清晰记录企业名称、营业执照名称、被抽样的产品、抽样状态、抽样人员和企业陪同人员等。</w:t>
      </w:r>
    </w:p>
    <w:p>
      <w:pPr>
        <w:keepNext w:val="0"/>
        <w:keepLines w:val="0"/>
        <w:pageBreakBefore w:val="0"/>
        <w:kinsoku/>
        <w:wordWrap/>
        <w:overflowPunct/>
        <w:topLinePunct w:val="0"/>
        <w:bidi w:val="0"/>
        <w:spacing w:line="540" w:lineRule="exact"/>
        <w:ind w:firstLine="548" w:firstLineChars="196"/>
        <w:contextualSpacing/>
        <w:textAlignment w:val="auto"/>
        <w:rPr>
          <w:rFonts w:ascii="仿宋_GB2312" w:hAnsi="宋体" w:eastAsia="仿宋_GB2312"/>
          <w:color w:val="000000"/>
          <w:sz w:val="28"/>
          <w:szCs w:val="28"/>
        </w:rPr>
      </w:pPr>
      <w:r>
        <w:rPr>
          <w:rFonts w:hint="eastAsia" w:ascii="仿宋_GB2312" w:hAnsi="宋体" w:eastAsia="仿宋_GB2312"/>
          <w:color w:val="000000"/>
          <w:sz w:val="28"/>
          <w:szCs w:val="28"/>
        </w:rPr>
        <w:t>5.</w:t>
      </w:r>
      <w:r>
        <w:rPr>
          <w:rFonts w:hint="eastAsia" w:ascii="仿宋_GB2312" w:hAnsi="宋体" w:eastAsia="仿宋_GB2312"/>
          <w:color w:val="000000"/>
          <w:sz w:val="28"/>
          <w:szCs w:val="28"/>
          <w:lang w:val="en-US" w:eastAsia="zh-CN"/>
        </w:rPr>
        <w:t>6</w:t>
      </w:r>
      <w:r>
        <w:rPr>
          <w:rFonts w:hint="eastAsia" w:ascii="仿宋" w:hAnsi="仿宋" w:eastAsia="仿宋" w:cs="仿宋"/>
          <w:sz w:val="28"/>
          <w:szCs w:val="28"/>
        </w:rPr>
        <w:t>样品获取方式</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5.7抽样时应注意的问题</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5.7.1应由抽样技术人员在现场进行抽取，不得由企业自行抽样。抽取的样品应当是有产品质量检验合格证明或者以其他形式表明合格的产品，其保质期应满足检验及异议处理时间要求。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 xml:space="preserve">5.7.2抽样时，抽样人员应当认真核实营业执照、销售许可证等被抽查企业的相关信息，确认企业不存在不得抽样的情形。遇有下列情况之一且能提供有效证明的，不得抽样： </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（1）被抽查企业无监督抽查通知书或者相关文件复印件所列产品的；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（2）有充分证据证明拟抽查的产品是不用于销售的；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（3）产品不涉及强制性标准要求，仅按双方约定的技术要求加工生产，且未执行任何标准的；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（4）有充分证据证明拟抽查的产品为企业用于出口，并且出口合同对产品质量另有规定的；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（5）产品或者标签、包装、说明书标有“试制”、“处理”或者“样品”等字样的；</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（6）企业提供上级市场监管部门6个月内该种产品的监督抽查抽样单或者合格检验报告的。</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6检验要求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6.1检验项目</w:t>
      </w:r>
    </w:p>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表</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消防器材（手提式灭火器</w:t>
      </w:r>
      <w:r>
        <w:rPr>
          <w:rFonts w:hint="eastAsia" w:ascii="仿宋" w:hAnsi="仿宋" w:eastAsia="仿宋" w:cs="仿宋"/>
          <w:sz w:val="24"/>
          <w:szCs w:val="24"/>
          <w:lang w:val="en-US" w:eastAsia="zh-CN"/>
        </w:rPr>
        <w:t>）</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灭火器总质量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灭火剂充装重量误差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20℃喷射性能</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最小有效喷射时间</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最小喷射距离</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密封性能</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水压试验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爆破试验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筒体壁厚</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充装口的内径</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灭火器的开启结构</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灭火剂</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4066-2017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表4 消防器材（消防水枪）</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操作结构要求</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8181-2005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密封件</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3452.1-2005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螺纹</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8181-2005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表面质量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8181-2005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密封性能</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8181-2005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耐水压强度</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8181-2005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抗跌落性能</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8181-2005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耐腐蚀性能</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8181-2005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接口性能</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12514.1-2005</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 12514.2-2006</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 12514.3-2006</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 12514.4-2006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表5 消防器材（消防水带）</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外观质量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内径</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长度</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设计工作压力、试验压力及最小爆破压力</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单位长度质量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延伸率和膨胀率及扭转方向</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可弯曲性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耐低温性能</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附着强度</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GB/T 532-2008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耐磨性能</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pStyle w:val="24"/>
        <w:ind w:left="-1" w:leftChars="0"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表6 消防器材（过滤式消防自救呼吸器）</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bottom"/>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结构</w:t>
            </w:r>
          </w:p>
        </w:tc>
        <w:tc>
          <w:tcPr>
            <w:tcW w:w="3157" w:type="dxa"/>
            <w:tcBorders>
              <w:top w:val="single" w:color="auto" w:sz="4" w:space="0"/>
              <w:left w:val="single" w:color="auto" w:sz="4" w:space="0"/>
              <w:bottom w:val="single" w:color="auto" w:sz="4" w:space="0"/>
              <w:right w:val="single" w:color="auto" w:sz="4" w:space="0"/>
            </w:tcBorders>
            <w:noWrap w:val="0"/>
            <w:vAlign w:val="bottom"/>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GB 21976.7-2012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bottom"/>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金属材料表面质量</w:t>
            </w:r>
          </w:p>
        </w:tc>
        <w:tc>
          <w:tcPr>
            <w:tcW w:w="3157" w:type="dxa"/>
            <w:tcBorders>
              <w:top w:val="single" w:color="auto" w:sz="4" w:space="0"/>
              <w:left w:val="single" w:color="auto" w:sz="4" w:space="0"/>
              <w:bottom w:val="single" w:color="auto" w:sz="4" w:space="0"/>
              <w:right w:val="single" w:color="auto" w:sz="4" w:space="0"/>
            </w:tcBorders>
            <w:noWrap w:val="0"/>
            <w:vAlign w:val="bottom"/>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GB 21976.7-2012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bottom"/>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透光率</w:t>
            </w:r>
          </w:p>
        </w:tc>
        <w:tc>
          <w:tcPr>
            <w:tcW w:w="3157" w:type="dxa"/>
            <w:tcBorders>
              <w:top w:val="single" w:color="auto" w:sz="4" w:space="0"/>
              <w:left w:val="single" w:color="auto" w:sz="4" w:space="0"/>
              <w:bottom w:val="single" w:color="auto" w:sz="4" w:space="0"/>
              <w:right w:val="single" w:color="auto" w:sz="4" w:space="0"/>
            </w:tcBorders>
            <w:noWrap w:val="0"/>
            <w:vAlign w:val="bottom"/>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GB 14866-2006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bottom"/>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连接强度</w:t>
            </w:r>
          </w:p>
        </w:tc>
        <w:tc>
          <w:tcPr>
            <w:tcW w:w="3157" w:type="dxa"/>
            <w:tcBorders>
              <w:top w:val="single" w:color="auto" w:sz="4" w:space="0"/>
              <w:left w:val="single" w:color="auto" w:sz="4" w:space="0"/>
              <w:bottom w:val="single" w:color="auto" w:sz="4" w:space="0"/>
              <w:right w:val="single" w:color="auto" w:sz="4" w:space="0"/>
            </w:tcBorders>
            <w:noWrap w:val="0"/>
            <w:vAlign w:val="bottom"/>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GB 21976.7-2012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bottom"/>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标志</w:t>
            </w:r>
          </w:p>
        </w:tc>
        <w:tc>
          <w:tcPr>
            <w:tcW w:w="3157" w:type="dxa"/>
            <w:tcBorders>
              <w:top w:val="single" w:color="auto" w:sz="4" w:space="0"/>
              <w:left w:val="single" w:color="auto" w:sz="4" w:space="0"/>
              <w:bottom w:val="single" w:color="auto" w:sz="4" w:space="0"/>
              <w:right w:val="single" w:color="auto" w:sz="4" w:space="0"/>
            </w:tcBorders>
            <w:noWrap w:val="0"/>
            <w:vAlign w:val="bottom"/>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GB 21976.7-2012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表7 消防器材（消防应急照明和疏散指示系统</w:t>
      </w:r>
      <w:r>
        <w:rPr>
          <w:rFonts w:hint="eastAsia" w:ascii="仿宋" w:hAnsi="仿宋" w:eastAsia="仿宋" w:cs="仿宋"/>
          <w:sz w:val="24"/>
          <w:szCs w:val="24"/>
          <w:lang w:val="en-US" w:eastAsia="zh-CN"/>
        </w:rPr>
        <w:t>）</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结构</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爬电距离和电气间隙</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试验前检查</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基本功能试验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充、放电试验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重复转换试验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电压波动试验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转换电压试验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绝缘电阻试验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接地电阻试验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耐压试验</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autoSpaceDE/>
        <w:autoSpaceDN/>
        <w:bidi w:val="0"/>
        <w:adjustRightInd w:val="0"/>
        <w:spacing w:line="594" w:lineRule="exact"/>
        <w:ind w:firstLine="560" w:firstLineChars="200"/>
        <w:textAlignment w:val="auto"/>
        <w:rPr>
          <w:rFonts w:hint="eastAsia" w:ascii="仿宋_GB2312" w:hAnsi="仿宋_GB2312" w:eastAsia="仿宋_GB2312" w:cs="仿宋_GB2312"/>
          <w:b w:val="0"/>
          <w:bCs/>
          <w:color w:val="000000"/>
          <w:sz w:val="28"/>
          <w:szCs w:val="28"/>
        </w:rPr>
      </w:pPr>
    </w:p>
    <w:p>
      <w:pPr>
        <w:keepNext w:val="0"/>
        <w:keepLines w:val="0"/>
        <w:pageBreakBefore w:val="0"/>
        <w:kinsoku/>
        <w:wordWrap/>
        <w:overflowPunct/>
        <w:topLinePunct w:val="0"/>
        <w:autoSpaceDE/>
        <w:autoSpaceDN/>
        <w:bidi w:val="0"/>
        <w:adjustRightInd w:val="0"/>
        <w:spacing w:line="540" w:lineRule="exact"/>
        <w:ind w:firstLine="560" w:firstLineChars="200"/>
        <w:textAlignment w:val="auto"/>
        <w:rPr>
          <w:rFonts w:hint="eastAsia" w:ascii="仿宋_GB2312" w:hAnsi="仿宋_GB2312" w:eastAsia="仿宋_GB2312" w:cs="仿宋_GB2312"/>
          <w:b w:val="0"/>
          <w:bCs/>
          <w:color w:val="000000"/>
          <w:sz w:val="28"/>
          <w:szCs w:val="28"/>
        </w:rPr>
      </w:pPr>
      <w:r>
        <w:rPr>
          <w:rFonts w:hint="eastAsia" w:ascii="仿宋_GB2312" w:hAnsi="仿宋_GB2312" w:eastAsia="仿宋_GB2312" w:cs="仿宋_GB2312"/>
          <w:b w:val="0"/>
          <w:bCs/>
          <w:color w:val="000000"/>
          <w:sz w:val="28"/>
          <w:szCs w:val="28"/>
        </w:rPr>
        <w:t>注：执行企业标准、团体标准、地方标准的产品，检验项目参照上述内容执行。</w:t>
      </w:r>
    </w:p>
    <w:p>
      <w:pPr>
        <w:keepNext w:val="0"/>
        <w:keepLines w:val="0"/>
        <w:pageBreakBefore w:val="0"/>
        <w:widowControl/>
        <w:kinsoku/>
        <w:wordWrap/>
        <w:overflowPunct/>
        <w:topLinePunct w:val="0"/>
        <w:autoSpaceDE/>
        <w:autoSpaceDN/>
        <w:bidi w:val="0"/>
        <w:spacing w:line="540" w:lineRule="exact"/>
        <w:ind w:firstLine="560" w:firstLineChars="200"/>
        <w:jc w:val="left"/>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6.2检验应注意的问题</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hAnsi="仿宋_GB2312" w:eastAsia="仿宋_GB2312" w:cs="仿宋_GB2312"/>
          <w:b w:val="0"/>
          <w:bCs/>
          <w:sz w:val="28"/>
          <w:szCs w:val="28"/>
        </w:rPr>
        <w:t>若被检产品明示的质量要求低</w:t>
      </w:r>
      <w:r>
        <w:rPr>
          <w:rFonts w:hint="eastAsia" w:ascii="仿宋_GB2312" w:eastAsia="仿宋_GB2312"/>
          <w:b w:val="0"/>
          <w:bCs/>
          <w:sz w:val="28"/>
          <w:szCs w:val="28"/>
        </w:rPr>
        <w:t>于本细则中检验项目依据的强制性标准要求时，应按照强制性标准要求判定。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若被检产品明示的质量要求缺少本细则中检验项目依据的推荐性标准要求时，该项目不参与判定，但应在检验报告备注中进行说明。</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7判定原则</w:t>
      </w:r>
    </w:p>
    <w:p>
      <w:pPr>
        <w:keepNext w:val="0"/>
        <w:keepLines w:val="0"/>
        <w:pageBreakBefore w:val="0"/>
        <w:kinsoku/>
        <w:wordWrap/>
        <w:overflowPunct/>
        <w:topLinePunct w:val="0"/>
        <w:autoSpaceDE/>
        <w:autoSpaceDN/>
        <w:bidi w:val="0"/>
        <w:spacing w:line="540" w:lineRule="exact"/>
        <w:ind w:firstLine="560" w:firstLineChars="200"/>
        <w:textAlignment w:val="auto"/>
        <w:rPr>
          <w:rFonts w:ascii="仿宋" w:hAnsi="仿宋" w:eastAsia="仿宋"/>
          <w:b w:val="0"/>
          <w:bCs/>
          <w:sz w:val="28"/>
          <w:szCs w:val="28"/>
        </w:rPr>
      </w:pPr>
      <w:r>
        <w:rPr>
          <w:rFonts w:hint="eastAsia" w:ascii="仿宋" w:hAnsi="仿宋" w:eastAsia="仿宋"/>
          <w:b w:val="0"/>
          <w:bCs/>
          <w:sz w:val="28"/>
          <w:szCs w:val="28"/>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8异议处理</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对被判定为不合格企业进行异议处理时，按以下方式进行：</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8.1核查不合格项目相关证据，能够以记录（纸质记录或电子记录或影像记录）或与不合格项目相关联的其它质量数据等检验证据证明。</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b w:val="0"/>
          <w:bCs/>
          <w:sz w:val="28"/>
          <w:szCs w:val="28"/>
        </w:rPr>
      </w:pPr>
      <w:r>
        <w:rPr>
          <w:rFonts w:hint="eastAsia" w:ascii="仿宋_GB2312" w:eastAsia="仿宋_GB2312"/>
          <w:b w:val="0"/>
          <w:bCs/>
          <w:sz w:val="28"/>
          <w:szCs w:val="28"/>
        </w:rPr>
        <w:t>8.2对需要复检并具备检验条件的，处理企业异议的市场监督管理部门或者指定检验机构应当按原监督抽查细则对留存的样品或抽取的备用样品组织复检，并出具检验报告。复检结论为最终结论。</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9</w:t>
      </w:r>
      <w:r>
        <w:rPr>
          <w:rFonts w:hint="eastAsia" w:ascii="仿宋" w:hAnsi="仿宋" w:eastAsia="仿宋" w:cs="仿宋"/>
          <w:b/>
          <w:bCs/>
          <w:sz w:val="28"/>
          <w:szCs w:val="28"/>
        </w:rPr>
        <w:t xml:space="preserve"> 检验后的样品处置</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.1经检验并综合判定为合格的样品，异议期满后，由承检单位将样品直接做弃置处理；</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.2经检验并综合判定为不合格的样品，异议期满3个月后，由承检单位将样品做弃置处理；</w:t>
      </w:r>
    </w:p>
    <w:p>
      <w:pPr>
        <w:keepNext w:val="0"/>
        <w:keepLines w:val="0"/>
        <w:pageBreakBefore w:val="0"/>
        <w:kinsoku/>
        <w:wordWrap/>
        <w:overflowPunct/>
        <w:autoSpaceDE/>
        <w:autoSpaceDN/>
        <w:bidi w:val="0"/>
        <w:adjustRightInd w:val="0"/>
        <w:snapToGrid w:val="0"/>
        <w:spacing w:line="540" w:lineRule="exact"/>
        <w:ind w:firstLine="551" w:firstLineChars="196"/>
        <w:textAlignment w:val="auto"/>
        <w:rPr>
          <w:rFonts w:hint="eastAsia" w:ascii="仿宋_GB2312" w:eastAsia="仿宋_GB2312"/>
          <w:b/>
          <w:bCs w:val="0"/>
          <w:sz w:val="28"/>
          <w:szCs w:val="28"/>
        </w:rPr>
      </w:pPr>
      <w:r>
        <w:rPr>
          <w:rFonts w:hint="eastAsia" w:ascii="仿宋_GB2312" w:eastAsia="仿宋_GB2312"/>
          <w:b/>
          <w:bCs w:val="0"/>
          <w:sz w:val="28"/>
          <w:szCs w:val="28"/>
          <w:lang w:val="en-US" w:eastAsia="zh-CN"/>
        </w:rPr>
        <w:t>10</w:t>
      </w:r>
      <w:r>
        <w:rPr>
          <w:rFonts w:hint="eastAsia" w:ascii="仿宋_GB2312" w:eastAsia="仿宋_GB2312"/>
          <w:b/>
          <w:bCs w:val="0"/>
          <w:sz w:val="28"/>
          <w:szCs w:val="28"/>
        </w:rPr>
        <w:t xml:space="preserve"> 附则</w:t>
      </w:r>
    </w:p>
    <w:p>
      <w:pPr>
        <w:keepNext w:val="0"/>
        <w:keepLines w:val="0"/>
        <w:pageBreakBefore w:val="0"/>
        <w:kinsoku/>
        <w:wordWrap/>
        <w:overflowPunct/>
        <w:autoSpaceDE/>
        <w:autoSpaceDN/>
        <w:bidi w:val="0"/>
        <w:adjustRightInd w:val="0"/>
        <w:snapToGrid w:val="0"/>
        <w:spacing w:line="540" w:lineRule="exact"/>
        <w:ind w:firstLine="548" w:firstLineChars="196"/>
        <w:textAlignment w:val="auto"/>
        <w:rPr>
          <w:rFonts w:hint="eastAsia" w:ascii="仿宋" w:hAnsi="仿宋" w:eastAsia="仿宋"/>
          <w:sz w:val="28"/>
          <w:szCs w:val="28"/>
          <w:lang w:eastAsia="zh-CN"/>
        </w:rPr>
      </w:pPr>
      <w:r>
        <w:rPr>
          <w:rFonts w:hint="eastAsia" w:ascii="仿宋" w:hAnsi="仿宋" w:eastAsia="仿宋"/>
          <w:sz w:val="28"/>
          <w:szCs w:val="28"/>
        </w:rPr>
        <w:t>本细则编写单位:</w:t>
      </w:r>
      <w:r>
        <w:rPr>
          <w:rFonts w:hint="eastAsia" w:ascii="仿宋" w:hAnsi="仿宋" w:eastAsia="仿宋"/>
          <w:sz w:val="28"/>
          <w:szCs w:val="28"/>
          <w:lang w:eastAsia="zh-CN"/>
        </w:rPr>
        <w:t>山东腾翔产品质量检测有限公司。</w:t>
      </w:r>
    </w:p>
    <w:p>
      <w:pPr>
        <w:keepNext w:val="0"/>
        <w:keepLines w:val="0"/>
        <w:pageBreakBefore w:val="0"/>
        <w:kinsoku/>
        <w:wordWrap/>
        <w:overflowPunct/>
        <w:autoSpaceDE/>
        <w:autoSpaceDN/>
        <w:bidi w:val="0"/>
        <w:adjustRightInd w:val="0"/>
        <w:snapToGrid w:val="0"/>
        <w:spacing w:line="540" w:lineRule="exact"/>
        <w:ind w:firstLine="411" w:firstLineChars="196"/>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汉鼎简书宋二">
    <w:altName w:val="微软雅黑"/>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8"/>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8"/>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B32679"/>
    <w:rsid w:val="00014F35"/>
    <w:rsid w:val="000204C4"/>
    <w:rsid w:val="00053EFC"/>
    <w:rsid w:val="000623B5"/>
    <w:rsid w:val="000930C6"/>
    <w:rsid w:val="000A351D"/>
    <w:rsid w:val="000A7648"/>
    <w:rsid w:val="000B3572"/>
    <w:rsid w:val="000C2479"/>
    <w:rsid w:val="000C40CF"/>
    <w:rsid w:val="000E4826"/>
    <w:rsid w:val="000F79E9"/>
    <w:rsid w:val="000F7DB4"/>
    <w:rsid w:val="00107ABE"/>
    <w:rsid w:val="001300B3"/>
    <w:rsid w:val="00130529"/>
    <w:rsid w:val="00141995"/>
    <w:rsid w:val="00190AE8"/>
    <w:rsid w:val="001A2372"/>
    <w:rsid w:val="001B2038"/>
    <w:rsid w:val="001B6E21"/>
    <w:rsid w:val="001C3E50"/>
    <w:rsid w:val="001C6932"/>
    <w:rsid w:val="001D4CF7"/>
    <w:rsid w:val="001F0EEF"/>
    <w:rsid w:val="001F1C54"/>
    <w:rsid w:val="001F445B"/>
    <w:rsid w:val="0022414B"/>
    <w:rsid w:val="002776F4"/>
    <w:rsid w:val="002B49FB"/>
    <w:rsid w:val="002B783E"/>
    <w:rsid w:val="002C5FF7"/>
    <w:rsid w:val="002E70FD"/>
    <w:rsid w:val="003076DF"/>
    <w:rsid w:val="00341A24"/>
    <w:rsid w:val="00345DF4"/>
    <w:rsid w:val="003626D0"/>
    <w:rsid w:val="00373FB4"/>
    <w:rsid w:val="0037771F"/>
    <w:rsid w:val="003812B8"/>
    <w:rsid w:val="00387151"/>
    <w:rsid w:val="003901CA"/>
    <w:rsid w:val="00396E4A"/>
    <w:rsid w:val="00397AD9"/>
    <w:rsid w:val="003A5FDA"/>
    <w:rsid w:val="003A773D"/>
    <w:rsid w:val="003B64F6"/>
    <w:rsid w:val="003C2030"/>
    <w:rsid w:val="003E16CE"/>
    <w:rsid w:val="003F6E0B"/>
    <w:rsid w:val="0040620C"/>
    <w:rsid w:val="00413A29"/>
    <w:rsid w:val="0041721D"/>
    <w:rsid w:val="00422D25"/>
    <w:rsid w:val="00431DF0"/>
    <w:rsid w:val="00435B96"/>
    <w:rsid w:val="0048725B"/>
    <w:rsid w:val="004A1DC4"/>
    <w:rsid w:val="004B2B2F"/>
    <w:rsid w:val="004C6996"/>
    <w:rsid w:val="004D363B"/>
    <w:rsid w:val="004D44F2"/>
    <w:rsid w:val="004E0A2B"/>
    <w:rsid w:val="004E712A"/>
    <w:rsid w:val="00500F8C"/>
    <w:rsid w:val="005017AC"/>
    <w:rsid w:val="00503F59"/>
    <w:rsid w:val="00517D56"/>
    <w:rsid w:val="00522D22"/>
    <w:rsid w:val="00553230"/>
    <w:rsid w:val="0055450C"/>
    <w:rsid w:val="00561759"/>
    <w:rsid w:val="00572132"/>
    <w:rsid w:val="00591CFA"/>
    <w:rsid w:val="005B7298"/>
    <w:rsid w:val="005D21DE"/>
    <w:rsid w:val="00601AE5"/>
    <w:rsid w:val="00602822"/>
    <w:rsid w:val="006109C5"/>
    <w:rsid w:val="00615BE3"/>
    <w:rsid w:val="00625BB8"/>
    <w:rsid w:val="00642116"/>
    <w:rsid w:val="0064672C"/>
    <w:rsid w:val="006559F3"/>
    <w:rsid w:val="0067546D"/>
    <w:rsid w:val="00676455"/>
    <w:rsid w:val="00694E7B"/>
    <w:rsid w:val="006C6901"/>
    <w:rsid w:val="006D44E0"/>
    <w:rsid w:val="006D67D2"/>
    <w:rsid w:val="006E0EB3"/>
    <w:rsid w:val="006E1E5B"/>
    <w:rsid w:val="006E49E5"/>
    <w:rsid w:val="007024A4"/>
    <w:rsid w:val="0071325A"/>
    <w:rsid w:val="00725A28"/>
    <w:rsid w:val="007425B8"/>
    <w:rsid w:val="00780717"/>
    <w:rsid w:val="00784475"/>
    <w:rsid w:val="007920FB"/>
    <w:rsid w:val="007E4C69"/>
    <w:rsid w:val="008104DD"/>
    <w:rsid w:val="0083253B"/>
    <w:rsid w:val="0083269E"/>
    <w:rsid w:val="00862CA8"/>
    <w:rsid w:val="008741C9"/>
    <w:rsid w:val="0088460E"/>
    <w:rsid w:val="00885EF2"/>
    <w:rsid w:val="008B11B2"/>
    <w:rsid w:val="008B29A9"/>
    <w:rsid w:val="008C6985"/>
    <w:rsid w:val="008E0113"/>
    <w:rsid w:val="008F21F5"/>
    <w:rsid w:val="00901130"/>
    <w:rsid w:val="00904983"/>
    <w:rsid w:val="00907571"/>
    <w:rsid w:val="00937EF3"/>
    <w:rsid w:val="009467CA"/>
    <w:rsid w:val="009521C2"/>
    <w:rsid w:val="00972358"/>
    <w:rsid w:val="009741E2"/>
    <w:rsid w:val="00985542"/>
    <w:rsid w:val="00995C8C"/>
    <w:rsid w:val="009B19BD"/>
    <w:rsid w:val="009B65CD"/>
    <w:rsid w:val="009C070A"/>
    <w:rsid w:val="009D01CC"/>
    <w:rsid w:val="009D4E50"/>
    <w:rsid w:val="009E62D6"/>
    <w:rsid w:val="00A66407"/>
    <w:rsid w:val="00AA1224"/>
    <w:rsid w:val="00AE3359"/>
    <w:rsid w:val="00AE459E"/>
    <w:rsid w:val="00AE7967"/>
    <w:rsid w:val="00B03A40"/>
    <w:rsid w:val="00B043A5"/>
    <w:rsid w:val="00B20DCF"/>
    <w:rsid w:val="00B32679"/>
    <w:rsid w:val="00B652A4"/>
    <w:rsid w:val="00B70C44"/>
    <w:rsid w:val="00B71B29"/>
    <w:rsid w:val="00B738C7"/>
    <w:rsid w:val="00B813C6"/>
    <w:rsid w:val="00B864DB"/>
    <w:rsid w:val="00BB3727"/>
    <w:rsid w:val="00BB6052"/>
    <w:rsid w:val="00BB6915"/>
    <w:rsid w:val="00BC253B"/>
    <w:rsid w:val="00BC5EBE"/>
    <w:rsid w:val="00C00962"/>
    <w:rsid w:val="00C023B0"/>
    <w:rsid w:val="00C46ADC"/>
    <w:rsid w:val="00C50DD1"/>
    <w:rsid w:val="00C80094"/>
    <w:rsid w:val="00CD27A7"/>
    <w:rsid w:val="00CE33AA"/>
    <w:rsid w:val="00D21591"/>
    <w:rsid w:val="00D5315E"/>
    <w:rsid w:val="00D71625"/>
    <w:rsid w:val="00DB17A3"/>
    <w:rsid w:val="00DB51A6"/>
    <w:rsid w:val="00DE33FC"/>
    <w:rsid w:val="00DE770D"/>
    <w:rsid w:val="00E0683A"/>
    <w:rsid w:val="00E11DB4"/>
    <w:rsid w:val="00E24F62"/>
    <w:rsid w:val="00E25CB8"/>
    <w:rsid w:val="00E4383B"/>
    <w:rsid w:val="00E515A2"/>
    <w:rsid w:val="00E57036"/>
    <w:rsid w:val="00E67A5D"/>
    <w:rsid w:val="00E84E68"/>
    <w:rsid w:val="00EC0A1C"/>
    <w:rsid w:val="00EC5562"/>
    <w:rsid w:val="00EC710E"/>
    <w:rsid w:val="00ED32BF"/>
    <w:rsid w:val="00EE637B"/>
    <w:rsid w:val="00EF7449"/>
    <w:rsid w:val="00F04F3B"/>
    <w:rsid w:val="00F15A10"/>
    <w:rsid w:val="00F15D77"/>
    <w:rsid w:val="00F33E4B"/>
    <w:rsid w:val="00F35E82"/>
    <w:rsid w:val="00F363AD"/>
    <w:rsid w:val="00F54A74"/>
    <w:rsid w:val="00F6554B"/>
    <w:rsid w:val="00F67C53"/>
    <w:rsid w:val="00F7631B"/>
    <w:rsid w:val="00FA62AA"/>
    <w:rsid w:val="00FB0D1C"/>
    <w:rsid w:val="00FD54CF"/>
    <w:rsid w:val="00FE3786"/>
    <w:rsid w:val="00FE3932"/>
    <w:rsid w:val="00FE3F0A"/>
    <w:rsid w:val="03517CE2"/>
    <w:rsid w:val="05B44A21"/>
    <w:rsid w:val="075E3062"/>
    <w:rsid w:val="07CB0C1A"/>
    <w:rsid w:val="07D7366F"/>
    <w:rsid w:val="08132D86"/>
    <w:rsid w:val="097C36F0"/>
    <w:rsid w:val="09894759"/>
    <w:rsid w:val="0990088F"/>
    <w:rsid w:val="0C1C096A"/>
    <w:rsid w:val="0C6A3CCE"/>
    <w:rsid w:val="0E17512C"/>
    <w:rsid w:val="0FB858AB"/>
    <w:rsid w:val="1097754E"/>
    <w:rsid w:val="11577BBD"/>
    <w:rsid w:val="132445E9"/>
    <w:rsid w:val="166C2330"/>
    <w:rsid w:val="16965343"/>
    <w:rsid w:val="16CE7D16"/>
    <w:rsid w:val="179E61C8"/>
    <w:rsid w:val="182F0E23"/>
    <w:rsid w:val="192B23F6"/>
    <w:rsid w:val="1C9066D1"/>
    <w:rsid w:val="1E107000"/>
    <w:rsid w:val="1E2F09B4"/>
    <w:rsid w:val="1FC35BBF"/>
    <w:rsid w:val="21056678"/>
    <w:rsid w:val="21CB6968"/>
    <w:rsid w:val="22744381"/>
    <w:rsid w:val="24A22A81"/>
    <w:rsid w:val="255337AE"/>
    <w:rsid w:val="258B60F4"/>
    <w:rsid w:val="26343F9F"/>
    <w:rsid w:val="2C3A277A"/>
    <w:rsid w:val="2D825A2F"/>
    <w:rsid w:val="2ED84802"/>
    <w:rsid w:val="2F95332F"/>
    <w:rsid w:val="31B062AC"/>
    <w:rsid w:val="34125EC4"/>
    <w:rsid w:val="36AB6D68"/>
    <w:rsid w:val="373F3B68"/>
    <w:rsid w:val="390A3219"/>
    <w:rsid w:val="3947634D"/>
    <w:rsid w:val="39D241A6"/>
    <w:rsid w:val="3A6F0931"/>
    <w:rsid w:val="3B0C5CFD"/>
    <w:rsid w:val="3BA40D5C"/>
    <w:rsid w:val="426D07BC"/>
    <w:rsid w:val="45AB4389"/>
    <w:rsid w:val="460C34F8"/>
    <w:rsid w:val="469E1CE6"/>
    <w:rsid w:val="48856A98"/>
    <w:rsid w:val="488E6CFB"/>
    <w:rsid w:val="489D613D"/>
    <w:rsid w:val="48DA2CCE"/>
    <w:rsid w:val="49313F1A"/>
    <w:rsid w:val="4A1949A7"/>
    <w:rsid w:val="4A510B43"/>
    <w:rsid w:val="4BA845EA"/>
    <w:rsid w:val="4C91318F"/>
    <w:rsid w:val="4DD12E39"/>
    <w:rsid w:val="4DDF5B1E"/>
    <w:rsid w:val="4E4F092E"/>
    <w:rsid w:val="4FC113B8"/>
    <w:rsid w:val="503A452D"/>
    <w:rsid w:val="522C6261"/>
    <w:rsid w:val="527B11B4"/>
    <w:rsid w:val="53513FD9"/>
    <w:rsid w:val="56063FC8"/>
    <w:rsid w:val="56667F7D"/>
    <w:rsid w:val="56DA7A7A"/>
    <w:rsid w:val="57BD6C6D"/>
    <w:rsid w:val="58226BF3"/>
    <w:rsid w:val="58E633BB"/>
    <w:rsid w:val="595C3210"/>
    <w:rsid w:val="5A110E67"/>
    <w:rsid w:val="5C20251D"/>
    <w:rsid w:val="5E026D1F"/>
    <w:rsid w:val="5FE645AE"/>
    <w:rsid w:val="637E23BD"/>
    <w:rsid w:val="64825983"/>
    <w:rsid w:val="65FF076F"/>
    <w:rsid w:val="66987670"/>
    <w:rsid w:val="68F83B72"/>
    <w:rsid w:val="69F3281F"/>
    <w:rsid w:val="6A945404"/>
    <w:rsid w:val="6AEE3FA2"/>
    <w:rsid w:val="6B4B09EA"/>
    <w:rsid w:val="6B58188D"/>
    <w:rsid w:val="6CAA0972"/>
    <w:rsid w:val="6DF418E6"/>
    <w:rsid w:val="6E0F2752"/>
    <w:rsid w:val="6E8D66BB"/>
    <w:rsid w:val="702F75A2"/>
    <w:rsid w:val="722F294B"/>
    <w:rsid w:val="72DC238B"/>
    <w:rsid w:val="72F21524"/>
    <w:rsid w:val="75FEF899"/>
    <w:rsid w:val="77BA1CD3"/>
    <w:rsid w:val="79AB040C"/>
    <w:rsid w:val="79F66E84"/>
    <w:rsid w:val="7A30427B"/>
    <w:rsid w:val="7B857057"/>
    <w:rsid w:val="EAD410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99"/>
    <w:pPr>
      <w:ind w:firstLine="420"/>
    </w:pPr>
    <w:rPr>
      <w:rFonts w:ascii="仿宋_GB2312" w:hAnsi="Times New Roman" w:eastAsia="仿宋_GB2312"/>
      <w:sz w:val="32"/>
      <w:szCs w:val="20"/>
    </w:rPr>
  </w:style>
  <w:style w:type="paragraph" w:styleId="4">
    <w:name w:val="Body Text"/>
    <w:basedOn w:val="1"/>
    <w:next w:val="1"/>
    <w:qFormat/>
    <w:uiPriority w:val="0"/>
    <w:pPr>
      <w:spacing w:after="120"/>
    </w:pPr>
  </w:style>
  <w:style w:type="paragraph" w:styleId="5">
    <w:name w:val="Body Text Indent"/>
    <w:basedOn w:val="1"/>
    <w:next w:val="1"/>
    <w:qFormat/>
    <w:uiPriority w:val="0"/>
    <w:pPr>
      <w:spacing w:line="360" w:lineRule="auto"/>
      <w:ind w:firstLine="480" w:firstLineChars="200"/>
    </w:pPr>
    <w:rPr>
      <w:rFonts w:ascii="宋体" w:hAnsi="宋体"/>
      <w:kern w:val="0"/>
      <w:szCs w:val="20"/>
    </w:rPr>
  </w:style>
  <w:style w:type="paragraph" w:styleId="6">
    <w:name w:val="Date"/>
    <w:basedOn w:val="1"/>
    <w:next w:val="1"/>
    <w:link w:val="21"/>
    <w:semiHidden/>
    <w:unhideWhenUsed/>
    <w:qFormat/>
    <w:uiPriority w:val="99"/>
    <w:pPr>
      <w:ind w:left="100" w:leftChars="2500"/>
    </w:pPr>
  </w:style>
  <w:style w:type="paragraph" w:styleId="7">
    <w:name w:val="Balloon Text"/>
    <w:basedOn w:val="1"/>
    <w:link w:val="17"/>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style>
  <w:style w:type="paragraph" w:styleId="11">
    <w:name w:val="Body Text First Indent"/>
    <w:basedOn w:val="1"/>
    <w:qFormat/>
    <w:uiPriority w:val="99"/>
    <w:pPr>
      <w:spacing w:line="360" w:lineRule="auto"/>
      <w:ind w:firstLine="200" w:firstLineChars="200"/>
    </w:pPr>
    <w:rPr>
      <w:rFonts w:ascii="仿宋_GB2312" w:eastAsia="仿宋_GB2312"/>
      <w:sz w:val="30"/>
      <w:szCs w:val="30"/>
    </w:rPr>
  </w:style>
  <w:style w:type="paragraph" w:styleId="12">
    <w:name w:val="Body Text First Indent 2"/>
    <w:basedOn w:val="5"/>
    <w:next w:val="3"/>
    <w:unhideWhenUsed/>
    <w:qFormat/>
    <w:uiPriority w:val="99"/>
    <w:pPr>
      <w:spacing w:after="120"/>
      <w:ind w:left="420" w:leftChars="200" w:firstLine="420"/>
    </w:pPr>
    <w:rPr>
      <w:rFonts w:cs="Times New Roman"/>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wang正文"/>
    <w:basedOn w:val="1"/>
    <w:qFormat/>
    <w:uiPriority w:val="0"/>
    <w:pPr>
      <w:tabs>
        <w:tab w:val="left" w:pos="6840"/>
      </w:tabs>
      <w:topLinePunct/>
      <w:ind w:firstLine="420"/>
    </w:pPr>
    <w:rPr>
      <w:kern w:val="0"/>
    </w:rPr>
  </w:style>
  <w:style w:type="character" w:customStyle="1" w:styleId="17">
    <w:name w:val="批注框文本 Char"/>
    <w:basedOn w:val="15"/>
    <w:link w:val="7"/>
    <w:semiHidden/>
    <w:qFormat/>
    <w:uiPriority w:val="99"/>
    <w:rPr>
      <w:rFonts w:ascii="Calibri" w:hAnsi="Calibri" w:eastAsia="宋体" w:cs="Times New Roman"/>
      <w:sz w:val="18"/>
      <w:szCs w:val="18"/>
    </w:rPr>
  </w:style>
  <w:style w:type="paragraph" w:customStyle="1" w:styleId="18">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9">
    <w:name w:val="页眉 Char"/>
    <w:basedOn w:val="15"/>
    <w:link w:val="9"/>
    <w:qFormat/>
    <w:uiPriority w:val="99"/>
    <w:rPr>
      <w:rFonts w:ascii="Calibri" w:hAnsi="Calibri" w:eastAsia="宋体" w:cs="Times New Roman"/>
      <w:sz w:val="18"/>
      <w:szCs w:val="18"/>
    </w:rPr>
  </w:style>
  <w:style w:type="character" w:customStyle="1" w:styleId="20">
    <w:name w:val="页脚 Char"/>
    <w:basedOn w:val="15"/>
    <w:link w:val="8"/>
    <w:qFormat/>
    <w:uiPriority w:val="99"/>
    <w:rPr>
      <w:rFonts w:ascii="Calibri" w:hAnsi="Calibri" w:eastAsia="宋体" w:cs="Times New Roman"/>
      <w:sz w:val="18"/>
      <w:szCs w:val="18"/>
    </w:rPr>
  </w:style>
  <w:style w:type="character" w:customStyle="1" w:styleId="21">
    <w:name w:val="日期 Char"/>
    <w:basedOn w:val="15"/>
    <w:link w:val="6"/>
    <w:semiHidden/>
    <w:qFormat/>
    <w:uiPriority w:val="99"/>
    <w:rPr>
      <w:rFonts w:ascii="Calibri" w:hAnsi="Calibri" w:eastAsia="宋体" w:cs="Times New Roman"/>
    </w:rPr>
  </w:style>
  <w:style w:type="character" w:customStyle="1" w:styleId="22">
    <w:name w:val="段 Char"/>
    <w:link w:val="23"/>
    <w:qFormat/>
    <w:uiPriority w:val="0"/>
    <w:rPr>
      <w:rFonts w:ascii="宋体" w:eastAsia="Times New Roman"/>
    </w:rPr>
  </w:style>
  <w:style w:type="paragraph" w:customStyle="1" w:styleId="23">
    <w:name w:val="段"/>
    <w:link w:val="22"/>
    <w:qFormat/>
    <w:uiPriority w:val="0"/>
    <w:pPr>
      <w:autoSpaceDE w:val="0"/>
      <w:autoSpaceDN w:val="0"/>
      <w:ind w:firstLine="200" w:firstLineChars="200"/>
      <w:jc w:val="both"/>
    </w:pPr>
    <w:rPr>
      <w:rFonts w:ascii="宋体" w:eastAsia="Times New Roman" w:hAnsiTheme="minorHAnsi" w:cstheme="minorBidi"/>
      <w:kern w:val="2"/>
      <w:sz w:val="21"/>
      <w:szCs w:val="22"/>
      <w:lang w:val="en-US" w:eastAsia="zh-CN" w:bidi="ar-SA"/>
    </w:rPr>
  </w:style>
  <w:style w:type="paragraph" w:customStyle="1" w:styleId="24">
    <w:name w:val="列出段落1"/>
    <w:basedOn w:val="1"/>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3008</Words>
  <Characters>3599</Characters>
  <Lines>26</Lines>
  <Paragraphs>7</Paragraphs>
  <TotalTime>1</TotalTime>
  <ScaleCrop>false</ScaleCrop>
  <LinksUpToDate>false</LinksUpToDate>
  <CharactersWithSpaces>3664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2020-05-25T05:46:00Z</dcterms:created>
  <dc:creator>jiangdw</dc:creator>
  <cp:lastModifiedBy>李松岩</cp:lastModifiedBy>
  <dcterms:modified xsi:type="dcterms:W3CDTF">2023-10-24T08:31:50Z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11DB408784A24FF1AF0896CCA85D9A7E_13</vt:lpwstr>
  </property>
</Properties>
</file>