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val="0"/>
          <w:spacing w:val="20"/>
          <w:w w:val="105"/>
          <w:sz w:val="36"/>
          <w:szCs w:val="36"/>
          <w:lang w:eastAsia="zh-CN"/>
        </w:rPr>
      </w:pPr>
      <w:r>
        <w:rPr>
          <w:rFonts w:hint="eastAsia" w:ascii="仿宋" w:hAnsi="仿宋" w:eastAsia="仿宋" w:cs="仿宋"/>
          <w:b/>
          <w:bCs w:val="0"/>
          <w:spacing w:val="20"/>
          <w:w w:val="105"/>
          <w:sz w:val="36"/>
          <w:szCs w:val="36"/>
          <w:lang w:val="en-US" w:eastAsia="zh-CN"/>
        </w:rPr>
        <w:t>2023年盘锦市兴隆台区</w:t>
      </w:r>
      <w:bookmarkStart w:id="0" w:name="_GoBack"/>
      <w:r>
        <w:rPr>
          <w:rFonts w:hint="eastAsia" w:ascii="仿宋" w:hAnsi="仿宋" w:eastAsia="仿宋" w:cs="仿宋"/>
          <w:b/>
          <w:bCs w:val="0"/>
          <w:spacing w:val="20"/>
          <w:w w:val="105"/>
          <w:sz w:val="36"/>
          <w:szCs w:val="36"/>
          <w:lang w:eastAsia="zh-CN"/>
        </w:rPr>
        <w:t>电动自行车电池</w:t>
      </w:r>
      <w:bookmarkEnd w:id="0"/>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val="0"/>
          <w:spacing w:val="20"/>
          <w:w w:val="105"/>
          <w:sz w:val="36"/>
          <w:szCs w:val="36"/>
        </w:rPr>
      </w:pPr>
      <w:r>
        <w:rPr>
          <w:rFonts w:hint="eastAsia" w:ascii="仿宋" w:hAnsi="仿宋" w:eastAsia="仿宋" w:cs="仿宋"/>
          <w:b/>
          <w:bCs w:val="0"/>
          <w:spacing w:val="20"/>
          <w:w w:val="105"/>
          <w:sz w:val="36"/>
          <w:szCs w:val="36"/>
        </w:rPr>
        <w:t>产品质量监督抽查实施细则</w:t>
      </w:r>
    </w:p>
    <w:p>
      <w:pPr>
        <w:keepNext w:val="0"/>
        <w:keepLines w:val="0"/>
        <w:pageBreakBefore w:val="0"/>
        <w:widowControl w:val="0"/>
        <w:kinsoku/>
        <w:wordWrap/>
        <w:overflowPunct/>
        <w:topLinePunct w:val="0"/>
        <w:autoSpaceDE/>
        <w:autoSpaceDN/>
        <w:bidi w:val="0"/>
        <w:spacing w:line="594" w:lineRule="exact"/>
        <w:ind w:firstLine="560" w:firstLineChars="200"/>
        <w:jc w:val="center"/>
        <w:textAlignment w:val="auto"/>
        <w:rPr>
          <w:rFonts w:hint="eastAsia" w:ascii="仿宋_GB2312" w:hAnsi="仿宋_GB2312" w:eastAsia="仿宋_GB2312" w:cs="仿宋_GB2312"/>
          <w:b w:val="0"/>
          <w:bCs/>
          <w:sz w:val="28"/>
          <w:szCs w:val="28"/>
        </w:rPr>
      </w:pPr>
    </w:p>
    <w:p>
      <w:pPr>
        <w:keepNext w:val="0"/>
        <w:keepLines w:val="0"/>
        <w:pageBreakBefore w:val="0"/>
        <w:widowControl w:val="0"/>
        <w:kinsoku/>
        <w:wordWrap/>
        <w:overflowPunct/>
        <w:topLinePunct w:val="0"/>
        <w:autoSpaceDE/>
        <w:autoSpaceDN/>
        <w:bidi w:val="0"/>
        <w:adjustRightInd w:val="0"/>
        <w:snapToGrid w:val="0"/>
        <w:spacing w:line="540" w:lineRule="exact"/>
        <w:ind w:firstLine="562" w:firstLineChars="200"/>
        <w:textAlignment w:val="auto"/>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1适用范围</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sz w:val="28"/>
          <w:szCs w:val="28"/>
        </w:rPr>
        <w:t>本细则适用于</w:t>
      </w:r>
      <w:r>
        <w:rPr>
          <w:rFonts w:hint="eastAsia" w:ascii="仿宋_GB2312" w:hAnsi="仿宋_GB2312" w:eastAsia="仿宋_GB2312" w:cs="仿宋_GB2312"/>
          <w:b w:val="0"/>
          <w:bCs/>
          <w:sz w:val="28"/>
          <w:szCs w:val="28"/>
          <w:lang w:val="en-US" w:eastAsia="zh-CN"/>
        </w:rPr>
        <w:t>盘锦市兴隆台区</w:t>
      </w:r>
      <w:r>
        <w:rPr>
          <w:rFonts w:hint="eastAsia" w:ascii="仿宋_GB2312" w:hAnsi="仿宋_GB2312" w:eastAsia="仿宋_GB2312" w:cs="仿宋_GB2312"/>
          <w:b w:val="0"/>
          <w:bCs/>
          <w:kern w:val="0"/>
          <w:sz w:val="28"/>
          <w:szCs w:val="28"/>
          <w:lang w:eastAsia="zh-CN"/>
        </w:rPr>
        <w:t>电动自行车电池</w:t>
      </w:r>
      <w:r>
        <w:rPr>
          <w:rFonts w:hint="eastAsia" w:ascii="仿宋_GB2312" w:hAnsi="仿宋_GB2312" w:eastAsia="仿宋_GB2312" w:cs="仿宋_GB2312"/>
          <w:b w:val="0"/>
          <w:bCs/>
          <w:sz w:val="28"/>
          <w:szCs w:val="28"/>
        </w:rPr>
        <w:t>产品质量监督抽查，针对特殊情况的专项抽查可参照执行。本细则内容包括产品分类</w:t>
      </w:r>
      <w:r>
        <w:rPr>
          <w:rFonts w:hint="eastAsia" w:ascii="仿宋_GB2312" w:hAnsi="仿宋_GB2312" w:eastAsia="仿宋_GB2312" w:cs="仿宋_GB2312"/>
          <w:b w:val="0"/>
          <w:bCs/>
          <w:kern w:val="0"/>
          <w:sz w:val="28"/>
          <w:szCs w:val="28"/>
        </w:rPr>
        <w:t>、术语和定义、生产企业规模划分、检验依据、抽样、检验要求、判定原则、异议处理。</w:t>
      </w:r>
    </w:p>
    <w:p>
      <w:pPr>
        <w:keepNext w:val="0"/>
        <w:keepLines w:val="0"/>
        <w:pageBreakBefore w:val="0"/>
        <w:widowControl w:val="0"/>
        <w:kinsoku/>
        <w:wordWrap/>
        <w:overflowPunct/>
        <w:topLinePunct w:val="0"/>
        <w:autoSpaceDE/>
        <w:autoSpaceDN/>
        <w:bidi w:val="0"/>
        <w:adjustRightInd w:val="0"/>
        <w:snapToGrid w:val="0"/>
        <w:spacing w:line="540" w:lineRule="exact"/>
        <w:ind w:firstLine="562" w:firstLineChars="200"/>
        <w:textAlignment w:val="auto"/>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2产品分类、术语和定义</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2.1产品分类及代码见表1。</w:t>
      </w:r>
    </w:p>
    <w:p>
      <w:pPr>
        <w:keepNext w:val="0"/>
        <w:keepLines w:val="0"/>
        <w:pageBreakBefore w:val="0"/>
        <w:widowControl w:val="0"/>
        <w:kinsoku/>
        <w:wordWrap/>
        <w:overflowPunct/>
        <w:topLinePunct w:val="0"/>
        <w:autoSpaceDE/>
        <w:autoSpaceDN/>
        <w:bidi w:val="0"/>
        <w:adjustRightInd w:val="0"/>
        <w:snapToGrid w:val="0"/>
        <w:spacing w:line="540" w:lineRule="exact"/>
        <w:ind w:firstLine="420"/>
        <w:jc w:val="center"/>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表1  产品分类及代码</w:t>
      </w:r>
    </w:p>
    <w:tbl>
      <w:tblPr>
        <w:tblStyle w:val="10"/>
        <w:tblW w:w="9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3"/>
        <w:gridCol w:w="1740"/>
        <w:gridCol w:w="2026"/>
        <w:gridCol w:w="2146"/>
        <w:gridCol w:w="1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产品分类</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一级分类</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二级分类</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产品编码</w:t>
            </w:r>
            <w:r>
              <w:rPr>
                <w:rFonts w:hint="eastAsia" w:ascii="仿宋" w:hAnsi="仿宋" w:eastAsia="仿宋" w:cs="仿宋"/>
                <w:sz w:val="24"/>
                <w:szCs w:val="24"/>
                <w:lang w:eastAsia="zh-CN"/>
              </w:rPr>
              <w:t>及名称</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rPr>
              <w:t>属性编码</w:t>
            </w:r>
            <w:r>
              <w:rPr>
                <w:rFonts w:hint="eastAsia" w:ascii="仿宋" w:hAnsi="仿宋" w:eastAsia="仿宋" w:cs="仿宋"/>
                <w:sz w:val="24"/>
                <w:szCs w:val="24"/>
                <w:lang w:eastAsia="zh-CN"/>
              </w:rPr>
              <w:t>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分类代码</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06</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12</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103</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分类名称</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机械及安防</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车辆及相关产品</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电动自行车电池</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w:t>
            </w:r>
          </w:p>
        </w:tc>
      </w:tr>
    </w:tbl>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2.2产品种类</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eastAsia" w:ascii="仿宋_GB2312" w:hAnsi="宋体" w:eastAsia="仿宋_GB2312"/>
          <w:b w:val="0"/>
          <w:bCs/>
          <w:sz w:val="28"/>
          <w:szCs w:val="28"/>
        </w:rPr>
      </w:pPr>
      <w:r>
        <w:rPr>
          <w:rFonts w:hint="eastAsia" w:ascii="仿宋_GB2312" w:hAnsi="宋体" w:eastAsia="仿宋_GB2312"/>
          <w:b w:val="0"/>
          <w:bCs/>
          <w:sz w:val="28"/>
          <w:szCs w:val="28"/>
        </w:rPr>
        <w:t>本细则涉及产品种类：</w:t>
      </w:r>
      <w:r>
        <w:rPr>
          <w:rFonts w:hint="eastAsia" w:ascii="仿宋_GB2312" w:hAnsi="宋体" w:eastAsia="仿宋_GB2312"/>
          <w:b w:val="0"/>
          <w:bCs/>
          <w:sz w:val="28"/>
          <w:szCs w:val="28"/>
          <w:lang w:val="en-US" w:eastAsia="zh-CN"/>
        </w:rPr>
        <w:t>电动助力车用阀控式铅酸蓄电池</w:t>
      </w:r>
      <w:r>
        <w:rPr>
          <w:rFonts w:hint="eastAsia" w:ascii="仿宋_GB2312" w:hAnsi="宋体" w:eastAsia="仿宋_GB2312"/>
          <w:b w:val="0"/>
          <w:bCs/>
          <w:sz w:val="28"/>
          <w:szCs w:val="28"/>
          <w:lang w:eastAsia="zh-CN"/>
        </w:rPr>
        <w:t>、</w:t>
      </w:r>
      <w:r>
        <w:rPr>
          <w:rFonts w:hint="eastAsia" w:ascii="仿宋_GB2312" w:hAnsi="宋体" w:eastAsia="仿宋_GB2312"/>
          <w:b w:val="0"/>
          <w:bCs/>
          <w:sz w:val="28"/>
          <w:szCs w:val="28"/>
          <w:lang w:val="en-US" w:eastAsia="zh-CN"/>
        </w:rPr>
        <w:t>电动自行车用蓄电池、电动自行车用阀控式铅酸蓄电池</w:t>
      </w:r>
      <w:r>
        <w:rPr>
          <w:rFonts w:hint="eastAsia" w:ascii="仿宋_GB2312" w:hAnsi="宋体" w:eastAsia="仿宋_GB2312"/>
          <w:b w:val="0"/>
          <w:bCs/>
          <w:sz w:val="28"/>
          <w:szCs w:val="28"/>
        </w:rPr>
        <w:t>。</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2.3术语和定义</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本细则中未列出的术语和定义同相关引用标准。</w:t>
      </w:r>
    </w:p>
    <w:p>
      <w:pPr>
        <w:keepNext w:val="0"/>
        <w:keepLines w:val="0"/>
        <w:pageBreakBefore w:val="0"/>
        <w:widowControl w:val="0"/>
        <w:kinsoku/>
        <w:wordWrap/>
        <w:overflowPunct/>
        <w:topLinePunct w:val="0"/>
        <w:autoSpaceDE/>
        <w:autoSpaceDN/>
        <w:bidi w:val="0"/>
        <w:adjustRightInd w:val="0"/>
        <w:snapToGrid/>
        <w:spacing w:line="540" w:lineRule="exact"/>
        <w:ind w:firstLine="562" w:firstLineChars="200"/>
        <w:textAlignment w:val="auto"/>
        <w:rPr>
          <w:rFonts w:ascii="仿宋_GB2312" w:hAnsi="宋体" w:eastAsia="仿宋_GB2312"/>
          <w:b/>
          <w:bCs w:val="0"/>
          <w:sz w:val="28"/>
          <w:szCs w:val="28"/>
        </w:rPr>
      </w:pPr>
      <w:r>
        <w:rPr>
          <w:rFonts w:hint="eastAsia" w:ascii="仿宋_GB2312" w:hAnsi="宋体" w:eastAsia="仿宋_GB2312"/>
          <w:b/>
          <w:bCs w:val="0"/>
          <w:sz w:val="28"/>
          <w:szCs w:val="28"/>
        </w:rPr>
        <w:t>3企业规模划分</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根据国家统计局印发的相关管理办法，确定企业规模。</w:t>
      </w:r>
    </w:p>
    <w:p>
      <w:pPr>
        <w:keepNext w:val="0"/>
        <w:keepLines w:val="0"/>
        <w:pageBreakBefore w:val="0"/>
        <w:widowControl w:val="0"/>
        <w:kinsoku/>
        <w:wordWrap/>
        <w:overflowPunct/>
        <w:topLinePunct w:val="0"/>
        <w:autoSpaceDE/>
        <w:autoSpaceDN/>
        <w:bidi w:val="0"/>
        <w:adjustRightInd w:val="0"/>
        <w:snapToGrid/>
        <w:spacing w:line="540" w:lineRule="exact"/>
        <w:ind w:firstLine="562" w:firstLineChars="200"/>
        <w:textAlignment w:val="auto"/>
        <w:rPr>
          <w:rFonts w:ascii="仿宋_GB2312" w:hAnsi="宋体" w:eastAsia="仿宋_GB2312"/>
          <w:b/>
          <w:bCs w:val="0"/>
          <w:sz w:val="28"/>
          <w:szCs w:val="28"/>
        </w:rPr>
      </w:pPr>
      <w:r>
        <w:rPr>
          <w:rFonts w:hint="eastAsia" w:ascii="仿宋_GB2312" w:hAnsi="宋体" w:eastAsia="仿宋_GB2312"/>
          <w:b/>
          <w:bCs w:val="0"/>
          <w:sz w:val="28"/>
          <w:szCs w:val="28"/>
        </w:rPr>
        <w:t>4检验依据</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lang w:val="en-US" w:eastAsia="zh-CN"/>
        </w:rPr>
        <w:t>GB/T 22199.1-2017</w:t>
      </w:r>
      <w:r>
        <w:rPr>
          <w:rFonts w:hint="eastAsia" w:ascii="仿宋_GB2312" w:hAnsi="宋体" w:eastAsia="仿宋_GB2312"/>
          <w:b w:val="0"/>
          <w:bCs/>
          <w:sz w:val="28"/>
          <w:szCs w:val="28"/>
        </w:rPr>
        <w:t>《</w:t>
      </w:r>
      <w:r>
        <w:rPr>
          <w:rFonts w:hint="eastAsia" w:ascii="仿宋_GB2312" w:hAnsi="宋体" w:eastAsia="仿宋_GB2312"/>
          <w:b w:val="0"/>
          <w:bCs/>
          <w:sz w:val="28"/>
          <w:szCs w:val="28"/>
          <w:lang w:eastAsia="zh-CN"/>
        </w:rPr>
        <w:t>电动助力车用阀控式铅酸蓄电池 第1部分：技术条件</w:t>
      </w:r>
      <w:r>
        <w:rPr>
          <w:rFonts w:hint="eastAsia" w:ascii="仿宋_GB2312" w:hAnsi="宋体" w:eastAsia="仿宋_GB2312"/>
          <w:b w:val="0"/>
          <w:bCs/>
          <w:sz w:val="28"/>
          <w:szCs w:val="28"/>
        </w:rPr>
        <w:t>》</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lang w:val="en-US" w:eastAsia="zh-CN"/>
        </w:rPr>
        <w:t>QB/T 2947.1-2008</w:t>
      </w:r>
      <w:r>
        <w:rPr>
          <w:rFonts w:hint="eastAsia" w:ascii="仿宋_GB2312" w:hAnsi="宋体" w:eastAsia="仿宋_GB2312"/>
          <w:b w:val="0"/>
          <w:bCs/>
          <w:sz w:val="28"/>
          <w:szCs w:val="28"/>
        </w:rPr>
        <w:t>《</w:t>
      </w:r>
      <w:r>
        <w:rPr>
          <w:rFonts w:hint="eastAsia" w:ascii="仿宋_GB2312" w:hAnsi="宋体" w:eastAsia="仿宋_GB2312"/>
          <w:b w:val="0"/>
          <w:bCs/>
          <w:sz w:val="28"/>
          <w:szCs w:val="28"/>
          <w:lang w:eastAsia="zh-CN"/>
        </w:rPr>
        <w:t>电动自行车用蓄电池及充电器 第1部分：密封铅酸蓄电池及充电器</w:t>
      </w:r>
      <w:r>
        <w:rPr>
          <w:rFonts w:hint="eastAsia" w:ascii="仿宋_GB2312" w:hAnsi="宋体" w:eastAsia="仿宋_GB2312"/>
          <w:b w:val="0"/>
          <w:bCs/>
          <w:sz w:val="28"/>
          <w:szCs w:val="28"/>
        </w:rPr>
        <w:t>》</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eastAsia" w:ascii="仿宋_GB2312" w:hAnsi="宋体" w:eastAsia="仿宋_GB2312"/>
          <w:b w:val="0"/>
          <w:bCs/>
          <w:sz w:val="28"/>
          <w:szCs w:val="28"/>
          <w:lang w:eastAsia="zh-CN"/>
        </w:rPr>
      </w:pPr>
      <w:r>
        <w:rPr>
          <w:rFonts w:hint="eastAsia" w:ascii="仿宋_GB2312" w:hAnsi="宋体" w:eastAsia="仿宋_GB2312"/>
          <w:b w:val="0"/>
          <w:bCs/>
          <w:sz w:val="28"/>
          <w:szCs w:val="28"/>
          <w:lang w:val="en-US" w:eastAsia="zh-CN"/>
        </w:rPr>
        <w:t>T/ZJXDC 001-2021</w:t>
      </w:r>
      <w:r>
        <w:rPr>
          <w:rFonts w:hint="eastAsia" w:ascii="仿宋_GB2312" w:hAnsi="宋体" w:eastAsia="仿宋_GB2312"/>
          <w:b w:val="0"/>
          <w:bCs/>
          <w:sz w:val="28"/>
          <w:szCs w:val="28"/>
          <w:lang w:eastAsia="zh-CN"/>
        </w:rPr>
        <w:t>《电动自行车用阀控式铅酸蓄电池》</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ascii="仿宋_GB2312" w:hAnsi="宋体" w:eastAsia="仿宋_GB2312"/>
          <w:b w:val="0"/>
          <w:bCs/>
          <w:sz w:val="28"/>
          <w:szCs w:val="28"/>
        </w:rPr>
        <w:t>现行有效的企业标准、团体标准、地方标准及产品明示质量要求</w:t>
      </w:r>
      <w:r>
        <w:rPr>
          <w:rFonts w:hint="eastAsia" w:ascii="仿宋_GB2312" w:hAnsi="宋体" w:eastAsia="仿宋_GB2312"/>
          <w:b w:val="0"/>
          <w:bCs/>
          <w:sz w:val="28"/>
          <w:szCs w:val="28"/>
        </w:rPr>
        <w:t>以及相关法律法规。</w:t>
      </w:r>
    </w:p>
    <w:p>
      <w:pPr>
        <w:keepNext w:val="0"/>
        <w:keepLines w:val="0"/>
        <w:pageBreakBefore w:val="0"/>
        <w:widowControl w:val="0"/>
        <w:kinsoku/>
        <w:wordWrap/>
        <w:overflowPunct/>
        <w:topLinePunct w:val="0"/>
        <w:autoSpaceDE/>
        <w:autoSpaceDN/>
        <w:bidi w:val="0"/>
        <w:adjustRightInd w:val="0"/>
        <w:snapToGrid/>
        <w:spacing w:line="540" w:lineRule="exact"/>
        <w:ind w:firstLine="562" w:firstLineChars="200"/>
        <w:textAlignment w:val="auto"/>
        <w:rPr>
          <w:rFonts w:ascii="仿宋_GB2312" w:hAnsi="宋体" w:eastAsia="仿宋_GB2312"/>
          <w:b/>
          <w:bCs w:val="0"/>
          <w:sz w:val="28"/>
          <w:szCs w:val="28"/>
        </w:rPr>
      </w:pPr>
      <w:r>
        <w:rPr>
          <w:rFonts w:hint="eastAsia" w:ascii="仿宋_GB2312" w:hAnsi="宋体" w:eastAsia="仿宋_GB2312"/>
          <w:b/>
          <w:bCs w:val="0"/>
          <w:sz w:val="28"/>
          <w:szCs w:val="28"/>
        </w:rPr>
        <w:t>5抽样</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eastAsia" w:ascii="仿宋_GB2312" w:hAnsi="宋体" w:eastAsia="仿宋_GB2312" w:cs="Times New Roman"/>
          <w:b w:val="0"/>
          <w:bCs/>
          <w:sz w:val="28"/>
          <w:szCs w:val="28"/>
          <w:lang w:val="en-US" w:eastAsia="zh-CN"/>
        </w:rPr>
      </w:pPr>
      <w:r>
        <w:rPr>
          <w:rFonts w:hint="eastAsia" w:ascii="仿宋_GB2312" w:hAnsi="宋体" w:eastAsia="仿宋_GB2312" w:cs="Times New Roman"/>
          <w:b w:val="0"/>
          <w:bCs/>
          <w:sz w:val="28"/>
          <w:szCs w:val="28"/>
          <w:lang w:val="en-US" w:eastAsia="zh-CN"/>
        </w:rPr>
        <w:t>5.1抽样型号或规格</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eastAsia" w:ascii="仿宋_GB2312" w:hAnsi="宋体" w:eastAsia="仿宋_GB2312" w:cs="Times New Roman"/>
          <w:b w:val="0"/>
          <w:bCs/>
          <w:sz w:val="28"/>
          <w:szCs w:val="28"/>
          <w:lang w:val="en-US" w:eastAsia="zh-CN"/>
        </w:rPr>
      </w:pPr>
      <w:r>
        <w:rPr>
          <w:rFonts w:hint="eastAsia" w:ascii="仿宋_GB2312" w:hAnsi="宋体" w:eastAsia="仿宋_GB2312" w:cs="Times New Roman"/>
          <w:b w:val="0"/>
          <w:bCs/>
          <w:sz w:val="28"/>
          <w:szCs w:val="28"/>
          <w:lang w:val="en-US" w:eastAsia="zh-CN"/>
        </w:rPr>
        <w:t>应根据产品的销售单元（件/包）抽取同一款式、同一规格的样品的产品。</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cs="Times New Roman"/>
          <w:b w:val="0"/>
          <w:bCs/>
          <w:sz w:val="28"/>
          <w:szCs w:val="28"/>
          <w:lang w:val="en-US" w:eastAsia="zh-CN"/>
        </w:rPr>
        <w:t>5.2抽样基数、抽样数</w:t>
      </w:r>
      <w:r>
        <w:rPr>
          <w:rFonts w:hint="eastAsia" w:ascii="仿宋_GB2312" w:hAnsi="宋体" w:eastAsia="仿宋_GB2312"/>
          <w:b w:val="0"/>
          <w:bCs/>
          <w:sz w:val="28"/>
          <w:szCs w:val="28"/>
        </w:rPr>
        <w:t>量</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5.2.1 抽样地点为经销单位的销售现场、仓库。</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在企业的成品库内或市场待销产品中随机抽取有产品质量检验合格证明或者以其他形式表明合格的产品。</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5.2.2抽样基数</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抽样基数满足抽样数量即可。</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_GB2312" w:hAnsi="宋体" w:eastAsia="仿宋_GB2312"/>
          <w:b w:val="0"/>
          <w:bCs/>
          <w:sz w:val="28"/>
          <w:szCs w:val="28"/>
        </w:rPr>
        <w:t>5.2.3抽样数量</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ascii="仿宋_GB2312" w:hAnsi="宋体" w:eastAsia="仿宋_GB2312"/>
          <w:b w:val="0"/>
          <w:bCs/>
          <w:sz w:val="28"/>
          <w:szCs w:val="28"/>
        </w:rPr>
      </w:pPr>
      <w:r>
        <w:rPr>
          <w:rFonts w:hint="eastAsia" w:ascii="仿宋" w:hAnsi="仿宋" w:eastAsia="仿宋" w:cs="仿宋"/>
          <w:sz w:val="28"/>
          <w:szCs w:val="28"/>
        </w:rPr>
        <w:t>随机抽取1种具有代表性的规格型号的产品，每批次抽取</w:t>
      </w:r>
      <w:r>
        <w:rPr>
          <w:rFonts w:hint="eastAsia" w:ascii="仿宋" w:hAnsi="仿宋" w:eastAsia="仿宋" w:cs="仿宋"/>
          <w:sz w:val="28"/>
          <w:szCs w:val="28"/>
          <w:lang w:val="en-US" w:eastAsia="zh-CN"/>
        </w:rPr>
        <w:t>样品2组（8块）</w:t>
      </w:r>
      <w:r>
        <w:rPr>
          <w:rFonts w:hint="eastAsia" w:ascii="仿宋" w:hAnsi="仿宋" w:eastAsia="仿宋" w:cs="仿宋_GB2312"/>
          <w:color w:val="000000"/>
          <w:sz w:val="28"/>
          <w:szCs w:val="28"/>
        </w:rPr>
        <w:t>，</w:t>
      </w:r>
      <w:r>
        <w:rPr>
          <w:rFonts w:hint="eastAsia" w:ascii="仿宋" w:hAnsi="仿宋" w:eastAsia="仿宋" w:cs="仿宋_GB2312"/>
          <w:color w:val="000000"/>
          <w:sz w:val="28"/>
          <w:szCs w:val="28"/>
          <w:lang w:val="en-US" w:eastAsia="zh-CN"/>
        </w:rPr>
        <w:t>1组（4块）</w:t>
      </w:r>
      <w:r>
        <w:rPr>
          <w:rFonts w:hint="eastAsia" w:ascii="仿宋" w:hAnsi="仿宋" w:eastAsia="仿宋" w:cs="仿宋_GB2312"/>
          <w:color w:val="000000"/>
          <w:sz w:val="28"/>
          <w:szCs w:val="28"/>
        </w:rPr>
        <w:t>作为检验样品，</w:t>
      </w:r>
      <w:r>
        <w:rPr>
          <w:rFonts w:hint="eastAsia" w:ascii="仿宋" w:hAnsi="仿宋" w:eastAsia="仿宋" w:cs="仿宋_GB2312"/>
          <w:color w:val="000000"/>
          <w:sz w:val="28"/>
          <w:szCs w:val="28"/>
          <w:lang w:val="en-US" w:eastAsia="zh-CN"/>
        </w:rPr>
        <w:t>1组（4块）</w:t>
      </w:r>
      <w:r>
        <w:rPr>
          <w:rFonts w:hint="eastAsia" w:ascii="仿宋" w:hAnsi="仿宋" w:eastAsia="仿宋" w:cs="仿宋_GB2312"/>
          <w:color w:val="000000"/>
          <w:sz w:val="28"/>
          <w:szCs w:val="28"/>
        </w:rPr>
        <w:t>作为备用样品</w:t>
      </w:r>
      <w:r>
        <w:rPr>
          <w:rFonts w:hint="eastAsia" w:ascii="仿宋" w:hAnsi="仿宋" w:eastAsia="仿宋" w:cs="仿宋"/>
          <w:sz w:val="28"/>
          <w:szCs w:val="28"/>
        </w:rPr>
        <w:t>。</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5.3样品处置</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5.3.1 对抽取的样品，应注明“检验样品”与“备用样品”并分别封样，备份样品封存受检企业。为保证样品的真实性，要有相应的防拆封措施，并保证封条在运输过程中不会破损。抽取的样品上应标明样品编号，封条上至少有抽样日期、抽样人签字、被抽查企业代表签字及抽样单位公章等相关信息。</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5.3.2 抽取的样品应按运输条件包装好，由抽样人员通过合适的途径运送至检验地点。运输时严防雨淋、日晒、受潮。装卸时轻搬轻放，严禁掷抛。</w:t>
      </w:r>
    </w:p>
    <w:p>
      <w:pPr>
        <w:keepNext w:val="0"/>
        <w:keepLines w:val="0"/>
        <w:pageBreakBefore w:val="0"/>
        <w:kinsoku/>
        <w:wordWrap/>
        <w:overflowPunct/>
        <w:topLinePunct w:val="0"/>
        <w:bidi w:val="0"/>
        <w:adjustRightInd w:val="0"/>
        <w:snapToGrid w:val="0"/>
        <w:spacing w:line="540" w:lineRule="exact"/>
        <w:ind w:firstLine="560" w:firstLineChars="200"/>
        <w:textAlignment w:val="auto"/>
        <w:rPr>
          <w:rFonts w:ascii="仿宋_GB2312" w:hAnsi="仿宋" w:eastAsia="仿宋_GB2312" w:cs="仿宋"/>
          <w:sz w:val="28"/>
          <w:szCs w:val="28"/>
        </w:rPr>
      </w:pPr>
      <w:r>
        <w:rPr>
          <w:rFonts w:hint="eastAsia" w:ascii="仿宋_GB2312" w:hAnsi="仿宋" w:eastAsia="仿宋_GB2312" w:cs="仿宋"/>
          <w:sz w:val="28"/>
          <w:szCs w:val="28"/>
          <w:lang w:val="en-US" w:eastAsia="zh-CN"/>
        </w:rPr>
        <w:t>5</w:t>
      </w:r>
      <w:r>
        <w:rPr>
          <w:rFonts w:hint="eastAsia" w:ascii="仿宋_GB2312" w:hAnsi="仿宋" w:eastAsia="仿宋_GB2312" w:cs="仿宋"/>
          <w:sz w:val="28"/>
          <w:szCs w:val="28"/>
        </w:rPr>
        <w:t>.4抽样单</w:t>
      </w:r>
    </w:p>
    <w:p>
      <w:pPr>
        <w:keepNext w:val="0"/>
        <w:keepLines w:val="0"/>
        <w:pageBreakBefore w:val="0"/>
        <w:kinsoku/>
        <w:wordWrap/>
        <w:overflowPunct/>
        <w:topLinePunct w:val="0"/>
        <w:bidi w:val="0"/>
        <w:adjustRightInd w:val="0"/>
        <w:snapToGrid w:val="0"/>
        <w:spacing w:line="54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5.5 其他要求</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可对抽样的关键过程留下影像资料。在进入企业、取样、双方签字确认等环节时，影像资料要能清晰记录企业名称、营业执照名称、被抽样的产品、抽样状态、抽样人员和企业陪同人员等。</w:t>
      </w:r>
    </w:p>
    <w:p>
      <w:pPr>
        <w:keepNext w:val="0"/>
        <w:keepLines w:val="0"/>
        <w:pageBreakBefore w:val="0"/>
        <w:kinsoku/>
        <w:wordWrap/>
        <w:overflowPunct/>
        <w:topLinePunct w:val="0"/>
        <w:bidi w:val="0"/>
        <w:spacing w:line="540" w:lineRule="exact"/>
        <w:ind w:firstLine="548" w:firstLineChars="196"/>
        <w:contextualSpacing/>
        <w:textAlignment w:val="auto"/>
        <w:rPr>
          <w:rFonts w:ascii="仿宋_GB2312" w:hAnsi="宋体" w:eastAsia="仿宋_GB2312"/>
          <w:color w:val="000000"/>
          <w:sz w:val="28"/>
          <w:szCs w:val="28"/>
        </w:rPr>
      </w:pPr>
      <w:r>
        <w:rPr>
          <w:rFonts w:hint="eastAsia" w:ascii="仿宋_GB2312" w:hAnsi="宋体" w:eastAsia="仿宋_GB2312"/>
          <w:color w:val="000000"/>
          <w:sz w:val="28"/>
          <w:szCs w:val="28"/>
        </w:rPr>
        <w:t>5.</w:t>
      </w:r>
      <w:r>
        <w:rPr>
          <w:rFonts w:hint="eastAsia" w:ascii="仿宋_GB2312" w:hAnsi="宋体" w:eastAsia="仿宋_GB2312"/>
          <w:color w:val="000000"/>
          <w:sz w:val="28"/>
          <w:szCs w:val="28"/>
          <w:lang w:val="en-US" w:eastAsia="zh-CN"/>
        </w:rPr>
        <w:t>6</w:t>
      </w:r>
      <w:r>
        <w:rPr>
          <w:rFonts w:hint="eastAsia" w:ascii="仿宋" w:hAnsi="仿宋" w:eastAsia="仿宋" w:cs="仿宋"/>
          <w:sz w:val="28"/>
          <w:szCs w:val="28"/>
        </w:rPr>
        <w:t>样品获取方式</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5.7抽样时应注意的问题</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5.7.1应由抽样技术人员在现场进行抽取，不得由企业自行抽样。抽取的样品应当是有产品质量检验合格证明或者以其他形式表明合格的产品，其保质期应满足检验及异议处理时间要求。</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 xml:space="preserve">5.7.2抽样时，抽样人员应当认真核实营业执照、销售许可证等被抽查企业的相关信息，确认企业不存在不得抽样的情形。遇有下列情况之一且能提供有效证明的，不得抽样： </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（1）被抽查企业无监督抽查通知书或者相关文件复印件所列产品的；</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（2）有充分证据证明拟抽查的产品是不用于销售的；</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（3）产品不涉及强制性标准要求，仅按双方约定的技术要求加工生产，且未执行任何标准的；</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（4）有充分证据证明拟抽查的产品为企业用于出口，并且出口合同对产品质量另有规定的；</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（5）产品或者标签、包装、说明书标有“试制”、“处理”或者“样品”等字样的；</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（6）企业提供上级市场监管部门6个月内该种产品的监督抽查抽样单或者合格检验报告的。</w:t>
      </w:r>
    </w:p>
    <w:p>
      <w:pPr>
        <w:keepNext w:val="0"/>
        <w:keepLines w:val="0"/>
        <w:pageBreakBefore w:val="0"/>
        <w:kinsoku/>
        <w:wordWrap/>
        <w:overflowPunct/>
        <w:topLinePunct w:val="0"/>
        <w:autoSpaceDE/>
        <w:autoSpaceDN/>
        <w:bidi w:val="0"/>
        <w:adjustRightInd w:val="0"/>
        <w:snapToGrid w:val="0"/>
        <w:spacing w:line="540" w:lineRule="exact"/>
        <w:ind w:firstLine="562" w:firstLineChars="200"/>
        <w:textAlignment w:val="auto"/>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6检验要求</w:t>
      </w:r>
    </w:p>
    <w:p>
      <w:pPr>
        <w:keepNext w:val="0"/>
        <w:keepLines w:val="0"/>
        <w:pageBreakBefore w:val="0"/>
        <w:kinsoku/>
        <w:wordWrap/>
        <w:overflowPunct/>
        <w:topLinePunct w:val="0"/>
        <w:autoSpaceDE/>
        <w:autoSpaceDN/>
        <w:bidi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6.1检验项目</w:t>
      </w:r>
    </w:p>
    <w:p>
      <w:pPr>
        <w:keepNext w:val="0"/>
        <w:keepLines w:val="0"/>
        <w:pageBreakBefore w:val="0"/>
        <w:kinsoku/>
        <w:wordWrap/>
        <w:overflowPunct/>
        <w:topLinePunct w:val="0"/>
        <w:bidi w:val="0"/>
        <w:snapToGrid w:val="0"/>
        <w:spacing w:line="5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表</w:t>
      </w:r>
      <w:r>
        <w:rPr>
          <w:rFonts w:hint="eastAsia" w:ascii="仿宋" w:hAnsi="仿宋" w:eastAsia="仿宋" w:cs="仿宋"/>
          <w:sz w:val="24"/>
          <w:szCs w:val="24"/>
          <w:lang w:val="en-US" w:eastAsia="zh-CN"/>
        </w:rPr>
        <w:t>2</w:t>
      </w:r>
      <w:r>
        <w:rPr>
          <w:rFonts w:hint="eastAsia" w:ascii="仿宋" w:hAnsi="仿宋" w:eastAsia="仿宋" w:cs="仿宋"/>
          <w:sz w:val="24"/>
          <w:szCs w:val="24"/>
        </w:rPr>
        <w:t xml:space="preserve"> </w:t>
      </w:r>
      <w:r>
        <w:rPr>
          <w:rFonts w:hint="eastAsia" w:ascii="仿宋" w:hAnsi="仿宋" w:eastAsia="仿宋" w:cs="仿宋"/>
          <w:sz w:val="24"/>
          <w:szCs w:val="24"/>
          <w:lang w:eastAsia="zh-CN"/>
        </w:rPr>
        <w:t>电动助力车用阀控式铅酸蓄电池</w:t>
      </w:r>
    </w:p>
    <w:tbl>
      <w:tblPr>
        <w:tblStyle w:val="10"/>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5310"/>
        <w:gridCol w:w="3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检验项目</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蓄电池结构</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22199.1-2017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外形尺寸</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22199.2-2017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外观</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22199.1-2017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4</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2hr容量</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22199.1-2017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5</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大电流放电</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22199.1-2017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left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6</w:t>
            </w:r>
          </w:p>
        </w:tc>
        <w:tc>
          <w:tcPr>
            <w:tcW w:w="5310" w:type="dxa"/>
            <w:tcBorders>
              <w:left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能量密度</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22199.1-2017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jc w:val="center"/>
        </w:trPr>
        <w:tc>
          <w:tcPr>
            <w:tcW w:w="707" w:type="dxa"/>
            <w:tcBorders>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7</w:t>
            </w:r>
          </w:p>
        </w:tc>
        <w:tc>
          <w:tcPr>
            <w:tcW w:w="5310" w:type="dxa"/>
            <w:tcBorders>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低温容量</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22199.1-2017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8</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快速充电能力</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22199.1-2017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9</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耐振动能力</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22199.1-2017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10</w:t>
            </w:r>
          </w:p>
        </w:tc>
        <w:tc>
          <w:tcPr>
            <w:tcW w:w="531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防爆能力</w:t>
            </w:r>
          </w:p>
        </w:tc>
        <w:tc>
          <w:tcPr>
            <w:tcW w:w="3157"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GB/T 22199.1-2017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9174"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left"/>
              <w:rPr>
                <w:rFonts w:hint="eastAsia" w:ascii="仿宋" w:hAnsi="仿宋" w:eastAsia="仿宋" w:cs="仿宋"/>
                <w:sz w:val="24"/>
                <w:szCs w:val="24"/>
                <w:lang w:val="en-US" w:eastAsia="zh-CN"/>
              </w:rPr>
            </w:pPr>
            <w:r>
              <w:rPr>
                <w:rFonts w:hint="eastAsia" w:ascii="仿宋" w:hAnsi="仿宋" w:eastAsia="仿宋" w:cs="仿宋"/>
                <w:sz w:val="24"/>
                <w:szCs w:val="24"/>
              </w:rPr>
              <w:t>备注：</w:t>
            </w:r>
            <w:r>
              <w:rPr>
                <w:rFonts w:hint="eastAsia" w:ascii="仿宋" w:hAnsi="仿宋" w:eastAsia="仿宋" w:cs="仿宋"/>
                <w:bCs/>
                <w:sz w:val="24"/>
                <w:szCs w:val="24"/>
                <w:lang w:val="en-US" w:eastAsia="zh-CN"/>
              </w:rPr>
              <w:t>根据实际样品，</w:t>
            </w:r>
            <w:r>
              <w:rPr>
                <w:rFonts w:hint="eastAsia" w:ascii="仿宋" w:hAnsi="仿宋" w:eastAsia="仿宋" w:cs="仿宋"/>
                <w:bCs/>
                <w:sz w:val="24"/>
                <w:szCs w:val="24"/>
              </w:rPr>
              <w:t>仅对适用项目进行检测。</w:t>
            </w:r>
          </w:p>
        </w:tc>
      </w:tr>
    </w:tbl>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表</w:t>
      </w:r>
      <w:r>
        <w:rPr>
          <w:rFonts w:hint="eastAsia" w:ascii="仿宋" w:hAnsi="仿宋" w:eastAsia="仿宋" w:cs="仿宋"/>
          <w:sz w:val="24"/>
          <w:szCs w:val="24"/>
          <w:lang w:val="en-US" w:eastAsia="zh-CN"/>
        </w:rPr>
        <w:t>3</w:t>
      </w:r>
      <w:r>
        <w:rPr>
          <w:rFonts w:hint="eastAsia" w:ascii="仿宋" w:hAnsi="仿宋" w:eastAsia="仿宋" w:cs="仿宋"/>
          <w:sz w:val="24"/>
          <w:szCs w:val="24"/>
        </w:rPr>
        <w:t xml:space="preserve"> </w:t>
      </w:r>
      <w:r>
        <w:rPr>
          <w:rFonts w:hint="eastAsia" w:ascii="仿宋" w:hAnsi="仿宋" w:eastAsia="仿宋" w:cs="仿宋"/>
          <w:i w:val="0"/>
          <w:iCs w:val="0"/>
          <w:color w:val="000000"/>
          <w:kern w:val="0"/>
          <w:sz w:val="21"/>
          <w:szCs w:val="21"/>
          <w:u w:val="none"/>
          <w:lang w:val="en-US" w:eastAsia="zh-CN" w:bidi="ar"/>
        </w:rPr>
        <w:t>电动自行车用蓄电池</w:t>
      </w:r>
    </w:p>
    <w:tbl>
      <w:tblPr>
        <w:tblStyle w:val="10"/>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5887"/>
        <w:gridCol w:w="2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763"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5887"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检验项目</w:t>
            </w:r>
          </w:p>
        </w:tc>
        <w:tc>
          <w:tcPr>
            <w:tcW w:w="2524"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63" w:type="dxa"/>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5887"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蓄电池外观</w:t>
            </w:r>
          </w:p>
        </w:tc>
        <w:tc>
          <w:tcPr>
            <w:tcW w:w="2524"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QB/T 2947.1-2008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63" w:type="dxa"/>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5887"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蓄电池极性</w:t>
            </w:r>
          </w:p>
        </w:tc>
        <w:tc>
          <w:tcPr>
            <w:tcW w:w="2524"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QB/T 2947.1-2008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63" w:type="dxa"/>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w:t>
            </w:r>
          </w:p>
        </w:tc>
        <w:tc>
          <w:tcPr>
            <w:tcW w:w="5887"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蓄电池外形尺寸</w:t>
            </w:r>
          </w:p>
        </w:tc>
        <w:tc>
          <w:tcPr>
            <w:tcW w:w="2524"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QB/T 2947.1-2008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63" w:type="dxa"/>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4</w:t>
            </w:r>
          </w:p>
        </w:tc>
        <w:tc>
          <w:tcPr>
            <w:tcW w:w="5887"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蓄电池端子</w:t>
            </w:r>
          </w:p>
        </w:tc>
        <w:tc>
          <w:tcPr>
            <w:tcW w:w="2524"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QB/T 2947.1-2008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63" w:type="dxa"/>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5</w:t>
            </w:r>
          </w:p>
        </w:tc>
        <w:tc>
          <w:tcPr>
            <w:tcW w:w="5887"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蓄电池2h率额定容量</w:t>
            </w:r>
          </w:p>
        </w:tc>
        <w:tc>
          <w:tcPr>
            <w:tcW w:w="2524"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QB/T 2947.1-2008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63" w:type="dxa"/>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6</w:t>
            </w:r>
          </w:p>
        </w:tc>
        <w:tc>
          <w:tcPr>
            <w:tcW w:w="5887"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蓄电池低温放电容量</w:t>
            </w:r>
          </w:p>
        </w:tc>
        <w:tc>
          <w:tcPr>
            <w:tcW w:w="2524"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QB/T 2947.1-2008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63" w:type="dxa"/>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7</w:t>
            </w:r>
          </w:p>
        </w:tc>
        <w:tc>
          <w:tcPr>
            <w:tcW w:w="5887"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蓄电池过放电性能</w:t>
            </w:r>
          </w:p>
        </w:tc>
        <w:tc>
          <w:tcPr>
            <w:tcW w:w="2524"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QB/T 2947.1-2008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63" w:type="dxa"/>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8</w:t>
            </w:r>
          </w:p>
        </w:tc>
        <w:tc>
          <w:tcPr>
            <w:tcW w:w="5887"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蓄电池过充电性能</w:t>
            </w:r>
          </w:p>
        </w:tc>
        <w:tc>
          <w:tcPr>
            <w:tcW w:w="2524"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QB/T 2947.1-2008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63" w:type="dxa"/>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9</w:t>
            </w:r>
          </w:p>
        </w:tc>
        <w:tc>
          <w:tcPr>
            <w:tcW w:w="5887"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蓄电池大电流放电性能</w:t>
            </w:r>
          </w:p>
        </w:tc>
        <w:tc>
          <w:tcPr>
            <w:tcW w:w="2524"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QB/T 2947.1-2008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63" w:type="dxa"/>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10</w:t>
            </w:r>
          </w:p>
        </w:tc>
        <w:tc>
          <w:tcPr>
            <w:tcW w:w="5887"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蓄电池耐振动性能</w:t>
            </w:r>
          </w:p>
        </w:tc>
        <w:tc>
          <w:tcPr>
            <w:tcW w:w="2524"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QB/T 2947.1-2008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9174" w:type="dxa"/>
            <w:gridSpan w:val="3"/>
            <w:noWrap w:val="0"/>
            <w:vAlign w:val="center"/>
          </w:tcPr>
          <w:p>
            <w:pPr>
              <w:snapToGrid w:val="0"/>
              <w:rPr>
                <w:rFonts w:hint="eastAsia" w:ascii="仿宋" w:hAnsi="仿宋" w:eastAsia="仿宋" w:cs="仿宋"/>
                <w:sz w:val="24"/>
                <w:szCs w:val="24"/>
              </w:rPr>
            </w:pPr>
            <w:r>
              <w:rPr>
                <w:rFonts w:hint="eastAsia" w:ascii="仿宋" w:hAnsi="仿宋" w:eastAsia="仿宋" w:cs="仿宋"/>
                <w:sz w:val="24"/>
                <w:szCs w:val="24"/>
              </w:rPr>
              <w:t>备注：</w:t>
            </w:r>
            <w:r>
              <w:rPr>
                <w:rFonts w:hint="eastAsia" w:ascii="仿宋" w:hAnsi="仿宋" w:eastAsia="仿宋" w:cs="仿宋"/>
                <w:bCs/>
                <w:sz w:val="24"/>
                <w:szCs w:val="24"/>
                <w:lang w:val="en-US" w:eastAsia="zh-CN"/>
              </w:rPr>
              <w:t>根据实际样品，</w:t>
            </w:r>
            <w:r>
              <w:rPr>
                <w:rFonts w:hint="eastAsia" w:ascii="仿宋" w:hAnsi="仿宋" w:eastAsia="仿宋" w:cs="仿宋"/>
                <w:bCs/>
                <w:sz w:val="24"/>
                <w:szCs w:val="24"/>
              </w:rPr>
              <w:t>仅对适用项目进行检测。</w:t>
            </w:r>
          </w:p>
        </w:tc>
      </w:tr>
    </w:tbl>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表</w:t>
      </w:r>
      <w:r>
        <w:rPr>
          <w:rFonts w:hint="eastAsia" w:ascii="仿宋" w:hAnsi="仿宋" w:eastAsia="仿宋" w:cs="仿宋"/>
          <w:sz w:val="24"/>
          <w:szCs w:val="24"/>
          <w:lang w:val="en-US" w:eastAsia="zh-CN"/>
        </w:rPr>
        <w:t>4</w:t>
      </w:r>
      <w:r>
        <w:rPr>
          <w:rFonts w:hint="eastAsia" w:ascii="仿宋" w:hAnsi="仿宋" w:eastAsia="仿宋" w:cs="仿宋"/>
          <w:sz w:val="24"/>
          <w:szCs w:val="24"/>
        </w:rPr>
        <w:t xml:space="preserve"> </w:t>
      </w:r>
      <w:r>
        <w:rPr>
          <w:rFonts w:hint="eastAsia" w:ascii="仿宋" w:hAnsi="仿宋" w:eastAsia="仿宋" w:cs="仿宋"/>
          <w:i w:val="0"/>
          <w:iCs w:val="0"/>
          <w:color w:val="000000"/>
          <w:kern w:val="0"/>
          <w:sz w:val="21"/>
          <w:szCs w:val="21"/>
          <w:u w:val="none"/>
          <w:lang w:val="en-US" w:eastAsia="zh-CN" w:bidi="ar"/>
        </w:rPr>
        <w:t>电动自行车用阀控式铅酸蓄电池</w:t>
      </w:r>
    </w:p>
    <w:tbl>
      <w:tblPr>
        <w:tblStyle w:val="10"/>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5887"/>
        <w:gridCol w:w="2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763"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5887"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检验项目</w:t>
            </w:r>
          </w:p>
        </w:tc>
        <w:tc>
          <w:tcPr>
            <w:tcW w:w="2524"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63" w:type="dxa"/>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5887"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蓄电池结构</w:t>
            </w:r>
          </w:p>
        </w:tc>
        <w:tc>
          <w:tcPr>
            <w:tcW w:w="2524"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T/ZJXDC 001-2021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63" w:type="dxa"/>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5887"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外形尺寸</w:t>
            </w:r>
          </w:p>
        </w:tc>
        <w:tc>
          <w:tcPr>
            <w:tcW w:w="2524"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T/ZJXDC 001-2021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63" w:type="dxa"/>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w:t>
            </w:r>
          </w:p>
        </w:tc>
        <w:tc>
          <w:tcPr>
            <w:tcW w:w="5887"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外观</w:t>
            </w:r>
          </w:p>
        </w:tc>
        <w:tc>
          <w:tcPr>
            <w:tcW w:w="2524"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T/ZJXDC 001-2021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63" w:type="dxa"/>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4</w:t>
            </w:r>
          </w:p>
        </w:tc>
        <w:tc>
          <w:tcPr>
            <w:tcW w:w="5887"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2hr容量</w:t>
            </w:r>
          </w:p>
        </w:tc>
        <w:tc>
          <w:tcPr>
            <w:tcW w:w="2524"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T/ZJXDC 001-2021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63" w:type="dxa"/>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5</w:t>
            </w:r>
          </w:p>
        </w:tc>
        <w:tc>
          <w:tcPr>
            <w:tcW w:w="5887"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大电流放电</w:t>
            </w:r>
          </w:p>
        </w:tc>
        <w:tc>
          <w:tcPr>
            <w:tcW w:w="2524"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T/ZJXDC 001-2021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63" w:type="dxa"/>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6</w:t>
            </w:r>
          </w:p>
        </w:tc>
        <w:tc>
          <w:tcPr>
            <w:tcW w:w="5887"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重量比能量</w:t>
            </w:r>
          </w:p>
        </w:tc>
        <w:tc>
          <w:tcPr>
            <w:tcW w:w="2524"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T/ZJXDC 001-2021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63" w:type="dxa"/>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7</w:t>
            </w:r>
          </w:p>
        </w:tc>
        <w:tc>
          <w:tcPr>
            <w:tcW w:w="5887"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不同温度下的容量</w:t>
            </w:r>
          </w:p>
        </w:tc>
        <w:tc>
          <w:tcPr>
            <w:tcW w:w="2524"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T/ZJXDC 001-2021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63" w:type="dxa"/>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8</w:t>
            </w:r>
          </w:p>
        </w:tc>
        <w:tc>
          <w:tcPr>
            <w:tcW w:w="5887"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快速充电能力</w:t>
            </w:r>
          </w:p>
        </w:tc>
        <w:tc>
          <w:tcPr>
            <w:tcW w:w="2524"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T/ZJXDC 001-2021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63" w:type="dxa"/>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9</w:t>
            </w:r>
          </w:p>
        </w:tc>
        <w:tc>
          <w:tcPr>
            <w:tcW w:w="5887"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耐振动能力</w:t>
            </w:r>
          </w:p>
        </w:tc>
        <w:tc>
          <w:tcPr>
            <w:tcW w:w="2524"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T/ZJXDC 001-2021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63" w:type="dxa"/>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10</w:t>
            </w:r>
          </w:p>
        </w:tc>
        <w:tc>
          <w:tcPr>
            <w:tcW w:w="5887"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过充电</w:t>
            </w:r>
          </w:p>
        </w:tc>
        <w:tc>
          <w:tcPr>
            <w:tcW w:w="2524" w:type="dxa"/>
            <w:noWrap w:val="0"/>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T/ZJXDC 001-2021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9174" w:type="dxa"/>
            <w:gridSpan w:val="3"/>
            <w:noWrap w:val="0"/>
            <w:vAlign w:val="center"/>
          </w:tcPr>
          <w:p>
            <w:pPr>
              <w:snapToGrid w:val="0"/>
              <w:rPr>
                <w:rFonts w:hint="eastAsia" w:ascii="仿宋" w:hAnsi="仿宋" w:eastAsia="仿宋" w:cs="仿宋"/>
                <w:sz w:val="24"/>
                <w:szCs w:val="24"/>
              </w:rPr>
            </w:pPr>
            <w:r>
              <w:rPr>
                <w:rFonts w:hint="eastAsia" w:ascii="仿宋" w:hAnsi="仿宋" w:eastAsia="仿宋" w:cs="仿宋"/>
                <w:sz w:val="24"/>
                <w:szCs w:val="24"/>
              </w:rPr>
              <w:t>备注：</w:t>
            </w:r>
            <w:r>
              <w:rPr>
                <w:rFonts w:hint="eastAsia" w:ascii="仿宋" w:hAnsi="仿宋" w:eastAsia="仿宋" w:cs="仿宋"/>
                <w:bCs/>
                <w:sz w:val="24"/>
                <w:szCs w:val="24"/>
                <w:lang w:val="en-US" w:eastAsia="zh-CN"/>
              </w:rPr>
              <w:t>根据实际样品，</w:t>
            </w:r>
            <w:r>
              <w:rPr>
                <w:rFonts w:hint="eastAsia" w:ascii="仿宋" w:hAnsi="仿宋" w:eastAsia="仿宋" w:cs="仿宋"/>
                <w:bCs/>
                <w:sz w:val="24"/>
                <w:szCs w:val="24"/>
              </w:rPr>
              <w:t>仅对适用项目进行检测。</w:t>
            </w:r>
          </w:p>
        </w:tc>
      </w:tr>
    </w:tbl>
    <w:p>
      <w:pPr>
        <w:keepNext w:val="0"/>
        <w:keepLines w:val="0"/>
        <w:pageBreakBefore w:val="0"/>
        <w:kinsoku/>
        <w:wordWrap/>
        <w:overflowPunct/>
        <w:topLinePunct w:val="0"/>
        <w:autoSpaceDE/>
        <w:autoSpaceDN/>
        <w:bidi w:val="0"/>
        <w:adjustRightInd w:val="0"/>
        <w:spacing w:line="594" w:lineRule="exact"/>
        <w:ind w:firstLine="560" w:firstLineChars="200"/>
        <w:textAlignment w:val="auto"/>
        <w:rPr>
          <w:rFonts w:hint="eastAsia" w:ascii="仿宋_GB2312" w:hAnsi="仿宋_GB2312" w:eastAsia="仿宋_GB2312" w:cs="仿宋_GB2312"/>
          <w:b w:val="0"/>
          <w:bCs/>
          <w:color w:val="000000"/>
          <w:sz w:val="28"/>
          <w:szCs w:val="28"/>
        </w:rPr>
      </w:pPr>
    </w:p>
    <w:p>
      <w:pPr>
        <w:keepNext w:val="0"/>
        <w:keepLines w:val="0"/>
        <w:pageBreakBefore w:val="0"/>
        <w:kinsoku/>
        <w:wordWrap/>
        <w:overflowPunct/>
        <w:topLinePunct w:val="0"/>
        <w:autoSpaceDE/>
        <w:autoSpaceDN/>
        <w:bidi w:val="0"/>
        <w:adjustRightInd w:val="0"/>
        <w:spacing w:line="540" w:lineRule="exact"/>
        <w:ind w:firstLine="560" w:firstLineChars="200"/>
        <w:textAlignment w:val="auto"/>
        <w:rPr>
          <w:rFonts w:hint="eastAsia" w:ascii="仿宋_GB2312" w:hAnsi="仿宋_GB2312" w:eastAsia="仿宋_GB2312" w:cs="仿宋_GB2312"/>
          <w:b w:val="0"/>
          <w:bCs/>
          <w:color w:val="000000"/>
          <w:sz w:val="28"/>
          <w:szCs w:val="28"/>
        </w:rPr>
      </w:pPr>
      <w:r>
        <w:rPr>
          <w:rFonts w:hint="eastAsia" w:ascii="仿宋_GB2312" w:hAnsi="仿宋_GB2312" w:eastAsia="仿宋_GB2312" w:cs="仿宋_GB2312"/>
          <w:b w:val="0"/>
          <w:bCs/>
          <w:color w:val="000000"/>
          <w:sz w:val="28"/>
          <w:szCs w:val="28"/>
        </w:rPr>
        <w:t>注：执行企业标准、团体标准、地方标准的产品，检验项目参照上述内容执行。</w:t>
      </w:r>
    </w:p>
    <w:p>
      <w:pPr>
        <w:keepNext w:val="0"/>
        <w:keepLines w:val="0"/>
        <w:pageBreakBefore w:val="0"/>
        <w:widowControl/>
        <w:kinsoku/>
        <w:wordWrap/>
        <w:overflowPunct/>
        <w:topLinePunct w:val="0"/>
        <w:autoSpaceDE/>
        <w:autoSpaceDN/>
        <w:bidi w:val="0"/>
        <w:spacing w:line="540" w:lineRule="exact"/>
        <w:ind w:firstLine="560" w:firstLineChars="200"/>
        <w:jc w:val="left"/>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凡是注日期的文件，其随后所有的修改单（不包括勘误的内容）或修订版不适用于本细则。凡是不注日期的文件，其最新版本适用于本细则。</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6.2检验应注意的问题</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若被检产品明示的质量要求高于本细则中检验项目依据的标准要求时，应按被检产品明示的质量要求判定。</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hAnsi="仿宋_GB2312" w:eastAsia="仿宋_GB2312" w:cs="仿宋_GB2312"/>
          <w:b w:val="0"/>
          <w:bCs/>
          <w:sz w:val="28"/>
          <w:szCs w:val="28"/>
        </w:rPr>
        <w:t>若被检产品明示的质量要求低</w:t>
      </w:r>
      <w:r>
        <w:rPr>
          <w:rFonts w:hint="eastAsia" w:ascii="仿宋_GB2312" w:eastAsia="仿宋_GB2312"/>
          <w:b w:val="0"/>
          <w:bCs/>
          <w:sz w:val="28"/>
          <w:szCs w:val="28"/>
        </w:rPr>
        <w:t>于本细则中检验项目依据的强制性标准要求时，应按照强制性标准要求判定。</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若被检产品明示的质量要求低于或包含本细则中检验项目依据的推荐性标准要求时，应以被检产品明示的质量要求判定。</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若被检产品明示的质量要求缺少本细则中检验项目依据的强制性标准要求时，应按照强制性标准要求判定。</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若被检产品明示的质量要求缺少本细则中检验项目依据的推荐性标准要求时，该项目不参与判定，但应在检验报告备注中进行说明。</w:t>
      </w:r>
    </w:p>
    <w:p>
      <w:pPr>
        <w:keepNext w:val="0"/>
        <w:keepLines w:val="0"/>
        <w:pageBreakBefore w:val="0"/>
        <w:kinsoku/>
        <w:wordWrap/>
        <w:overflowPunct/>
        <w:topLinePunct w:val="0"/>
        <w:autoSpaceDE/>
        <w:autoSpaceDN/>
        <w:bidi w:val="0"/>
        <w:adjustRightInd w:val="0"/>
        <w:snapToGrid w:val="0"/>
        <w:spacing w:line="540" w:lineRule="exact"/>
        <w:ind w:firstLine="562" w:firstLineChars="200"/>
        <w:textAlignment w:val="auto"/>
        <w:rPr>
          <w:rFonts w:ascii="仿宋_GB2312" w:eastAsia="仿宋_GB2312"/>
          <w:b/>
          <w:bCs w:val="0"/>
          <w:sz w:val="28"/>
          <w:szCs w:val="28"/>
        </w:rPr>
      </w:pPr>
      <w:r>
        <w:rPr>
          <w:rFonts w:hint="eastAsia" w:ascii="仿宋_GB2312" w:eastAsia="仿宋_GB2312"/>
          <w:b/>
          <w:bCs w:val="0"/>
          <w:sz w:val="28"/>
          <w:szCs w:val="28"/>
        </w:rPr>
        <w:t>7判定原则</w:t>
      </w:r>
    </w:p>
    <w:p>
      <w:pPr>
        <w:keepNext w:val="0"/>
        <w:keepLines w:val="0"/>
        <w:pageBreakBefore w:val="0"/>
        <w:kinsoku/>
        <w:wordWrap/>
        <w:overflowPunct/>
        <w:topLinePunct w:val="0"/>
        <w:autoSpaceDE/>
        <w:autoSpaceDN/>
        <w:bidi w:val="0"/>
        <w:spacing w:line="540" w:lineRule="exact"/>
        <w:ind w:firstLine="560" w:firstLineChars="200"/>
        <w:textAlignment w:val="auto"/>
        <w:rPr>
          <w:rFonts w:ascii="仿宋" w:hAnsi="仿宋" w:eastAsia="仿宋"/>
          <w:b w:val="0"/>
          <w:bCs/>
          <w:sz w:val="28"/>
          <w:szCs w:val="28"/>
        </w:rPr>
      </w:pPr>
      <w:r>
        <w:rPr>
          <w:rFonts w:hint="eastAsia" w:ascii="仿宋" w:hAnsi="仿宋" w:eastAsia="仿宋"/>
          <w:b w:val="0"/>
          <w:bCs/>
          <w:sz w:val="28"/>
          <w:szCs w:val="28"/>
        </w:rPr>
        <w:t>经检验，检验项目全部合格，判定为被抽查产品所检项目未发现不合格；检验项目中任一项或一项以上不合格，判定为被抽查产品不合格。</w:t>
      </w:r>
    </w:p>
    <w:p>
      <w:pPr>
        <w:keepNext w:val="0"/>
        <w:keepLines w:val="0"/>
        <w:pageBreakBefore w:val="0"/>
        <w:kinsoku/>
        <w:wordWrap/>
        <w:overflowPunct/>
        <w:topLinePunct w:val="0"/>
        <w:autoSpaceDE/>
        <w:autoSpaceDN/>
        <w:bidi w:val="0"/>
        <w:adjustRightInd w:val="0"/>
        <w:snapToGrid w:val="0"/>
        <w:spacing w:line="540" w:lineRule="exact"/>
        <w:ind w:firstLine="562" w:firstLineChars="200"/>
        <w:textAlignment w:val="auto"/>
        <w:rPr>
          <w:rFonts w:ascii="仿宋_GB2312" w:eastAsia="仿宋_GB2312"/>
          <w:b/>
          <w:bCs w:val="0"/>
          <w:sz w:val="28"/>
          <w:szCs w:val="28"/>
        </w:rPr>
      </w:pPr>
      <w:r>
        <w:rPr>
          <w:rFonts w:hint="eastAsia" w:ascii="仿宋_GB2312" w:eastAsia="仿宋_GB2312"/>
          <w:b/>
          <w:bCs w:val="0"/>
          <w:sz w:val="28"/>
          <w:szCs w:val="28"/>
        </w:rPr>
        <w:t>8异议处理</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对被判定为不合格企业进行异议处理时，按以下方式进行：</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b w:val="0"/>
          <w:bCs/>
          <w:sz w:val="28"/>
          <w:szCs w:val="28"/>
        </w:rPr>
      </w:pPr>
      <w:r>
        <w:rPr>
          <w:rFonts w:hint="eastAsia" w:ascii="仿宋_GB2312" w:eastAsia="仿宋_GB2312"/>
          <w:b w:val="0"/>
          <w:bCs/>
          <w:sz w:val="28"/>
          <w:szCs w:val="28"/>
        </w:rPr>
        <w:t>8.1核查不合格项目相关证据，能够以记录（纸质记录或电子记录或影像记录）或与不合格项目相关联的其它质量数据等检验证据证明。</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eastAsia="仿宋_GB2312"/>
          <w:b w:val="0"/>
          <w:bCs/>
          <w:sz w:val="28"/>
          <w:szCs w:val="28"/>
        </w:rPr>
      </w:pPr>
      <w:r>
        <w:rPr>
          <w:rFonts w:hint="eastAsia" w:ascii="仿宋_GB2312" w:eastAsia="仿宋_GB2312"/>
          <w:b w:val="0"/>
          <w:bCs/>
          <w:sz w:val="28"/>
          <w:szCs w:val="28"/>
        </w:rPr>
        <w:t>8.2对需要复检并具备检验条件的，处理企业异议的市场监督管理部门或者指定检验机构应当按原监督抽查细则对留存的样品或抽取的备用样品组织复检，并出具检验报告。复检结论为最终结论。</w:t>
      </w:r>
    </w:p>
    <w:p>
      <w:pPr>
        <w:pStyle w:val="3"/>
        <w:keepNext w:val="0"/>
        <w:keepLines w:val="0"/>
        <w:pageBreakBefore w:val="0"/>
        <w:widowControl w:val="0"/>
        <w:kinsoku/>
        <w:wordWrap/>
        <w:overflowPunct/>
        <w:topLinePunct w:val="0"/>
        <w:autoSpaceDE/>
        <w:autoSpaceDN/>
        <w:bidi w:val="0"/>
        <w:adjustRightInd w:val="0"/>
        <w:snapToGrid w:val="0"/>
        <w:spacing w:line="540" w:lineRule="exact"/>
        <w:ind w:firstLine="420"/>
        <w:textAlignment w:val="auto"/>
        <w:rPr>
          <w:rFonts w:hint="eastAsia" w:ascii="仿宋" w:hAnsi="仿宋" w:eastAsia="仿宋" w:cs="仿宋"/>
          <w:b/>
          <w:bCs/>
          <w:sz w:val="28"/>
          <w:szCs w:val="28"/>
        </w:rPr>
      </w:pPr>
      <w:r>
        <w:rPr>
          <w:rFonts w:hint="eastAsia" w:ascii="仿宋" w:hAnsi="仿宋" w:eastAsia="仿宋" w:cs="仿宋"/>
          <w:b/>
          <w:bCs/>
          <w:sz w:val="28"/>
          <w:szCs w:val="28"/>
          <w:lang w:val="en-US" w:eastAsia="zh-CN"/>
        </w:rPr>
        <w:t>9</w:t>
      </w:r>
      <w:r>
        <w:rPr>
          <w:rFonts w:hint="eastAsia" w:ascii="仿宋" w:hAnsi="仿宋" w:eastAsia="仿宋" w:cs="仿宋"/>
          <w:b/>
          <w:bCs/>
          <w:sz w:val="28"/>
          <w:szCs w:val="28"/>
        </w:rPr>
        <w:t xml:space="preserve"> 检验后的样品处置</w:t>
      </w:r>
    </w:p>
    <w:p>
      <w:pPr>
        <w:pStyle w:val="3"/>
        <w:keepNext w:val="0"/>
        <w:keepLines w:val="0"/>
        <w:pageBreakBefore w:val="0"/>
        <w:widowControl w:val="0"/>
        <w:kinsoku/>
        <w:wordWrap/>
        <w:overflowPunct/>
        <w:topLinePunct w:val="0"/>
        <w:autoSpaceDE/>
        <w:autoSpaceDN/>
        <w:bidi w:val="0"/>
        <w:adjustRightInd w:val="0"/>
        <w:snapToGrid w:val="0"/>
        <w:spacing w:line="540" w:lineRule="exact"/>
        <w:ind w:firstLine="42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9</w:t>
      </w:r>
      <w:r>
        <w:rPr>
          <w:rFonts w:hint="eastAsia" w:ascii="仿宋" w:hAnsi="仿宋" w:eastAsia="仿宋" w:cs="仿宋"/>
          <w:sz w:val="28"/>
          <w:szCs w:val="28"/>
        </w:rPr>
        <w:t>.1经检验并综合判定为合格的样品，异议期满后，由承检单位将样品直接做弃置处理；</w:t>
      </w:r>
    </w:p>
    <w:p>
      <w:pPr>
        <w:pStyle w:val="3"/>
        <w:keepNext w:val="0"/>
        <w:keepLines w:val="0"/>
        <w:pageBreakBefore w:val="0"/>
        <w:widowControl w:val="0"/>
        <w:kinsoku/>
        <w:wordWrap/>
        <w:overflowPunct/>
        <w:topLinePunct w:val="0"/>
        <w:autoSpaceDE/>
        <w:autoSpaceDN/>
        <w:bidi w:val="0"/>
        <w:adjustRightInd w:val="0"/>
        <w:snapToGrid w:val="0"/>
        <w:spacing w:line="540" w:lineRule="exact"/>
        <w:ind w:firstLine="42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9</w:t>
      </w:r>
      <w:r>
        <w:rPr>
          <w:rFonts w:hint="eastAsia" w:ascii="仿宋" w:hAnsi="仿宋" w:eastAsia="仿宋" w:cs="仿宋"/>
          <w:sz w:val="28"/>
          <w:szCs w:val="28"/>
        </w:rPr>
        <w:t>.2经检验并综合判定为不合格的样品，异议期满3个月后，由承检单位将样品做弃置处理；</w:t>
      </w:r>
    </w:p>
    <w:p>
      <w:pPr>
        <w:keepNext w:val="0"/>
        <w:keepLines w:val="0"/>
        <w:pageBreakBefore w:val="0"/>
        <w:kinsoku/>
        <w:wordWrap/>
        <w:overflowPunct/>
        <w:autoSpaceDE/>
        <w:autoSpaceDN/>
        <w:bidi w:val="0"/>
        <w:adjustRightInd w:val="0"/>
        <w:snapToGrid w:val="0"/>
        <w:spacing w:line="540" w:lineRule="exact"/>
        <w:ind w:firstLine="551" w:firstLineChars="196"/>
        <w:textAlignment w:val="auto"/>
        <w:rPr>
          <w:rFonts w:hint="eastAsia" w:ascii="仿宋_GB2312" w:eastAsia="仿宋_GB2312"/>
          <w:b/>
          <w:bCs w:val="0"/>
          <w:sz w:val="28"/>
          <w:szCs w:val="28"/>
        </w:rPr>
      </w:pPr>
      <w:r>
        <w:rPr>
          <w:rFonts w:hint="eastAsia" w:ascii="仿宋_GB2312" w:eastAsia="仿宋_GB2312"/>
          <w:b/>
          <w:bCs w:val="0"/>
          <w:sz w:val="28"/>
          <w:szCs w:val="28"/>
          <w:lang w:val="en-US" w:eastAsia="zh-CN"/>
        </w:rPr>
        <w:t>10</w:t>
      </w:r>
      <w:r>
        <w:rPr>
          <w:rFonts w:hint="eastAsia" w:ascii="仿宋_GB2312" w:eastAsia="仿宋_GB2312"/>
          <w:b/>
          <w:bCs w:val="0"/>
          <w:sz w:val="28"/>
          <w:szCs w:val="28"/>
        </w:rPr>
        <w:t xml:space="preserve"> 附则</w:t>
      </w:r>
    </w:p>
    <w:p>
      <w:pPr>
        <w:keepNext w:val="0"/>
        <w:keepLines w:val="0"/>
        <w:pageBreakBefore w:val="0"/>
        <w:kinsoku/>
        <w:wordWrap/>
        <w:overflowPunct/>
        <w:autoSpaceDE/>
        <w:autoSpaceDN/>
        <w:bidi w:val="0"/>
        <w:adjustRightInd w:val="0"/>
        <w:snapToGrid w:val="0"/>
        <w:spacing w:line="540" w:lineRule="exact"/>
        <w:ind w:firstLine="548" w:firstLineChars="196"/>
        <w:textAlignment w:val="auto"/>
        <w:rPr>
          <w:rFonts w:hint="eastAsia" w:ascii="仿宋" w:hAnsi="仿宋" w:eastAsia="仿宋"/>
          <w:sz w:val="28"/>
          <w:szCs w:val="28"/>
          <w:lang w:eastAsia="zh-CN"/>
        </w:rPr>
      </w:pPr>
      <w:r>
        <w:rPr>
          <w:rFonts w:hint="eastAsia" w:ascii="仿宋" w:hAnsi="仿宋" w:eastAsia="仿宋"/>
          <w:sz w:val="28"/>
          <w:szCs w:val="28"/>
        </w:rPr>
        <w:t>本细则编写单位:</w:t>
      </w:r>
      <w:r>
        <w:rPr>
          <w:rFonts w:hint="eastAsia" w:ascii="仿宋" w:hAnsi="仿宋" w:eastAsia="仿宋"/>
          <w:sz w:val="28"/>
          <w:szCs w:val="28"/>
          <w:lang w:eastAsia="zh-CN"/>
        </w:rPr>
        <w:t>山东腾翔产品质量检测有限公司。</w:t>
      </w:r>
    </w:p>
    <w:p>
      <w:pPr>
        <w:keepNext w:val="0"/>
        <w:keepLines w:val="0"/>
        <w:pageBreakBefore w:val="0"/>
        <w:kinsoku/>
        <w:wordWrap/>
        <w:overflowPunct/>
        <w:autoSpaceDE/>
        <w:autoSpaceDN/>
        <w:bidi w:val="0"/>
        <w:adjustRightInd w:val="0"/>
        <w:snapToGrid w:val="0"/>
        <w:spacing w:line="540" w:lineRule="exact"/>
        <w:ind w:firstLine="411" w:firstLineChars="196"/>
        <w:textAlignment w:val="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汉鼎简书宋二">
    <w:altName w:val="微软雅黑"/>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6"/>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  \* MERGEFORMAT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8</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lang w:val="en-US" w:eastAsia="zh-CN"/>
                            </w:rPr>
                            <w:t>-</w:t>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s0lY7tAAAAAFAQAADwAAAAAAAAABACAAAAAiAAAAZHJz&#10;L2Rvd25yZXYueG1sUEsBAhQAFAAAAAgAh07iQPWfuI3TAQAApQMAAA4AAAAAAAAAAQAgAAAAHwEA&#10;AGRycy9lMm9Eb2MueG1sUEsFBgAAAAAGAAYAWQEAAGQFAAAAAA==&#10;">
              <v:fill on="f" focussize="0,0"/>
              <v:stroke on="f" weight="0.5pt"/>
              <v:imagedata o:title=""/>
              <o:lock v:ext="edit" aspectratio="f"/>
              <v:textbox inset="0mm,0mm,0mm,0mm" style="mso-fit-shape-to-text:t;">
                <w:txbxContent>
                  <w:p>
                    <w:pPr>
                      <w:pStyle w:val="6"/>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  \* MERGEFORMAT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8</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lang w:val="en-US"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1M2FhZjFkMGNjZGM3MTA2OTc3MmM3NTMzZTdmNTYifQ=="/>
  </w:docVars>
  <w:rsids>
    <w:rsidRoot w:val="00B32679"/>
    <w:rsid w:val="00014F35"/>
    <w:rsid w:val="000204C4"/>
    <w:rsid w:val="00053EFC"/>
    <w:rsid w:val="000623B5"/>
    <w:rsid w:val="000930C6"/>
    <w:rsid w:val="000A351D"/>
    <w:rsid w:val="000A7648"/>
    <w:rsid w:val="000B3572"/>
    <w:rsid w:val="000C2479"/>
    <w:rsid w:val="000C40CF"/>
    <w:rsid w:val="000E4826"/>
    <w:rsid w:val="000F79E9"/>
    <w:rsid w:val="000F7DB4"/>
    <w:rsid w:val="00107ABE"/>
    <w:rsid w:val="001300B3"/>
    <w:rsid w:val="00130529"/>
    <w:rsid w:val="00141995"/>
    <w:rsid w:val="00190AE8"/>
    <w:rsid w:val="001A2372"/>
    <w:rsid w:val="001B2038"/>
    <w:rsid w:val="001B6E21"/>
    <w:rsid w:val="001C3E50"/>
    <w:rsid w:val="001C6932"/>
    <w:rsid w:val="001D4CF7"/>
    <w:rsid w:val="001F0EEF"/>
    <w:rsid w:val="001F1C54"/>
    <w:rsid w:val="001F445B"/>
    <w:rsid w:val="0022414B"/>
    <w:rsid w:val="002776F4"/>
    <w:rsid w:val="002B49FB"/>
    <w:rsid w:val="002B783E"/>
    <w:rsid w:val="002C5FF7"/>
    <w:rsid w:val="002E70FD"/>
    <w:rsid w:val="003076DF"/>
    <w:rsid w:val="00341A24"/>
    <w:rsid w:val="00345DF4"/>
    <w:rsid w:val="003626D0"/>
    <w:rsid w:val="00373FB4"/>
    <w:rsid w:val="0037771F"/>
    <w:rsid w:val="003812B8"/>
    <w:rsid w:val="00387151"/>
    <w:rsid w:val="003901CA"/>
    <w:rsid w:val="00396E4A"/>
    <w:rsid w:val="00397AD9"/>
    <w:rsid w:val="003A5FDA"/>
    <w:rsid w:val="003A773D"/>
    <w:rsid w:val="003B64F6"/>
    <w:rsid w:val="003C2030"/>
    <w:rsid w:val="003E16CE"/>
    <w:rsid w:val="003F6E0B"/>
    <w:rsid w:val="0040620C"/>
    <w:rsid w:val="00413A29"/>
    <w:rsid w:val="0041721D"/>
    <w:rsid w:val="00422D25"/>
    <w:rsid w:val="00431DF0"/>
    <w:rsid w:val="00435B96"/>
    <w:rsid w:val="0048725B"/>
    <w:rsid w:val="004A1DC4"/>
    <w:rsid w:val="004B2B2F"/>
    <w:rsid w:val="004C6996"/>
    <w:rsid w:val="004D363B"/>
    <w:rsid w:val="004D44F2"/>
    <w:rsid w:val="004E0A2B"/>
    <w:rsid w:val="004E712A"/>
    <w:rsid w:val="00500F8C"/>
    <w:rsid w:val="005017AC"/>
    <w:rsid w:val="00503F59"/>
    <w:rsid w:val="00517D56"/>
    <w:rsid w:val="00522D22"/>
    <w:rsid w:val="00553230"/>
    <w:rsid w:val="0055450C"/>
    <w:rsid w:val="00561759"/>
    <w:rsid w:val="00572132"/>
    <w:rsid w:val="00591CFA"/>
    <w:rsid w:val="005B7298"/>
    <w:rsid w:val="005D21DE"/>
    <w:rsid w:val="00601AE5"/>
    <w:rsid w:val="00602822"/>
    <w:rsid w:val="006109C5"/>
    <w:rsid w:val="00615BE3"/>
    <w:rsid w:val="00625BB8"/>
    <w:rsid w:val="00642116"/>
    <w:rsid w:val="0064672C"/>
    <w:rsid w:val="006559F3"/>
    <w:rsid w:val="0067546D"/>
    <w:rsid w:val="00676455"/>
    <w:rsid w:val="00694E7B"/>
    <w:rsid w:val="006C6901"/>
    <w:rsid w:val="006D44E0"/>
    <w:rsid w:val="006D67D2"/>
    <w:rsid w:val="006E0EB3"/>
    <w:rsid w:val="006E1E5B"/>
    <w:rsid w:val="006E49E5"/>
    <w:rsid w:val="007024A4"/>
    <w:rsid w:val="0071325A"/>
    <w:rsid w:val="00725A28"/>
    <w:rsid w:val="007425B8"/>
    <w:rsid w:val="00780717"/>
    <w:rsid w:val="00784475"/>
    <w:rsid w:val="007920FB"/>
    <w:rsid w:val="007E4C69"/>
    <w:rsid w:val="008104DD"/>
    <w:rsid w:val="0083253B"/>
    <w:rsid w:val="0083269E"/>
    <w:rsid w:val="00862CA8"/>
    <w:rsid w:val="008741C9"/>
    <w:rsid w:val="0088460E"/>
    <w:rsid w:val="00885EF2"/>
    <w:rsid w:val="008B11B2"/>
    <w:rsid w:val="008B29A9"/>
    <w:rsid w:val="008C6985"/>
    <w:rsid w:val="008E0113"/>
    <w:rsid w:val="008F21F5"/>
    <w:rsid w:val="00901130"/>
    <w:rsid w:val="00904983"/>
    <w:rsid w:val="00907571"/>
    <w:rsid w:val="00937EF3"/>
    <w:rsid w:val="009467CA"/>
    <w:rsid w:val="009521C2"/>
    <w:rsid w:val="00972358"/>
    <w:rsid w:val="009741E2"/>
    <w:rsid w:val="00985542"/>
    <w:rsid w:val="00995C8C"/>
    <w:rsid w:val="009B19BD"/>
    <w:rsid w:val="009B65CD"/>
    <w:rsid w:val="009C070A"/>
    <w:rsid w:val="009D01CC"/>
    <w:rsid w:val="009D4E50"/>
    <w:rsid w:val="009E62D6"/>
    <w:rsid w:val="00A66407"/>
    <w:rsid w:val="00AA1224"/>
    <w:rsid w:val="00AE3359"/>
    <w:rsid w:val="00AE459E"/>
    <w:rsid w:val="00AE7967"/>
    <w:rsid w:val="00B03A40"/>
    <w:rsid w:val="00B043A5"/>
    <w:rsid w:val="00B20DCF"/>
    <w:rsid w:val="00B32679"/>
    <w:rsid w:val="00B652A4"/>
    <w:rsid w:val="00B70C44"/>
    <w:rsid w:val="00B71B29"/>
    <w:rsid w:val="00B738C7"/>
    <w:rsid w:val="00B813C6"/>
    <w:rsid w:val="00B864DB"/>
    <w:rsid w:val="00BB3727"/>
    <w:rsid w:val="00BB6052"/>
    <w:rsid w:val="00BB6915"/>
    <w:rsid w:val="00BC253B"/>
    <w:rsid w:val="00BC5EBE"/>
    <w:rsid w:val="00C00962"/>
    <w:rsid w:val="00C023B0"/>
    <w:rsid w:val="00C46ADC"/>
    <w:rsid w:val="00C50DD1"/>
    <w:rsid w:val="00C80094"/>
    <w:rsid w:val="00CD27A7"/>
    <w:rsid w:val="00CE33AA"/>
    <w:rsid w:val="00D21591"/>
    <w:rsid w:val="00D5315E"/>
    <w:rsid w:val="00D71625"/>
    <w:rsid w:val="00DB17A3"/>
    <w:rsid w:val="00DB51A6"/>
    <w:rsid w:val="00DE33FC"/>
    <w:rsid w:val="00DE770D"/>
    <w:rsid w:val="00E0683A"/>
    <w:rsid w:val="00E11DB4"/>
    <w:rsid w:val="00E24F62"/>
    <w:rsid w:val="00E25CB8"/>
    <w:rsid w:val="00E4383B"/>
    <w:rsid w:val="00E515A2"/>
    <w:rsid w:val="00E57036"/>
    <w:rsid w:val="00E67A5D"/>
    <w:rsid w:val="00E84E68"/>
    <w:rsid w:val="00EC0A1C"/>
    <w:rsid w:val="00EC5562"/>
    <w:rsid w:val="00EC710E"/>
    <w:rsid w:val="00ED32BF"/>
    <w:rsid w:val="00EE637B"/>
    <w:rsid w:val="00EF7449"/>
    <w:rsid w:val="00F04F3B"/>
    <w:rsid w:val="00F15A10"/>
    <w:rsid w:val="00F15D77"/>
    <w:rsid w:val="00F33E4B"/>
    <w:rsid w:val="00F35E82"/>
    <w:rsid w:val="00F363AD"/>
    <w:rsid w:val="00F54A74"/>
    <w:rsid w:val="00F6554B"/>
    <w:rsid w:val="00F67C53"/>
    <w:rsid w:val="00F7631B"/>
    <w:rsid w:val="00FA62AA"/>
    <w:rsid w:val="00FB0D1C"/>
    <w:rsid w:val="00FD54CF"/>
    <w:rsid w:val="00FE3786"/>
    <w:rsid w:val="00FE3932"/>
    <w:rsid w:val="00FE3F0A"/>
    <w:rsid w:val="03517CE2"/>
    <w:rsid w:val="05B44A21"/>
    <w:rsid w:val="075E3062"/>
    <w:rsid w:val="07CB0C1A"/>
    <w:rsid w:val="07D7366F"/>
    <w:rsid w:val="08132D86"/>
    <w:rsid w:val="097C36F0"/>
    <w:rsid w:val="09894759"/>
    <w:rsid w:val="0990088F"/>
    <w:rsid w:val="0C1C096A"/>
    <w:rsid w:val="0C6A3CCE"/>
    <w:rsid w:val="0E17512C"/>
    <w:rsid w:val="0FB858AB"/>
    <w:rsid w:val="1097754E"/>
    <w:rsid w:val="11577BBD"/>
    <w:rsid w:val="132445E9"/>
    <w:rsid w:val="166C2330"/>
    <w:rsid w:val="16965343"/>
    <w:rsid w:val="16CE7D16"/>
    <w:rsid w:val="179E61C8"/>
    <w:rsid w:val="182F0E23"/>
    <w:rsid w:val="192B23F6"/>
    <w:rsid w:val="1C9066D1"/>
    <w:rsid w:val="1E107000"/>
    <w:rsid w:val="1E2F09B4"/>
    <w:rsid w:val="1FC35BBF"/>
    <w:rsid w:val="21056678"/>
    <w:rsid w:val="21CB6968"/>
    <w:rsid w:val="22744381"/>
    <w:rsid w:val="24A22A81"/>
    <w:rsid w:val="255337AE"/>
    <w:rsid w:val="258B60F4"/>
    <w:rsid w:val="26343F9F"/>
    <w:rsid w:val="2C3A277A"/>
    <w:rsid w:val="2D825A2F"/>
    <w:rsid w:val="2ED84802"/>
    <w:rsid w:val="2F95332F"/>
    <w:rsid w:val="31B062AC"/>
    <w:rsid w:val="34125EC4"/>
    <w:rsid w:val="36AB6D68"/>
    <w:rsid w:val="373F3B68"/>
    <w:rsid w:val="390A3219"/>
    <w:rsid w:val="3947634D"/>
    <w:rsid w:val="39D241A6"/>
    <w:rsid w:val="3A6F0931"/>
    <w:rsid w:val="3B0C5CFD"/>
    <w:rsid w:val="3BA40D5C"/>
    <w:rsid w:val="426D07BC"/>
    <w:rsid w:val="45AB4389"/>
    <w:rsid w:val="469E1CE6"/>
    <w:rsid w:val="48856A98"/>
    <w:rsid w:val="488E6CFB"/>
    <w:rsid w:val="489D613D"/>
    <w:rsid w:val="48DA2CCE"/>
    <w:rsid w:val="49313F1A"/>
    <w:rsid w:val="4A1949A7"/>
    <w:rsid w:val="4A510B43"/>
    <w:rsid w:val="4BA845EA"/>
    <w:rsid w:val="4C91318F"/>
    <w:rsid w:val="4DD12E39"/>
    <w:rsid w:val="4DDF5B1E"/>
    <w:rsid w:val="4E4F092E"/>
    <w:rsid w:val="4FC113B8"/>
    <w:rsid w:val="522C6261"/>
    <w:rsid w:val="527B11B4"/>
    <w:rsid w:val="53513FD9"/>
    <w:rsid w:val="56063FC8"/>
    <w:rsid w:val="56667F7D"/>
    <w:rsid w:val="56DA7A7A"/>
    <w:rsid w:val="57BD6C6D"/>
    <w:rsid w:val="58226BF3"/>
    <w:rsid w:val="58E633BB"/>
    <w:rsid w:val="595C3210"/>
    <w:rsid w:val="5A110E67"/>
    <w:rsid w:val="5C20251D"/>
    <w:rsid w:val="5E026D1F"/>
    <w:rsid w:val="5FE645AE"/>
    <w:rsid w:val="637E23BD"/>
    <w:rsid w:val="64825983"/>
    <w:rsid w:val="65FF076F"/>
    <w:rsid w:val="66987670"/>
    <w:rsid w:val="68F83B72"/>
    <w:rsid w:val="69F3281F"/>
    <w:rsid w:val="6A945404"/>
    <w:rsid w:val="6AEE3FA2"/>
    <w:rsid w:val="6B4B09EA"/>
    <w:rsid w:val="6B58188D"/>
    <w:rsid w:val="6CAA0972"/>
    <w:rsid w:val="6DF418E6"/>
    <w:rsid w:val="6E0F2752"/>
    <w:rsid w:val="6E8D66BB"/>
    <w:rsid w:val="702F75A2"/>
    <w:rsid w:val="722F294B"/>
    <w:rsid w:val="72DC238B"/>
    <w:rsid w:val="75FEF899"/>
    <w:rsid w:val="77BA1CD3"/>
    <w:rsid w:val="79AB040C"/>
    <w:rsid w:val="79F66E84"/>
    <w:rsid w:val="7A30427B"/>
    <w:rsid w:val="7B857057"/>
    <w:rsid w:val="EAD410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99"/>
    <w:pPr>
      <w:ind w:firstLine="420"/>
    </w:pPr>
    <w:rPr>
      <w:rFonts w:ascii="仿宋_GB2312" w:hAnsi="Times New Roman" w:eastAsia="仿宋_GB2312"/>
      <w:sz w:val="32"/>
      <w:szCs w:val="20"/>
    </w:rPr>
  </w:style>
  <w:style w:type="paragraph" w:styleId="4">
    <w:name w:val="Date"/>
    <w:basedOn w:val="1"/>
    <w:next w:val="1"/>
    <w:link w:val="18"/>
    <w:semiHidden/>
    <w:unhideWhenUsed/>
    <w:qFormat/>
    <w:uiPriority w:val="99"/>
    <w:pPr>
      <w:ind w:left="100" w:leftChars="2500"/>
    </w:pPr>
  </w:style>
  <w:style w:type="paragraph" w:styleId="5">
    <w:name w:val="Balloon Text"/>
    <w:basedOn w:val="1"/>
    <w:link w:val="14"/>
    <w:semiHidden/>
    <w:unhideWhenUsed/>
    <w:qFormat/>
    <w:uiPriority w:val="99"/>
    <w:rPr>
      <w:sz w:val="18"/>
      <w:szCs w:val="18"/>
    </w:r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qFormat/>
    <w:uiPriority w:val="0"/>
  </w:style>
  <w:style w:type="paragraph" w:styleId="9">
    <w:name w:val="Body Text First Indent"/>
    <w:basedOn w:val="1"/>
    <w:qFormat/>
    <w:uiPriority w:val="99"/>
    <w:pPr>
      <w:spacing w:line="360" w:lineRule="auto"/>
      <w:ind w:firstLine="200" w:firstLineChars="200"/>
    </w:pPr>
    <w:rPr>
      <w:rFonts w:ascii="仿宋_GB2312" w:eastAsia="仿宋_GB2312"/>
      <w:sz w:val="30"/>
      <w:szCs w:val="30"/>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
    <w:name w:val="wang正文"/>
    <w:basedOn w:val="1"/>
    <w:qFormat/>
    <w:uiPriority w:val="0"/>
    <w:pPr>
      <w:tabs>
        <w:tab w:val="left" w:pos="6840"/>
      </w:tabs>
      <w:topLinePunct/>
      <w:ind w:firstLine="420"/>
    </w:pPr>
    <w:rPr>
      <w:kern w:val="0"/>
    </w:rPr>
  </w:style>
  <w:style w:type="character" w:customStyle="1" w:styleId="14">
    <w:name w:val="批注框文本 Char"/>
    <w:basedOn w:val="12"/>
    <w:link w:val="5"/>
    <w:semiHidden/>
    <w:qFormat/>
    <w:uiPriority w:val="99"/>
    <w:rPr>
      <w:rFonts w:ascii="Calibri" w:hAnsi="Calibri" w:eastAsia="宋体" w:cs="Times New Roman"/>
      <w:sz w:val="18"/>
      <w:szCs w:val="18"/>
    </w:rPr>
  </w:style>
  <w:style w:type="paragraph" w:customStyle="1" w:styleId="15">
    <w:name w:val="肥料正文"/>
    <w:basedOn w:val="1"/>
    <w:qFormat/>
    <w:uiPriority w:val="0"/>
    <w:pPr>
      <w:adjustRightInd w:val="0"/>
      <w:snapToGrid w:val="0"/>
      <w:spacing w:line="316" w:lineRule="auto"/>
      <w:ind w:firstLine="200" w:firstLineChars="200"/>
    </w:pPr>
    <w:rPr>
      <w:rFonts w:ascii="Times New Roman" w:hAnsi="Times New Roman" w:eastAsia="汉鼎简书宋二"/>
      <w:spacing w:val="2"/>
      <w:kern w:val="0"/>
      <w:sz w:val="22"/>
      <w:szCs w:val="24"/>
    </w:rPr>
  </w:style>
  <w:style w:type="character" w:customStyle="1" w:styleId="16">
    <w:name w:val="页眉 Char"/>
    <w:basedOn w:val="12"/>
    <w:link w:val="7"/>
    <w:qFormat/>
    <w:uiPriority w:val="99"/>
    <w:rPr>
      <w:rFonts w:ascii="Calibri" w:hAnsi="Calibri" w:eastAsia="宋体" w:cs="Times New Roman"/>
      <w:sz w:val="18"/>
      <w:szCs w:val="18"/>
    </w:rPr>
  </w:style>
  <w:style w:type="character" w:customStyle="1" w:styleId="17">
    <w:name w:val="页脚 Char"/>
    <w:basedOn w:val="12"/>
    <w:link w:val="6"/>
    <w:qFormat/>
    <w:uiPriority w:val="99"/>
    <w:rPr>
      <w:rFonts w:ascii="Calibri" w:hAnsi="Calibri" w:eastAsia="宋体" w:cs="Times New Roman"/>
      <w:sz w:val="18"/>
      <w:szCs w:val="18"/>
    </w:rPr>
  </w:style>
  <w:style w:type="character" w:customStyle="1" w:styleId="18">
    <w:name w:val="日期 Char"/>
    <w:basedOn w:val="12"/>
    <w:link w:val="4"/>
    <w:semiHidden/>
    <w:qFormat/>
    <w:uiPriority w:val="99"/>
    <w:rPr>
      <w:rFonts w:ascii="Calibri" w:hAnsi="Calibri" w:eastAsia="宋体" w:cs="Times New Roman"/>
    </w:rPr>
  </w:style>
  <w:style w:type="character" w:customStyle="1" w:styleId="19">
    <w:name w:val="段 Char"/>
    <w:link w:val="20"/>
    <w:qFormat/>
    <w:uiPriority w:val="0"/>
    <w:rPr>
      <w:rFonts w:ascii="宋体" w:eastAsia="Times New Roman"/>
    </w:rPr>
  </w:style>
  <w:style w:type="paragraph" w:customStyle="1" w:styleId="20">
    <w:name w:val="段"/>
    <w:link w:val="19"/>
    <w:qFormat/>
    <w:uiPriority w:val="0"/>
    <w:pPr>
      <w:autoSpaceDE w:val="0"/>
      <w:autoSpaceDN w:val="0"/>
      <w:ind w:firstLine="200" w:firstLineChars="200"/>
      <w:jc w:val="both"/>
    </w:pPr>
    <w:rPr>
      <w:rFonts w:ascii="宋体" w:eastAsia="Times New Roman" w:hAnsiTheme="minorHAnsi" w:cstheme="minorBidi"/>
      <w:kern w:val="2"/>
      <w:sz w:val="21"/>
      <w:szCs w:val="22"/>
      <w:lang w:val="en-US" w:eastAsia="zh-CN" w:bidi="ar-SA"/>
    </w:rPr>
  </w:style>
  <w:style w:type="paragraph" w:customStyle="1" w:styleId="21">
    <w:name w:val="列出段落1"/>
    <w:basedOn w:val="1"/>
    <w:next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8</Pages>
  <Words>3008</Words>
  <Characters>3599</Characters>
  <Lines>26</Lines>
  <Paragraphs>7</Paragraphs>
  <TotalTime>0</TotalTime>
  <ScaleCrop>false</ScaleCrop>
  <LinksUpToDate>false</LinksUpToDate>
  <CharactersWithSpaces>3664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2020-05-25T05:46:00Z</dcterms:created>
  <dc:creator>jiangdw</dc:creator>
  <cp:lastModifiedBy>李松岩</cp:lastModifiedBy>
  <dcterms:modified xsi:type="dcterms:W3CDTF">2023-10-24T06:47:37Z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867EA9437FB44764A3432FA7817E02B0_13</vt:lpwstr>
  </property>
</Properties>
</file>