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76257">
      <w:pPr>
        <w:spacing w:line="540" w:lineRule="exact"/>
        <w:jc w:val="center"/>
        <w:rPr>
          <w:rFonts w:ascii="宋体" w:hAnsi="宋体"/>
          <w:b/>
          <w:sz w:val="52"/>
          <w:szCs w:val="52"/>
        </w:rPr>
      </w:pPr>
    </w:p>
    <w:p w14:paraId="7EC72C56">
      <w:pPr>
        <w:spacing w:line="540" w:lineRule="exact"/>
        <w:jc w:val="center"/>
        <w:rPr>
          <w:rFonts w:ascii="宋体" w:hAnsi="宋体"/>
          <w:b/>
          <w:sz w:val="52"/>
          <w:szCs w:val="52"/>
        </w:rPr>
      </w:pPr>
    </w:p>
    <w:p w14:paraId="195DC3E1">
      <w:pPr>
        <w:spacing w:line="540" w:lineRule="exact"/>
        <w:jc w:val="center"/>
        <w:rPr>
          <w:rFonts w:ascii="宋体" w:hAnsi="宋体"/>
          <w:b/>
          <w:sz w:val="52"/>
          <w:szCs w:val="52"/>
        </w:rPr>
      </w:pPr>
    </w:p>
    <w:p w14:paraId="1ECBDBAF">
      <w:pPr>
        <w:spacing w:line="540" w:lineRule="exact"/>
        <w:jc w:val="center"/>
        <w:rPr>
          <w:rFonts w:ascii="宋体" w:hAnsi="宋体"/>
          <w:b/>
          <w:sz w:val="52"/>
          <w:szCs w:val="52"/>
        </w:rPr>
      </w:pPr>
    </w:p>
    <w:p w14:paraId="352F9884">
      <w:pPr>
        <w:spacing w:line="540" w:lineRule="exact"/>
        <w:jc w:val="center"/>
        <w:rPr>
          <w:rFonts w:ascii="宋体" w:hAnsi="宋体"/>
          <w:b/>
          <w:sz w:val="52"/>
          <w:szCs w:val="52"/>
        </w:rPr>
      </w:pPr>
    </w:p>
    <w:p w14:paraId="7F37C678">
      <w:pPr>
        <w:spacing w:line="480" w:lineRule="auto"/>
        <w:jc w:val="center"/>
        <w:rPr>
          <w:rFonts w:ascii="宋体" w:hAnsi="宋体"/>
          <w:b/>
          <w:sz w:val="52"/>
          <w:szCs w:val="52"/>
        </w:rPr>
      </w:pPr>
      <w:r>
        <w:rPr>
          <w:rFonts w:hint="eastAsia" w:ascii="宋体" w:hAnsi="宋体"/>
          <w:b/>
          <w:sz w:val="52"/>
          <w:szCs w:val="52"/>
        </w:rPr>
        <w:t>盘锦市商贸物流基地建设服务中心202</w:t>
      </w:r>
      <w:r>
        <w:rPr>
          <w:rFonts w:ascii="宋体" w:hAnsi="宋体"/>
          <w:b/>
          <w:sz w:val="52"/>
          <w:szCs w:val="52"/>
        </w:rPr>
        <w:t>2</w:t>
      </w:r>
      <w:r>
        <w:rPr>
          <w:rFonts w:hint="eastAsia" w:ascii="宋体" w:hAnsi="宋体"/>
          <w:b/>
          <w:sz w:val="52"/>
          <w:szCs w:val="52"/>
        </w:rPr>
        <w:t>年度部门决算</w:t>
      </w:r>
    </w:p>
    <w:p w14:paraId="2495C6F7">
      <w:pPr>
        <w:spacing w:line="480" w:lineRule="auto"/>
        <w:jc w:val="center"/>
        <w:rPr>
          <w:rFonts w:ascii="宋体" w:hAnsi="宋体"/>
          <w:b/>
          <w:sz w:val="52"/>
          <w:szCs w:val="52"/>
        </w:rPr>
      </w:pPr>
      <w:r>
        <w:rPr>
          <w:rFonts w:hint="eastAsia" w:ascii="宋体" w:hAnsi="宋体"/>
          <w:b/>
          <w:sz w:val="52"/>
          <w:szCs w:val="52"/>
        </w:rPr>
        <w:t>公开说明</w:t>
      </w:r>
    </w:p>
    <w:p w14:paraId="0D909042">
      <w:pPr>
        <w:spacing w:line="540" w:lineRule="exact"/>
        <w:jc w:val="center"/>
        <w:rPr>
          <w:b/>
          <w:sz w:val="44"/>
          <w:szCs w:val="44"/>
          <w:u w:val="single"/>
        </w:rPr>
      </w:pPr>
    </w:p>
    <w:p w14:paraId="60543BBB">
      <w:pPr>
        <w:spacing w:line="540" w:lineRule="exact"/>
        <w:jc w:val="center"/>
        <w:rPr>
          <w:b/>
          <w:sz w:val="44"/>
          <w:szCs w:val="44"/>
          <w:u w:val="single"/>
        </w:rPr>
      </w:pPr>
    </w:p>
    <w:p w14:paraId="60DFEE9B">
      <w:pPr>
        <w:spacing w:line="540" w:lineRule="exact"/>
        <w:jc w:val="center"/>
        <w:rPr>
          <w:b/>
          <w:sz w:val="44"/>
          <w:szCs w:val="44"/>
          <w:u w:val="single"/>
        </w:rPr>
      </w:pPr>
    </w:p>
    <w:p w14:paraId="0EF9A1AA">
      <w:pPr>
        <w:spacing w:line="540" w:lineRule="exact"/>
        <w:jc w:val="center"/>
        <w:rPr>
          <w:b/>
          <w:sz w:val="44"/>
          <w:szCs w:val="44"/>
          <w:u w:val="single"/>
        </w:rPr>
      </w:pPr>
    </w:p>
    <w:p w14:paraId="538BE50A">
      <w:pPr>
        <w:spacing w:line="540" w:lineRule="exact"/>
        <w:jc w:val="center"/>
        <w:rPr>
          <w:b/>
          <w:sz w:val="44"/>
          <w:szCs w:val="44"/>
          <w:u w:val="single"/>
        </w:rPr>
      </w:pPr>
    </w:p>
    <w:p w14:paraId="1D480A67">
      <w:pPr>
        <w:spacing w:line="540" w:lineRule="exact"/>
        <w:jc w:val="center"/>
        <w:rPr>
          <w:b/>
          <w:sz w:val="44"/>
          <w:szCs w:val="44"/>
          <w:u w:val="single"/>
        </w:rPr>
      </w:pPr>
    </w:p>
    <w:p w14:paraId="43615451">
      <w:pPr>
        <w:spacing w:line="540" w:lineRule="exact"/>
        <w:jc w:val="center"/>
        <w:rPr>
          <w:b/>
          <w:sz w:val="44"/>
          <w:szCs w:val="44"/>
          <w:u w:val="single"/>
        </w:rPr>
      </w:pPr>
    </w:p>
    <w:p w14:paraId="2BEB6CFA">
      <w:pPr>
        <w:spacing w:line="540" w:lineRule="exact"/>
        <w:jc w:val="center"/>
        <w:rPr>
          <w:b/>
          <w:sz w:val="44"/>
          <w:szCs w:val="44"/>
          <w:u w:val="single"/>
        </w:rPr>
      </w:pPr>
    </w:p>
    <w:p w14:paraId="5FCD36C3">
      <w:pPr>
        <w:spacing w:line="540" w:lineRule="exact"/>
        <w:jc w:val="center"/>
        <w:rPr>
          <w:b/>
          <w:sz w:val="44"/>
          <w:szCs w:val="44"/>
          <w:u w:val="single"/>
        </w:rPr>
      </w:pPr>
    </w:p>
    <w:p w14:paraId="3F18E5DC">
      <w:pPr>
        <w:spacing w:line="540" w:lineRule="exact"/>
        <w:jc w:val="center"/>
        <w:rPr>
          <w:b/>
          <w:sz w:val="44"/>
          <w:szCs w:val="44"/>
          <w:u w:val="single"/>
        </w:rPr>
      </w:pPr>
    </w:p>
    <w:p w14:paraId="6984A20B">
      <w:pPr>
        <w:spacing w:line="540" w:lineRule="exact"/>
        <w:jc w:val="center"/>
        <w:rPr>
          <w:b/>
          <w:sz w:val="44"/>
          <w:szCs w:val="44"/>
          <w:u w:val="single"/>
        </w:rPr>
      </w:pPr>
    </w:p>
    <w:p w14:paraId="6C39971B">
      <w:pPr>
        <w:spacing w:line="540" w:lineRule="exact"/>
        <w:jc w:val="center"/>
        <w:rPr>
          <w:b/>
          <w:sz w:val="44"/>
          <w:szCs w:val="44"/>
          <w:u w:val="single"/>
        </w:rPr>
      </w:pPr>
    </w:p>
    <w:p w14:paraId="26444D48">
      <w:pPr>
        <w:spacing w:line="540" w:lineRule="exact"/>
        <w:jc w:val="center"/>
        <w:rPr>
          <w:b/>
          <w:sz w:val="44"/>
          <w:szCs w:val="44"/>
        </w:rPr>
      </w:pPr>
    </w:p>
    <w:p w14:paraId="4F9CE3AB">
      <w:pPr>
        <w:spacing w:line="540" w:lineRule="exact"/>
        <w:jc w:val="center"/>
        <w:rPr>
          <w:b/>
          <w:sz w:val="44"/>
          <w:szCs w:val="44"/>
        </w:rPr>
      </w:pPr>
    </w:p>
    <w:p w14:paraId="41327584">
      <w:pPr>
        <w:spacing w:line="540" w:lineRule="exact"/>
        <w:jc w:val="center"/>
        <w:rPr>
          <w:b/>
          <w:sz w:val="44"/>
          <w:szCs w:val="44"/>
        </w:rPr>
      </w:pPr>
    </w:p>
    <w:p w14:paraId="14431201">
      <w:pPr>
        <w:spacing w:line="540" w:lineRule="exact"/>
        <w:jc w:val="center"/>
        <w:rPr>
          <w:b/>
          <w:sz w:val="44"/>
          <w:szCs w:val="44"/>
        </w:rPr>
      </w:pPr>
      <w:r>
        <w:rPr>
          <w:rFonts w:hint="eastAsia"/>
          <w:b/>
          <w:sz w:val="44"/>
          <w:szCs w:val="44"/>
        </w:rPr>
        <w:t>目  录</w:t>
      </w:r>
    </w:p>
    <w:p w14:paraId="7A30CCB3">
      <w:pPr>
        <w:spacing w:line="540" w:lineRule="exact"/>
        <w:jc w:val="center"/>
        <w:rPr>
          <w:b/>
          <w:sz w:val="44"/>
          <w:szCs w:val="44"/>
        </w:rPr>
      </w:pPr>
    </w:p>
    <w:p w14:paraId="2E213509">
      <w:pPr>
        <w:spacing w:line="540" w:lineRule="exact"/>
        <w:rPr>
          <w:b/>
          <w:sz w:val="44"/>
          <w:szCs w:val="44"/>
          <w:u w:val="single"/>
        </w:rPr>
      </w:pPr>
    </w:p>
    <w:p w14:paraId="5405C6A3">
      <w:pPr>
        <w:spacing w:line="540" w:lineRule="exact"/>
        <w:rPr>
          <w:rFonts w:ascii="黑体" w:hAnsi="黑体" w:eastAsia="黑体"/>
          <w:sz w:val="32"/>
          <w:szCs w:val="32"/>
        </w:rPr>
      </w:pPr>
      <w:r>
        <w:rPr>
          <w:rFonts w:hint="eastAsia" w:ascii="黑体" w:hAnsi="黑体" w:eastAsia="黑体"/>
          <w:sz w:val="32"/>
          <w:szCs w:val="32"/>
        </w:rPr>
        <w:t>第一部分  单位概况</w:t>
      </w:r>
    </w:p>
    <w:p w14:paraId="4AB40863">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14:paraId="0CF7586A">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机构设置情况</w:t>
      </w:r>
    </w:p>
    <w:p w14:paraId="66E24D17">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14:paraId="32609C97">
      <w:pPr>
        <w:numPr>
          <w:ilvl w:val="0"/>
          <w:numId w:val="2"/>
        </w:numPr>
        <w:spacing w:line="540" w:lineRule="exact"/>
        <w:ind w:left="3200" w:hanging="3200" w:hangingChars="1000"/>
        <w:rPr>
          <w:rFonts w:ascii="黑体" w:hAnsi="黑体" w:eastAsia="黑体"/>
          <w:sz w:val="32"/>
          <w:szCs w:val="32"/>
        </w:rPr>
      </w:pPr>
      <w:r>
        <w:rPr>
          <w:rFonts w:hint="eastAsia" w:ascii="黑体" w:hAnsi="黑体" w:eastAsia="黑体"/>
          <w:sz w:val="32"/>
          <w:szCs w:val="32"/>
        </w:rPr>
        <w:t>202</w:t>
      </w:r>
      <w:r>
        <w:rPr>
          <w:rFonts w:ascii="黑体" w:hAnsi="黑体" w:eastAsia="黑体"/>
          <w:sz w:val="32"/>
          <w:szCs w:val="32"/>
        </w:rPr>
        <w:t>2</w:t>
      </w:r>
      <w:r>
        <w:rPr>
          <w:rFonts w:hint="eastAsia" w:ascii="黑体" w:hAnsi="黑体" w:eastAsia="黑体"/>
          <w:sz w:val="32"/>
          <w:szCs w:val="32"/>
        </w:rPr>
        <w:t>年度决算情况说明</w:t>
      </w:r>
    </w:p>
    <w:p w14:paraId="55F56364">
      <w:pPr>
        <w:spacing w:line="540" w:lineRule="exact"/>
        <w:rPr>
          <w:rFonts w:ascii="仿宋" w:hAnsi="仿宋" w:eastAsia="仿宋" w:cs="仿宋"/>
          <w:sz w:val="32"/>
          <w:szCs w:val="32"/>
        </w:rPr>
      </w:pPr>
      <w:r>
        <w:rPr>
          <w:rFonts w:hint="eastAsia" w:ascii="仿宋" w:hAnsi="仿宋" w:eastAsia="仿宋" w:cs="仿宋"/>
          <w:sz w:val="32"/>
          <w:szCs w:val="32"/>
        </w:rPr>
        <w:t>一、收入支出决算总体情况说明</w:t>
      </w:r>
    </w:p>
    <w:p w14:paraId="3A033E1C">
      <w:pPr>
        <w:spacing w:line="540" w:lineRule="exact"/>
        <w:rPr>
          <w:rFonts w:ascii="仿宋" w:hAnsi="仿宋" w:eastAsia="仿宋" w:cs="仿宋"/>
          <w:sz w:val="32"/>
          <w:szCs w:val="32"/>
        </w:rPr>
      </w:pPr>
      <w:r>
        <w:rPr>
          <w:rFonts w:hint="eastAsia" w:ascii="仿宋" w:hAnsi="仿宋" w:eastAsia="仿宋" w:cs="仿宋"/>
          <w:sz w:val="32"/>
          <w:szCs w:val="32"/>
        </w:rPr>
        <w:t>二、财政拨款收入支出决算情况说明</w:t>
      </w:r>
    </w:p>
    <w:p w14:paraId="522A2B0B">
      <w:pPr>
        <w:spacing w:line="540" w:lineRule="exact"/>
        <w:rPr>
          <w:rFonts w:ascii="仿宋" w:hAnsi="仿宋" w:eastAsia="仿宋" w:cs="仿宋"/>
          <w:sz w:val="32"/>
          <w:szCs w:val="32"/>
        </w:rPr>
      </w:pPr>
      <w:r>
        <w:rPr>
          <w:rFonts w:hint="eastAsia" w:ascii="仿宋" w:hAnsi="仿宋" w:eastAsia="仿宋" w:cs="仿宋"/>
          <w:sz w:val="32"/>
          <w:szCs w:val="32"/>
        </w:rPr>
        <w:t>三、一般公共预算财政拨款“三公”经费支出决算情况说明</w:t>
      </w:r>
    </w:p>
    <w:p w14:paraId="488C1FA1">
      <w:pPr>
        <w:spacing w:line="540" w:lineRule="exact"/>
        <w:rPr>
          <w:rFonts w:ascii="仿宋" w:hAnsi="仿宋" w:eastAsia="仿宋" w:cs="仿宋"/>
          <w:sz w:val="32"/>
          <w:szCs w:val="32"/>
        </w:rPr>
      </w:pPr>
      <w:r>
        <w:rPr>
          <w:rFonts w:hint="eastAsia" w:ascii="仿宋" w:hAnsi="仿宋" w:eastAsia="仿宋" w:cs="仿宋"/>
          <w:sz w:val="32"/>
          <w:szCs w:val="32"/>
        </w:rPr>
        <w:t>四、一般公共预算财政拨款基本支出决算情况说明</w:t>
      </w:r>
    </w:p>
    <w:p w14:paraId="15FF036E">
      <w:pPr>
        <w:spacing w:line="540" w:lineRule="exact"/>
        <w:rPr>
          <w:rFonts w:ascii="仿宋" w:hAnsi="仿宋" w:eastAsia="仿宋" w:cs="仿宋"/>
          <w:sz w:val="32"/>
          <w:szCs w:val="32"/>
        </w:rPr>
      </w:pPr>
      <w:r>
        <w:rPr>
          <w:rFonts w:hint="eastAsia" w:ascii="仿宋" w:hAnsi="仿宋" w:eastAsia="仿宋" w:cs="仿宋"/>
          <w:sz w:val="32"/>
          <w:szCs w:val="32"/>
        </w:rPr>
        <w:t>五、其他重要事项的情况说明</w:t>
      </w:r>
    </w:p>
    <w:p w14:paraId="27D0D1A1">
      <w:pPr>
        <w:numPr>
          <w:ilvl w:val="0"/>
          <w:numId w:val="2"/>
        </w:numPr>
        <w:spacing w:line="540" w:lineRule="exact"/>
        <w:ind w:left="3200" w:hanging="3200" w:hangingChars="1000"/>
        <w:rPr>
          <w:rFonts w:ascii="黑体" w:hAnsi="黑体" w:eastAsia="黑体"/>
          <w:sz w:val="32"/>
          <w:szCs w:val="32"/>
        </w:rPr>
      </w:pPr>
      <w:r>
        <w:rPr>
          <w:rFonts w:hint="eastAsia" w:ascii="黑体" w:hAnsi="黑体" w:eastAsia="黑体"/>
          <w:sz w:val="32"/>
          <w:szCs w:val="32"/>
        </w:rPr>
        <w:t>名词解释</w:t>
      </w:r>
    </w:p>
    <w:p w14:paraId="1C485296">
      <w:pPr>
        <w:numPr>
          <w:ilvl w:val="0"/>
          <w:numId w:val="2"/>
        </w:numPr>
        <w:spacing w:line="540" w:lineRule="exact"/>
        <w:ind w:left="3200" w:hanging="3200" w:hangingChars="1000"/>
        <w:rPr>
          <w:rFonts w:ascii="黑体" w:hAnsi="黑体" w:eastAsia="黑体"/>
          <w:sz w:val="32"/>
          <w:szCs w:val="32"/>
        </w:rPr>
      </w:pPr>
      <w:r>
        <w:rPr>
          <w:rFonts w:hint="eastAsia" w:ascii="黑体" w:hAnsi="黑体" w:eastAsia="黑体"/>
          <w:sz w:val="32"/>
          <w:szCs w:val="32"/>
        </w:rPr>
        <w:t>202</w:t>
      </w:r>
      <w:r>
        <w:rPr>
          <w:rFonts w:ascii="黑体" w:hAnsi="黑体" w:eastAsia="黑体"/>
          <w:sz w:val="32"/>
          <w:szCs w:val="32"/>
        </w:rPr>
        <w:t>2</w:t>
      </w:r>
      <w:r>
        <w:rPr>
          <w:rFonts w:hint="eastAsia" w:ascii="黑体" w:hAnsi="黑体" w:eastAsia="黑体"/>
          <w:sz w:val="32"/>
          <w:szCs w:val="32"/>
        </w:rPr>
        <w:t>年度决算报表</w:t>
      </w:r>
    </w:p>
    <w:p w14:paraId="00A25EC7">
      <w:pPr>
        <w:spacing w:line="540" w:lineRule="exact"/>
        <w:ind w:left="320" w:hanging="320" w:hangingChars="1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38B7688">
      <w:pPr>
        <w:spacing w:line="540" w:lineRule="exact"/>
        <w:rPr>
          <w:rFonts w:ascii="仿宋_GB2312" w:eastAsia="仿宋_GB2312"/>
          <w:sz w:val="32"/>
          <w:szCs w:val="32"/>
        </w:rPr>
      </w:pPr>
      <w:r>
        <w:rPr>
          <w:rFonts w:hint="eastAsia" w:ascii="仿宋_GB2312" w:eastAsia="仿宋_GB2312"/>
          <w:sz w:val="32"/>
          <w:szCs w:val="32"/>
        </w:rPr>
        <w:t>二、收入决算表</w:t>
      </w:r>
    </w:p>
    <w:p w14:paraId="2FF9FA8F">
      <w:pPr>
        <w:spacing w:line="540" w:lineRule="exact"/>
        <w:rPr>
          <w:rFonts w:ascii="仿宋_GB2312" w:eastAsia="仿宋_GB2312"/>
          <w:sz w:val="32"/>
          <w:szCs w:val="32"/>
        </w:rPr>
      </w:pPr>
      <w:r>
        <w:rPr>
          <w:rFonts w:hint="eastAsia" w:ascii="仿宋_GB2312" w:eastAsia="仿宋_GB2312"/>
          <w:sz w:val="32"/>
          <w:szCs w:val="32"/>
        </w:rPr>
        <w:t>三、支出决算表</w:t>
      </w:r>
    </w:p>
    <w:p w14:paraId="7C8F1950">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4EF3397F">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E60D67A">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5DEBA0E">
      <w:pPr>
        <w:spacing w:line="540" w:lineRule="exact"/>
        <w:rPr>
          <w:rFonts w:ascii="仿宋_GB2312" w:eastAsia="仿宋_GB2312"/>
          <w:sz w:val="32"/>
          <w:szCs w:val="32"/>
        </w:rPr>
      </w:pPr>
      <w:r>
        <w:rPr>
          <w:rFonts w:hint="eastAsia" w:ascii="仿宋_GB2312" w:eastAsia="仿宋_GB2312"/>
          <w:sz w:val="32"/>
          <w:szCs w:val="32"/>
        </w:rPr>
        <w:t>七、一般公共预算财政拨款“三公”经费支出决算表</w:t>
      </w:r>
    </w:p>
    <w:p w14:paraId="3818C817">
      <w:pPr>
        <w:spacing w:line="540" w:lineRule="exact"/>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10A3F5E">
      <w:pPr>
        <w:spacing w:line="540" w:lineRule="exact"/>
        <w:rPr>
          <w:rFonts w:ascii="仿宋_GB2312" w:eastAsia="仿宋_GB2312"/>
          <w:sz w:val="32"/>
          <w:szCs w:val="32"/>
        </w:rPr>
      </w:pPr>
      <w:r>
        <w:rPr>
          <w:rFonts w:hint="eastAsia" w:ascii="仿宋_GB2312" w:eastAsia="仿宋_GB2312"/>
          <w:sz w:val="32"/>
          <w:szCs w:val="32"/>
        </w:rPr>
        <w:t>九、国有资本经营预算财政拨款支出决算表</w:t>
      </w:r>
    </w:p>
    <w:p w14:paraId="5EDA43E0">
      <w:pPr>
        <w:spacing w:line="540" w:lineRule="exact"/>
        <w:rPr>
          <w:rFonts w:ascii="仿宋_GB2312" w:eastAsia="仿宋_GB2312"/>
          <w:sz w:val="32"/>
          <w:szCs w:val="32"/>
        </w:rPr>
      </w:pPr>
      <w:r>
        <w:rPr>
          <w:rFonts w:hint="eastAsia" w:ascii="仿宋_GB2312" w:eastAsia="仿宋_GB2312"/>
          <w:sz w:val="32"/>
          <w:szCs w:val="32"/>
        </w:rPr>
        <w:t>第五部分         附件</w:t>
      </w:r>
    </w:p>
    <w:p w14:paraId="0BAB2C46">
      <w:pPr>
        <w:spacing w:line="540" w:lineRule="exact"/>
        <w:jc w:val="center"/>
        <w:rPr>
          <w:rFonts w:ascii="黑体" w:hAnsi="黑体" w:eastAsia="黑体"/>
          <w:b/>
          <w:sz w:val="44"/>
          <w:szCs w:val="44"/>
          <w:u w:val="single"/>
        </w:rPr>
      </w:pPr>
    </w:p>
    <w:p w14:paraId="5CAEF2CD">
      <w:pPr>
        <w:spacing w:line="540" w:lineRule="exact"/>
        <w:jc w:val="center"/>
        <w:rPr>
          <w:rFonts w:ascii="黑体" w:eastAsia="黑体"/>
          <w:sz w:val="32"/>
          <w:szCs w:val="32"/>
        </w:rPr>
      </w:pPr>
    </w:p>
    <w:p w14:paraId="291E5308">
      <w:pPr>
        <w:spacing w:line="540" w:lineRule="exact"/>
        <w:ind w:firstLine="723" w:firstLineChars="200"/>
        <w:rPr>
          <w:rFonts w:ascii="宋体" w:hAnsi="宋体"/>
          <w:b/>
          <w:sz w:val="36"/>
          <w:szCs w:val="36"/>
        </w:rPr>
      </w:pPr>
      <w:r>
        <w:rPr>
          <w:rFonts w:hint="eastAsia" w:ascii="宋体" w:hAnsi="宋体"/>
          <w:b/>
          <w:sz w:val="36"/>
          <w:szCs w:val="36"/>
        </w:rPr>
        <w:t>第一部分 盘锦市商贸物流基地建设服务中心概况</w:t>
      </w:r>
    </w:p>
    <w:p w14:paraId="4D68E2FC">
      <w:pPr>
        <w:spacing w:line="540" w:lineRule="exact"/>
        <w:ind w:firstLine="640" w:firstLineChars="200"/>
        <w:jc w:val="left"/>
        <w:rPr>
          <w:rFonts w:ascii="黑体" w:eastAsia="黑体"/>
          <w:sz w:val="32"/>
          <w:szCs w:val="32"/>
        </w:rPr>
      </w:pPr>
    </w:p>
    <w:p w14:paraId="616AE857">
      <w:pPr>
        <w:spacing w:line="540" w:lineRule="exact"/>
        <w:ind w:firstLine="640" w:firstLineChars="200"/>
        <w:jc w:val="left"/>
        <w:rPr>
          <w:rFonts w:ascii="黑体" w:eastAsia="黑体"/>
          <w:sz w:val="32"/>
          <w:szCs w:val="32"/>
        </w:rPr>
      </w:pPr>
      <w:r>
        <w:rPr>
          <w:rFonts w:hint="eastAsia" w:ascii="黑体" w:eastAsia="黑体"/>
          <w:sz w:val="32"/>
          <w:szCs w:val="32"/>
        </w:rPr>
        <w:t>一、主要职责及机构设置</w:t>
      </w:r>
    </w:p>
    <w:p w14:paraId="7F30F59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（一）开展为商贸物流基地重点园区、重点企业、重点项目提供政策咨询、立项指导、协调调度等全过程服务。</w:t>
      </w:r>
    </w:p>
    <w:p w14:paraId="40A8B45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（二）开展商贸物流领域基础性、前瞻性、战略性问题研究相关服务工作，参与市委、市政府商贸物流产业发展有关政策制定、发展规划的研究工作，提出有关建议。</w:t>
      </w:r>
    </w:p>
    <w:p w14:paraId="67E26791">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（三）宣传国家、省和市关于商贸物流产业发展工作的有关政策措施；对政策措施的落实情况及实际操作中遇到的问题进行跟踪调查并及时向有关部门反映企业诉求。</w:t>
      </w:r>
    </w:p>
    <w:p w14:paraId="402EC50A">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围绕“辽宁沿海经济带国家战略”实施和“一带五基地”建设，推进电子商务与物流业融合发展，开展新技术及绿色物流推广应用，为物流基地平台建设和重大商贸物流项目的引进、实施，提供支撑保障服务。</w:t>
      </w:r>
    </w:p>
    <w:p w14:paraId="28868D80">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（五）承担商贸物流供应链、信用评价体系建设及肉菜追溯体系建设相关事务性工作；承担旧货流通、再生资源行业发展和楼宇经济推进相关事务性工作。</w:t>
      </w:r>
    </w:p>
    <w:p w14:paraId="3F55B00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（六）承担市委、市政府交办的其他工作。</w:t>
      </w:r>
    </w:p>
    <w:p w14:paraId="7812A670">
      <w:pPr>
        <w:spacing w:line="540" w:lineRule="exact"/>
        <w:ind w:firstLine="640" w:firstLineChars="200"/>
        <w:jc w:val="left"/>
        <w:rPr>
          <w:rFonts w:ascii="黑体" w:eastAsia="黑体"/>
          <w:sz w:val="32"/>
          <w:szCs w:val="32"/>
        </w:rPr>
      </w:pPr>
      <w:r>
        <w:rPr>
          <w:rFonts w:hint="eastAsia" w:ascii="黑体" w:eastAsia="黑体"/>
          <w:sz w:val="32"/>
          <w:szCs w:val="32"/>
        </w:rPr>
        <w:t>机构设置情况</w:t>
      </w:r>
    </w:p>
    <w:p w14:paraId="35A327CB">
      <w:pPr>
        <w:spacing w:line="5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根据本部门主要职责，内设机构如下：</w:t>
      </w:r>
    </w:p>
    <w:p w14:paraId="3ED743A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1.办公室</w:t>
      </w:r>
    </w:p>
    <w:p w14:paraId="4F7CF2C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负责党群和纪检工作；负责文电、信息、财务、资产、档案、保密、信访等工作；负责机构编制、人事管理、离退休干部服务等工作。</w:t>
      </w:r>
    </w:p>
    <w:p w14:paraId="6BA2B5DA">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人员编制15名，主任职数1名、副主任职数2名。</w:t>
      </w:r>
    </w:p>
    <w:p w14:paraId="17140B1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2.业务服务科</w:t>
      </w:r>
    </w:p>
    <w:p w14:paraId="73D1E236">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开展商贸物流领域调查研究，参与市委、市政府商贸物流产业发展有关政策和发展规划的制定工作，提出有关建议；负责业务材料综合工作；负责企业诉求的跟踪调查及向有关部门反映工作；承担商贸物流领域大数据平台建设、数据统计分析和信息发布工作；承担全市商贸物流行业调查、业务培训、信息咨询和人才等工作。</w:t>
      </w:r>
    </w:p>
    <w:p w14:paraId="37E4B0C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人员编制11名，科长职数1名、副科长职数2名。</w:t>
      </w:r>
    </w:p>
    <w:p w14:paraId="09D03CE6">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3.产业服务科</w:t>
      </w:r>
    </w:p>
    <w:p w14:paraId="72C0840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负责全市供应链发展政策研究及推进工作；负责研究制定多式联运发展措施，推进商贸物流产业协调发展；推进电子商务与物流业融合发展，承担全市商贸物流创新和绿色物流推广应用工作；承担研究制定信用评价办法和建立商贸物流信用评价体系的事务性工作；承担石化产业物流基地服务等工作。</w:t>
      </w:r>
    </w:p>
    <w:p w14:paraId="2C44237D">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人员编制8名，科长职数1名、副科长职数1名。</w:t>
      </w:r>
    </w:p>
    <w:p w14:paraId="2940CFB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4.项目服务科</w:t>
      </w:r>
    </w:p>
    <w:p w14:paraId="2D28A8B6">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开展为商贸物流基地重点园区、重点企业、重点项目提供政策咨询、立项指导、协调调度等全过程服务；承担楼宇经济统筹推进、肉菜追溯体系建设事务性工作；承担农产品物流基地服务等工作。 </w:t>
      </w:r>
    </w:p>
    <w:p w14:paraId="353F940A">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人员编制7名，科长职数1名、副科长职数1名。</w:t>
      </w:r>
    </w:p>
    <w:p w14:paraId="413D0A1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5.经济合作科</w:t>
      </w:r>
    </w:p>
    <w:p w14:paraId="488DFCD6">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围绕“辽宁沿海经济带国家战略”实施和“一带五基地”建设，推进商贸物流业对外开放和区域合作，为物流基地平台建设和重大商贸物流项目的引进、实施，提供支撑保障服务；参与“一带一路”“辽满欧”“辽蒙欧”“辽海欧”“中蒙俄经济走廊”等物流大通道建设，积极构建营销和物流网络；承担粮食物流基地和东北快递（电商）物流产业园的服务等工作。</w:t>
      </w:r>
    </w:p>
    <w:p w14:paraId="6050251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人员编制8名，科长职数1名、副科长职数2名。</w:t>
      </w:r>
    </w:p>
    <w:p w14:paraId="47C41341">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6.再生资源服务科</w:t>
      </w:r>
    </w:p>
    <w:p w14:paraId="49712119">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承担旧货流通及流通领域节能降耗事务性工作；推动再生资源行业绿色化、循环化、协同化、高值化、专业化、集群化发展；负责再生资源企业的服务工作。</w:t>
      </w:r>
    </w:p>
    <w:p w14:paraId="26CA7E3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人员编制8名，科长职数1名、副科长职数2名。</w:t>
      </w:r>
    </w:p>
    <w:p w14:paraId="13B52961">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14:paraId="5847FA43">
      <w:pPr>
        <w:spacing w:line="540" w:lineRule="exact"/>
        <w:ind w:firstLine="640" w:firstLineChars="200"/>
        <w:jc w:val="left"/>
        <w:rPr>
          <w:rFonts w:ascii="仿宋" w:hAnsi="仿宋" w:eastAsia="仿宋" w:cs="仿宋"/>
          <w:sz w:val="32"/>
          <w:szCs w:val="32"/>
        </w:rPr>
      </w:pPr>
      <w:r>
        <w:rPr>
          <w:rFonts w:hint="eastAsia" w:ascii="仿宋" w:hAnsi="仿宋" w:eastAsia="仿宋" w:cs="仿宋"/>
          <w:bCs/>
          <w:sz w:val="32"/>
          <w:szCs w:val="32"/>
        </w:rPr>
        <w:t>纳入盘锦市商贸物流基地建设服务中心202</w:t>
      </w:r>
      <w:r>
        <w:rPr>
          <w:rFonts w:ascii="仿宋" w:hAnsi="仿宋" w:eastAsia="仿宋" w:cs="仿宋"/>
          <w:bCs/>
          <w:sz w:val="32"/>
          <w:szCs w:val="32"/>
        </w:rPr>
        <w:t>2</w:t>
      </w:r>
      <w:r>
        <w:rPr>
          <w:rFonts w:hint="eastAsia" w:ascii="仿宋" w:hAnsi="仿宋" w:eastAsia="仿宋" w:cs="仿宋"/>
          <w:bCs/>
          <w:sz w:val="32"/>
          <w:szCs w:val="32"/>
        </w:rPr>
        <w:t>年度部门决算编制范围的预算单位包括：</w:t>
      </w:r>
      <w:r>
        <w:rPr>
          <w:rFonts w:hint="eastAsia" w:ascii="仿宋" w:hAnsi="仿宋" w:eastAsia="仿宋" w:cs="仿宋"/>
          <w:sz w:val="32"/>
          <w:szCs w:val="32"/>
        </w:rPr>
        <w:t>盘锦市商贸物流基地建设服务中心一户单位</w:t>
      </w:r>
    </w:p>
    <w:p w14:paraId="2AB5B185">
      <w:pPr>
        <w:spacing w:line="540" w:lineRule="exact"/>
        <w:ind w:firstLine="640" w:firstLineChars="200"/>
        <w:jc w:val="left"/>
        <w:rPr>
          <w:rFonts w:ascii="仿宋" w:hAnsi="仿宋" w:eastAsia="仿宋" w:cs="仿宋"/>
          <w:sz w:val="32"/>
          <w:szCs w:val="32"/>
        </w:rPr>
      </w:pPr>
    </w:p>
    <w:p w14:paraId="617B05F1">
      <w:pPr>
        <w:spacing w:line="540" w:lineRule="exact"/>
        <w:ind w:firstLine="640" w:firstLineChars="200"/>
        <w:jc w:val="left"/>
        <w:rPr>
          <w:rFonts w:ascii="仿宋_GB2312" w:eastAsia="仿宋_GB2312"/>
          <w:sz w:val="32"/>
          <w:szCs w:val="32"/>
        </w:rPr>
      </w:pPr>
    </w:p>
    <w:p w14:paraId="6AC5D9E8">
      <w:pPr>
        <w:spacing w:line="540" w:lineRule="exact"/>
        <w:ind w:firstLine="640" w:firstLineChars="200"/>
        <w:jc w:val="left"/>
        <w:rPr>
          <w:rFonts w:ascii="仿宋_GB2312" w:eastAsia="仿宋_GB2312"/>
          <w:sz w:val="32"/>
          <w:szCs w:val="32"/>
        </w:rPr>
      </w:pPr>
    </w:p>
    <w:p w14:paraId="79C9C5DD">
      <w:pPr>
        <w:spacing w:line="540" w:lineRule="exact"/>
        <w:ind w:firstLine="1084" w:firstLineChars="300"/>
        <w:rPr>
          <w:rFonts w:ascii="宋体" w:hAnsi="宋体"/>
          <w:b/>
          <w:sz w:val="36"/>
          <w:szCs w:val="36"/>
        </w:rPr>
      </w:pPr>
    </w:p>
    <w:p w14:paraId="13C0152F">
      <w:pPr>
        <w:spacing w:line="540" w:lineRule="exact"/>
        <w:ind w:firstLine="1084" w:firstLineChars="300"/>
        <w:rPr>
          <w:rFonts w:ascii="宋体" w:hAnsi="宋体"/>
          <w:b/>
          <w:sz w:val="36"/>
          <w:szCs w:val="36"/>
        </w:rPr>
      </w:pPr>
    </w:p>
    <w:p w14:paraId="18BECA5C">
      <w:pPr>
        <w:spacing w:line="540" w:lineRule="exact"/>
        <w:ind w:firstLine="1084" w:firstLineChars="300"/>
        <w:rPr>
          <w:rFonts w:ascii="宋体" w:hAnsi="宋体"/>
          <w:b/>
          <w:sz w:val="36"/>
          <w:szCs w:val="36"/>
        </w:rPr>
      </w:pPr>
    </w:p>
    <w:p w14:paraId="34A8F862">
      <w:pPr>
        <w:spacing w:line="540" w:lineRule="exact"/>
        <w:ind w:firstLine="1084" w:firstLineChars="300"/>
        <w:rPr>
          <w:rFonts w:ascii="宋体" w:hAnsi="宋体"/>
          <w:b/>
          <w:sz w:val="36"/>
          <w:szCs w:val="36"/>
        </w:rPr>
      </w:pPr>
    </w:p>
    <w:p w14:paraId="72B57060">
      <w:pPr>
        <w:spacing w:line="540" w:lineRule="exact"/>
        <w:ind w:firstLine="1084" w:firstLineChars="300"/>
        <w:rPr>
          <w:rFonts w:ascii="宋体" w:hAnsi="宋体"/>
          <w:b/>
          <w:sz w:val="36"/>
          <w:szCs w:val="36"/>
        </w:rPr>
      </w:pPr>
    </w:p>
    <w:p w14:paraId="37F996D9">
      <w:pPr>
        <w:spacing w:line="540" w:lineRule="exact"/>
        <w:ind w:firstLine="1084" w:firstLineChars="300"/>
        <w:rPr>
          <w:rFonts w:ascii="宋体" w:hAnsi="宋体"/>
          <w:b/>
          <w:sz w:val="36"/>
          <w:szCs w:val="36"/>
        </w:rPr>
      </w:pPr>
    </w:p>
    <w:p w14:paraId="2C3FE5A8">
      <w:pPr>
        <w:spacing w:line="540" w:lineRule="exact"/>
        <w:ind w:left="3607" w:leftChars="513" w:hanging="2530" w:hangingChars="700"/>
        <w:rPr>
          <w:rFonts w:ascii="宋体" w:hAnsi="宋体"/>
          <w:b/>
          <w:sz w:val="36"/>
          <w:szCs w:val="36"/>
        </w:rPr>
      </w:pPr>
      <w:r>
        <w:rPr>
          <w:rFonts w:hint="eastAsia" w:ascii="宋体" w:hAnsi="宋体"/>
          <w:b/>
          <w:sz w:val="36"/>
          <w:szCs w:val="36"/>
        </w:rPr>
        <w:t>第二部分  盘锦市商贸物流基地建设服务中心202</w:t>
      </w:r>
      <w:r>
        <w:rPr>
          <w:rFonts w:ascii="宋体" w:hAnsi="宋体"/>
          <w:b/>
          <w:sz w:val="36"/>
          <w:szCs w:val="36"/>
        </w:rPr>
        <w:t>2</w:t>
      </w:r>
      <w:r>
        <w:rPr>
          <w:rFonts w:hint="eastAsia" w:ascii="宋体" w:hAnsi="宋体"/>
          <w:b/>
          <w:sz w:val="36"/>
          <w:szCs w:val="36"/>
        </w:rPr>
        <w:t>年度决算情况说明</w:t>
      </w:r>
    </w:p>
    <w:p w14:paraId="72DCD73E">
      <w:pPr>
        <w:spacing w:line="540" w:lineRule="exact"/>
        <w:rPr>
          <w:rFonts w:ascii="仿宋_GB2312" w:eastAsia="仿宋_GB2312"/>
          <w:sz w:val="32"/>
          <w:szCs w:val="32"/>
        </w:rPr>
      </w:pPr>
    </w:p>
    <w:p w14:paraId="7A9AC314">
      <w:pPr>
        <w:spacing w:line="540" w:lineRule="exact"/>
        <w:rPr>
          <w:rFonts w:ascii="仿宋_GB2312" w:eastAsia="仿宋_GB2312"/>
          <w:sz w:val="32"/>
          <w:szCs w:val="32"/>
        </w:rPr>
      </w:pPr>
    </w:p>
    <w:p w14:paraId="245061F5">
      <w:pPr>
        <w:spacing w:line="540" w:lineRule="exact"/>
        <w:ind w:firstLine="640" w:firstLineChars="200"/>
        <w:jc w:val="left"/>
        <w:rPr>
          <w:rFonts w:ascii="仿宋_GB2312" w:eastAsia="仿宋_GB2312"/>
          <w:sz w:val="32"/>
          <w:szCs w:val="32"/>
        </w:rPr>
      </w:pPr>
    </w:p>
    <w:p w14:paraId="76406A12">
      <w:pPr>
        <w:spacing w:line="540" w:lineRule="exact"/>
        <w:rPr>
          <w:rFonts w:ascii="宋体" w:hAnsi="宋体"/>
          <w:b/>
          <w:sz w:val="36"/>
          <w:szCs w:val="36"/>
        </w:rPr>
      </w:pPr>
    </w:p>
    <w:p w14:paraId="600E8FF1">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14:paraId="79B3524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（一）收入总计664.35万元，包括：</w:t>
      </w:r>
    </w:p>
    <w:p w14:paraId="3D54417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ascii="仿宋_GB2312" w:hAnsi="宋体" w:eastAsia="仿宋_GB2312"/>
          <w:sz w:val="32"/>
          <w:szCs w:val="32"/>
        </w:rPr>
        <w:t>662.56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rPr>
        <w:t>99.73</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ascii="仿宋_GB2312" w:hAnsi="宋体" w:eastAsia="仿宋_GB2312"/>
          <w:sz w:val="32"/>
          <w:szCs w:val="32"/>
        </w:rPr>
        <w:t>662.56</w:t>
      </w:r>
      <w:r>
        <w:rPr>
          <w:rFonts w:hint="eastAsia" w:ascii="仿宋_GB2312" w:hAnsi="宋体" w:eastAsia="仿宋_GB2312"/>
          <w:sz w:val="32"/>
          <w:szCs w:val="32"/>
        </w:rPr>
        <w:t>万元，政府性基金收入0万元，国有资本经营预算财政拨款收入0万元。</w:t>
      </w:r>
    </w:p>
    <w:p w14:paraId="222BBFF4">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w:t>
      </w:r>
    </w:p>
    <w:p w14:paraId="3291CD0A">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14:paraId="6CE141F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14:paraId="62EFE681">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w:t>
      </w:r>
    </w:p>
    <w:p w14:paraId="1E5ED2F9">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6.其他收入0.01万元，占收入总计的0.0015%，主要是利息收入。</w:t>
      </w:r>
    </w:p>
    <w:p w14:paraId="04D65F06">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7.用事业基金弥补收支差额0万元，占收入总计的0%。</w:t>
      </w:r>
    </w:p>
    <w:p w14:paraId="72876BD9">
      <w:pPr>
        <w:spacing w:line="540" w:lineRule="exact"/>
        <w:ind w:firstLine="660"/>
        <w:rPr>
          <w:rFonts w:eastAsia="仿宋_GB2312" w:asciiTheme="minorHAnsi" w:hAnsiTheme="minorHAnsi"/>
          <w:sz w:val="32"/>
          <w:szCs w:val="32"/>
        </w:rPr>
      </w:pPr>
      <w:r>
        <w:rPr>
          <w:rFonts w:hint="eastAsia" w:ascii="仿宋_GB2312" w:hAnsi="宋体" w:eastAsia="仿宋_GB2312"/>
          <w:sz w:val="32"/>
          <w:szCs w:val="32"/>
        </w:rPr>
        <w:t>8.上年结转和结余1.78万元，占收入总计的0.27%。主要是上一年度基本支出结转款。</w:t>
      </w:r>
    </w:p>
    <w:p w14:paraId="4A3BB2D9">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w:t>
      </w:r>
      <w:r>
        <w:rPr>
          <w:rFonts w:hint="eastAsia" w:eastAsia="仿宋_GB2312" w:asciiTheme="minorHAnsi" w:hAnsiTheme="minorHAnsi"/>
          <w:sz w:val="32"/>
          <w:szCs w:val="32"/>
        </w:rPr>
        <w:t>增加38.25</w:t>
      </w:r>
      <w:r>
        <w:rPr>
          <w:rFonts w:hint="eastAsia" w:ascii="仿宋_GB2312" w:hAnsi="宋体" w:eastAsia="仿宋_GB2312"/>
          <w:sz w:val="32"/>
          <w:szCs w:val="32"/>
        </w:rPr>
        <w:t>万元，增加5.89%，主要原因：原对外友好属于自收自支单位已纳入财政预算。</w:t>
      </w:r>
    </w:p>
    <w:p w14:paraId="57D6569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（二）支出总计663.08万元，包括：</w:t>
      </w:r>
    </w:p>
    <w:p w14:paraId="5095750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1.基本支出645.50万元，占支出总计的97.34%。主要是为保障机构正常运转、完成日常工作任务而发生的各项支出，其中：工资福利支出590.28万元，对个人和家庭的补助支出</w:t>
      </w:r>
      <w:r>
        <w:rPr>
          <w:rFonts w:eastAsia="仿宋_GB2312" w:asciiTheme="minorHAnsi" w:hAnsiTheme="minorHAnsi"/>
          <w:sz w:val="32"/>
          <w:szCs w:val="32"/>
        </w:rPr>
        <w:t>2</w:t>
      </w:r>
      <w:r>
        <w:rPr>
          <w:rFonts w:ascii="仿宋_GB2312" w:hAnsi="宋体" w:eastAsia="仿宋_GB2312"/>
          <w:sz w:val="32"/>
          <w:szCs w:val="32"/>
        </w:rPr>
        <w:t>.</w:t>
      </w:r>
      <w:r>
        <w:rPr>
          <w:rFonts w:hint="eastAsia" w:ascii="仿宋_GB2312" w:hAnsi="宋体" w:eastAsia="仿宋_GB2312"/>
          <w:sz w:val="32"/>
          <w:szCs w:val="32"/>
        </w:rPr>
        <w:t>06万元，商品和服务支出52.66万元，资本性支出</w:t>
      </w:r>
      <w:r>
        <w:rPr>
          <w:rFonts w:ascii="仿宋_GB2312" w:hAnsi="宋体" w:eastAsia="仿宋_GB2312"/>
          <w:sz w:val="32"/>
          <w:szCs w:val="32"/>
        </w:rPr>
        <w:t>0.</w:t>
      </w:r>
      <w:r>
        <w:rPr>
          <w:rFonts w:hint="eastAsia" w:ascii="仿宋_GB2312" w:hAnsi="宋体" w:eastAsia="仿宋_GB2312"/>
          <w:sz w:val="32"/>
          <w:szCs w:val="32"/>
        </w:rPr>
        <w:t>50万元 。</w:t>
      </w:r>
    </w:p>
    <w:p w14:paraId="23889BC9">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2.项目支出17.58万元，占支出总计的2.65%。主要包括一带一路物流基地建设工作经费等业务支出。</w:t>
      </w:r>
    </w:p>
    <w:p w14:paraId="7BACFC2D">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3.上缴上级支出0万元，占支出总计的0%。</w:t>
      </w:r>
    </w:p>
    <w:p w14:paraId="2E49894B">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4.经营支出0万元，占支出总计的0%。</w:t>
      </w:r>
    </w:p>
    <w:p w14:paraId="404E4213">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5.对附属单位补助支出0万元，占支出总计的0%。</w:t>
      </w:r>
    </w:p>
    <w:p w14:paraId="2D4B0314">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w:t>
      </w:r>
      <w:r>
        <w:rPr>
          <w:rFonts w:hint="eastAsia" w:eastAsia="仿宋_GB2312" w:asciiTheme="minorHAnsi" w:hAnsiTheme="minorHAnsi"/>
          <w:sz w:val="32"/>
          <w:szCs w:val="32"/>
        </w:rPr>
        <w:t>增加</w:t>
      </w:r>
      <w:r>
        <w:rPr>
          <w:rFonts w:hint="eastAsia" w:ascii="仿宋_GB2312" w:hAnsi="宋体" w:eastAsia="仿宋_GB2312"/>
          <w:sz w:val="32"/>
          <w:szCs w:val="32"/>
        </w:rPr>
        <w:t>16.52万元，增加2.55%，主要原因：对外友好人员工资及保险各项费用已纳入预算。</w:t>
      </w:r>
    </w:p>
    <w:p w14:paraId="7A5A6D9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（三）年末结转和结余1.26万元。</w:t>
      </w:r>
    </w:p>
    <w:p w14:paraId="40FCCC2D">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主要是基本支出及项目款形成的结余。与上年相比，今年结转结余减少0.52万元，降低29.21%，主要原因：项目招商出差减少。</w:t>
      </w:r>
    </w:p>
    <w:p w14:paraId="1128CB26">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14:paraId="37CE165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3B344DC">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2022年度财政拨款支出663.08万元，其中：基本支出645.50万元，项目支出17.58万元。与</w:t>
      </w:r>
      <w:r>
        <w:rPr>
          <w:rFonts w:ascii="仿宋_GB2312" w:hAnsi="宋体" w:eastAsia="仿宋_GB2312"/>
          <w:sz w:val="32"/>
          <w:szCs w:val="32"/>
        </w:rPr>
        <w:t>上年相比，</w:t>
      </w:r>
      <w:r>
        <w:rPr>
          <w:rFonts w:hint="eastAsia" w:ascii="仿宋_GB2312" w:hAnsi="宋体" w:eastAsia="仿宋_GB2312"/>
          <w:sz w:val="32"/>
          <w:szCs w:val="32"/>
        </w:rPr>
        <w:t>财政拨款支出增加16.52万元，增加2.55%，主要原因</w:t>
      </w:r>
      <w:r>
        <w:rPr>
          <w:rFonts w:hint="eastAsia" w:ascii="仿宋" w:hAnsi="仿宋" w:eastAsia="仿宋" w:cs="仿宋"/>
          <w:b/>
          <w:bCs/>
          <w:sz w:val="32"/>
          <w:szCs w:val="32"/>
        </w:rPr>
        <w:t>：</w:t>
      </w:r>
      <w:r>
        <w:rPr>
          <w:rFonts w:hint="eastAsia" w:ascii="仿宋_GB2312" w:hAnsi="宋体" w:eastAsia="仿宋_GB2312"/>
          <w:sz w:val="32"/>
          <w:szCs w:val="32"/>
        </w:rPr>
        <w:t>对外友好人员工资及保险各项费用已纳入预算。</w:t>
      </w:r>
    </w:p>
    <w:p w14:paraId="2BFE826F">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与年初预算相比，2022财政拨款支出完成年初预算的127.70%，其中：基本支出完成年初预算的134.5%，项目完成年初预算的44.50%。</w:t>
      </w:r>
    </w:p>
    <w:p w14:paraId="5074117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4569489D">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2022年度一般公共预算财政拨款支出663.08万元，按支出功能分类科目分，包括：社会保障和就业支出67.28万元，占10.14%；卫生健康支出23.08万元，占3.</w:t>
      </w:r>
      <w:r>
        <w:rPr>
          <w:rFonts w:ascii="仿宋_GB2312" w:hAnsi="宋体" w:eastAsia="仿宋_GB2312"/>
          <w:sz w:val="32"/>
          <w:szCs w:val="32"/>
        </w:rPr>
        <w:t>4</w:t>
      </w:r>
      <w:r>
        <w:rPr>
          <w:rFonts w:hint="eastAsia" w:ascii="仿宋_GB2312" w:hAnsi="宋体" w:eastAsia="仿宋_GB2312"/>
          <w:sz w:val="32"/>
          <w:szCs w:val="32"/>
        </w:rPr>
        <w:t>8%；住房保障支出41.78万元，占6.30%；商业服务业等支出528.94万元，占79.77%。</w:t>
      </w:r>
      <w:r>
        <w:rPr>
          <w:rFonts w:hint="eastAsia" w:eastAsia="仿宋_GB2312" w:asciiTheme="minorHAnsi" w:hAnsiTheme="minorHAnsi"/>
          <w:sz w:val="32"/>
          <w:szCs w:val="32"/>
        </w:rPr>
        <w:t>其他支</w:t>
      </w:r>
      <w:r>
        <w:rPr>
          <w:rFonts w:hint="eastAsia" w:ascii="仿宋_GB2312" w:hAnsi="宋体" w:eastAsia="仿宋_GB2312"/>
          <w:sz w:val="32"/>
          <w:szCs w:val="32"/>
        </w:rPr>
        <w:t>出2万元。占0.30%。</w:t>
      </w:r>
    </w:p>
    <w:p w14:paraId="68F68E82">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1.社会保障和就业支出67.28万元，完成年初预算的130.33%，决算数大于年初预算数的主要原因是2022年度新增人员，具体包括：</w:t>
      </w:r>
    </w:p>
    <w:p w14:paraId="759D692C">
      <w:pPr>
        <w:spacing w:line="540" w:lineRule="exact"/>
        <w:ind w:firstLine="640" w:firstLineChars="200"/>
        <w:rPr>
          <w:rFonts w:ascii="仿宋" w:hAnsi="仿宋" w:eastAsia="仿宋"/>
          <w:sz w:val="32"/>
          <w:szCs w:val="32"/>
        </w:rPr>
      </w:pPr>
      <w:r>
        <w:rPr>
          <w:rFonts w:hint="eastAsia" w:ascii="仿宋" w:hAnsi="仿宋" w:eastAsia="仿宋"/>
          <w:sz w:val="32"/>
          <w:szCs w:val="32"/>
        </w:rPr>
        <w:t>（1）社会保障和就业支出（类）行政事业单位养老支出（款）事业单位离退休（项）1.05万元，主要是退休人员取暖费等支出，完成年初预算的</w:t>
      </w:r>
      <w:r>
        <w:rPr>
          <w:rFonts w:ascii="仿宋" w:hAnsi="仿宋" w:eastAsia="仿宋"/>
          <w:sz w:val="32"/>
          <w:szCs w:val="32"/>
        </w:rPr>
        <w:t>100</w:t>
      </w:r>
      <w:r>
        <w:rPr>
          <w:rFonts w:hint="eastAsia" w:ascii="仿宋" w:hAnsi="仿宋" w:eastAsia="仿宋"/>
          <w:sz w:val="32"/>
          <w:szCs w:val="32"/>
        </w:rPr>
        <w:t>%。</w:t>
      </w:r>
    </w:p>
    <w:p w14:paraId="4DB8FDE1">
      <w:pPr>
        <w:spacing w:line="540" w:lineRule="exact"/>
        <w:ind w:firstLine="660"/>
        <w:rPr>
          <w:rFonts w:ascii="仿宋" w:hAnsi="仿宋" w:eastAsia="仿宋"/>
          <w:sz w:val="32"/>
          <w:szCs w:val="32"/>
        </w:rPr>
      </w:pPr>
      <w:r>
        <w:rPr>
          <w:rFonts w:hint="eastAsia" w:ascii="仿宋" w:hAnsi="仿宋" w:eastAsia="仿宋"/>
          <w:sz w:val="32"/>
          <w:szCs w:val="32"/>
        </w:rPr>
        <w:t>（2）</w:t>
      </w:r>
      <w:bookmarkStart w:id="0" w:name="_Hlk83064745"/>
      <w:r>
        <w:rPr>
          <w:rFonts w:hint="eastAsia" w:ascii="仿宋" w:hAnsi="仿宋" w:eastAsia="仿宋"/>
          <w:sz w:val="32"/>
          <w:szCs w:val="32"/>
        </w:rPr>
        <w:t>社会保障和就业支出（类）行政事业单位养老支出（款）机关事业单位基本养老保险缴费支出（项）55.84万元，主要是职工养老保险缴费等支出，完成年初预算的111.50%，决算数大于年初预算数的原因主要是新增人员。</w:t>
      </w:r>
    </w:p>
    <w:bookmarkEnd w:id="0"/>
    <w:p w14:paraId="1CD7F7F1">
      <w:pPr>
        <w:spacing w:line="540" w:lineRule="exact"/>
        <w:ind w:firstLine="660"/>
        <w:rPr>
          <w:rFonts w:ascii="仿宋" w:hAnsi="仿宋" w:eastAsia="仿宋"/>
          <w:sz w:val="32"/>
          <w:szCs w:val="32"/>
        </w:rPr>
      </w:pPr>
      <w:r>
        <w:rPr>
          <w:rFonts w:hint="eastAsia" w:ascii="仿宋" w:hAnsi="仿宋" w:eastAsia="仿宋"/>
          <w:sz w:val="32"/>
          <w:szCs w:val="32"/>
        </w:rPr>
        <w:t>（3）社会保障和就业支出（类）抚恤（款）伤残抚恤（项）1.05万元，主要是退休人员伤残抚恤金等支出，完成年初预算的100%。</w:t>
      </w:r>
    </w:p>
    <w:p w14:paraId="24C340C1">
      <w:pPr>
        <w:spacing w:line="540" w:lineRule="exact"/>
        <w:ind w:firstLine="660"/>
        <w:rPr>
          <w:rFonts w:ascii="仿宋" w:hAnsi="仿宋" w:eastAsia="仿宋"/>
          <w:sz w:val="32"/>
          <w:szCs w:val="32"/>
        </w:rPr>
      </w:pPr>
      <w:r>
        <w:rPr>
          <w:rFonts w:hint="eastAsia" w:ascii="仿宋" w:hAnsi="仿宋" w:eastAsia="仿宋"/>
          <w:sz w:val="32"/>
          <w:szCs w:val="32"/>
        </w:rPr>
        <w:t>（4）社会保障和就业支出（类）行政事业单位养老支出（款）机关事业单位职业年金缴费支出（项）7.80万元，主要是职工职业年金缴费等支出.</w:t>
      </w:r>
    </w:p>
    <w:p w14:paraId="4AE9350D">
      <w:pPr>
        <w:spacing w:line="540" w:lineRule="exact"/>
        <w:ind w:firstLine="660"/>
        <w:rPr>
          <w:rFonts w:ascii="仿宋" w:hAnsi="仿宋" w:eastAsia="仿宋"/>
          <w:sz w:val="32"/>
          <w:szCs w:val="32"/>
        </w:rPr>
      </w:pPr>
      <w:r>
        <w:rPr>
          <w:rFonts w:hint="eastAsia" w:ascii="仿宋" w:hAnsi="仿宋" w:eastAsia="仿宋"/>
          <w:sz w:val="32"/>
          <w:szCs w:val="32"/>
        </w:rPr>
        <w:t>（5）社会保障和就业支出（类）其他社会保障和就业支出（款）其他社会保障和就业支出（项）1.54万元，主要是职工失业保险缴费等支出，完成年初预算的100%。</w:t>
      </w:r>
    </w:p>
    <w:p w14:paraId="79726978">
      <w:pPr>
        <w:spacing w:line="540" w:lineRule="exact"/>
        <w:ind w:firstLine="660"/>
        <w:rPr>
          <w:rFonts w:ascii="仿宋" w:hAnsi="仿宋" w:eastAsia="仿宋"/>
          <w:sz w:val="32"/>
          <w:szCs w:val="32"/>
        </w:rPr>
      </w:pPr>
      <w:r>
        <w:rPr>
          <w:rFonts w:hint="eastAsia" w:ascii="仿宋" w:hAnsi="仿宋" w:eastAsia="仿宋"/>
          <w:sz w:val="32"/>
          <w:szCs w:val="32"/>
        </w:rPr>
        <w:t xml:space="preserve"> 3.卫生健康支出23.08万元，包括：</w:t>
      </w:r>
    </w:p>
    <w:p w14:paraId="66EEB8CA">
      <w:pPr>
        <w:spacing w:line="540" w:lineRule="exact"/>
        <w:ind w:firstLine="660"/>
        <w:rPr>
          <w:rFonts w:ascii="仿宋_GB2312" w:hAnsi="宋体" w:eastAsia="仿宋_GB2312"/>
          <w:sz w:val="32"/>
          <w:szCs w:val="32"/>
        </w:rPr>
      </w:pPr>
      <w:r>
        <w:rPr>
          <w:rFonts w:hint="eastAsia" w:ascii="仿宋" w:hAnsi="仿宋" w:eastAsia="仿宋"/>
          <w:sz w:val="32"/>
          <w:szCs w:val="32"/>
        </w:rPr>
        <w:t>（1）卫生健康支出（类）行政事业单位医疗（款）事业单位医疗（项）22.22万元，主要是职工医疗保险缴费等支出，完成年初预算的96.27%，决算数大于年初预算数的原因主要</w:t>
      </w:r>
      <w:r>
        <w:rPr>
          <w:rFonts w:hint="eastAsia" w:ascii="仿宋_GB2312" w:hAnsi="宋体" w:eastAsia="仿宋_GB2312"/>
          <w:sz w:val="32"/>
          <w:szCs w:val="32"/>
        </w:rPr>
        <w:t>新增人员医疗保险。</w:t>
      </w:r>
    </w:p>
    <w:p w14:paraId="035C236D">
      <w:pPr>
        <w:spacing w:line="540" w:lineRule="exact"/>
        <w:ind w:firstLine="660"/>
        <w:rPr>
          <w:rFonts w:ascii="仿宋" w:hAnsi="仿宋" w:eastAsia="仿宋"/>
          <w:sz w:val="32"/>
          <w:szCs w:val="32"/>
        </w:rPr>
      </w:pPr>
      <w:r>
        <w:rPr>
          <w:rFonts w:hint="eastAsia" w:ascii="仿宋" w:hAnsi="仿宋" w:eastAsia="仿宋"/>
          <w:sz w:val="32"/>
          <w:szCs w:val="32"/>
        </w:rPr>
        <w:t>（2）卫生健康支出（类）行政事业单位医疗（款）其他行政事业单位医疗支出（项）0.86万元，主要是职工大额医疗保险和工伤保险缴费等支出，完成年初预算的55.84%，决算数大于年初预算数的原因主要是新增人员</w:t>
      </w:r>
    </w:p>
    <w:p w14:paraId="15D9E6C3">
      <w:pPr>
        <w:spacing w:line="540" w:lineRule="exact"/>
        <w:ind w:firstLine="660"/>
        <w:rPr>
          <w:rFonts w:ascii="仿宋" w:hAnsi="仿宋" w:eastAsia="仿宋"/>
          <w:sz w:val="32"/>
          <w:szCs w:val="32"/>
        </w:rPr>
      </w:pPr>
      <w:r>
        <w:rPr>
          <w:rFonts w:hint="eastAsia" w:ascii="仿宋" w:hAnsi="仿宋" w:eastAsia="仿宋"/>
          <w:sz w:val="32"/>
          <w:szCs w:val="32"/>
        </w:rPr>
        <w:t>4.商业服务业等支出528.94万元，完成年初预算的101.87%，决算数大于预算数的原因是新增人员。其中：</w:t>
      </w:r>
    </w:p>
    <w:p w14:paraId="781A6B0B">
      <w:pPr>
        <w:spacing w:line="540" w:lineRule="exact"/>
        <w:ind w:firstLine="660"/>
        <w:rPr>
          <w:rFonts w:ascii="仿宋" w:hAnsi="仿宋" w:eastAsia="仿宋"/>
          <w:sz w:val="32"/>
          <w:szCs w:val="32"/>
        </w:rPr>
      </w:pPr>
      <w:r>
        <w:rPr>
          <w:rFonts w:hint="eastAsia" w:ascii="仿宋" w:hAnsi="仿宋" w:eastAsia="仿宋"/>
          <w:sz w:val="32"/>
          <w:szCs w:val="32"/>
        </w:rPr>
        <w:t>（1）商业服务业等支出（类）商业流通事务（款）事业运行（项）513.36万元，主要是单位的人员经费和公用经费。</w:t>
      </w:r>
    </w:p>
    <w:p w14:paraId="5FD1E0F6">
      <w:pPr>
        <w:spacing w:line="540" w:lineRule="exact"/>
        <w:ind w:firstLine="660"/>
        <w:rPr>
          <w:rFonts w:ascii="仿宋" w:hAnsi="仿宋" w:eastAsia="仿宋"/>
          <w:sz w:val="32"/>
          <w:szCs w:val="32"/>
        </w:rPr>
      </w:pPr>
      <w:r>
        <w:rPr>
          <w:rFonts w:hint="eastAsia" w:ascii="仿宋" w:hAnsi="仿宋" w:eastAsia="仿宋"/>
          <w:sz w:val="32"/>
          <w:szCs w:val="32"/>
        </w:rPr>
        <w:t>（2）商业服务业等支出（类）商业流通事务（款）其他商业流通事务支出（项）15.58万元，主要是单位的项目支出</w:t>
      </w:r>
    </w:p>
    <w:p w14:paraId="7522E47C">
      <w:pPr>
        <w:spacing w:line="540" w:lineRule="exact"/>
        <w:ind w:firstLine="660"/>
        <w:rPr>
          <w:rFonts w:ascii="仿宋" w:hAnsi="仿宋" w:eastAsia="仿宋"/>
          <w:sz w:val="32"/>
          <w:szCs w:val="32"/>
        </w:rPr>
      </w:pPr>
      <w:r>
        <w:rPr>
          <w:rFonts w:hint="eastAsia" w:ascii="仿宋" w:hAnsi="仿宋" w:eastAsia="仿宋"/>
          <w:sz w:val="32"/>
          <w:szCs w:val="32"/>
        </w:rPr>
        <w:t>4.住房保障支出41.78万元，具体包括：</w:t>
      </w:r>
    </w:p>
    <w:p w14:paraId="0064A0DD">
      <w:pPr>
        <w:spacing w:line="540" w:lineRule="exact"/>
        <w:ind w:firstLine="640" w:firstLineChars="200"/>
        <w:rPr>
          <w:rFonts w:ascii="仿宋_GB2312" w:hAnsi="宋体" w:eastAsia="仿宋_GB2312"/>
          <w:sz w:val="32"/>
          <w:szCs w:val="32"/>
        </w:rPr>
      </w:pPr>
      <w:r>
        <w:rPr>
          <w:rFonts w:hint="eastAsia" w:ascii="仿宋" w:hAnsi="仿宋" w:eastAsia="仿宋"/>
          <w:sz w:val="32"/>
          <w:szCs w:val="32"/>
        </w:rPr>
        <w:t>（1）住房保障支出（类）住房改革支出（款）住房公积金（项）41.78万元，主要是职工住房公积金缴费等支出，完成年初预算的119.43%，</w:t>
      </w:r>
      <w:r>
        <w:rPr>
          <w:rFonts w:hint="eastAsia" w:ascii="仿宋_GB2312" w:hAnsi="宋体" w:eastAsia="仿宋_GB2312"/>
          <w:sz w:val="32"/>
          <w:szCs w:val="32"/>
        </w:rPr>
        <w:t>决算数大于年初预算数的原因主要是新增人员。</w:t>
      </w:r>
    </w:p>
    <w:p w14:paraId="540029DF">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5.其他支出2万元（涉密）</w:t>
      </w:r>
    </w:p>
    <w:p w14:paraId="601F3671">
      <w:pPr>
        <w:spacing w:line="540" w:lineRule="exact"/>
        <w:rPr>
          <w:rFonts w:ascii="仿宋_GB2312" w:hAnsi="宋体" w:eastAsia="仿宋_GB2312"/>
          <w:sz w:val="32"/>
          <w:szCs w:val="32"/>
        </w:rPr>
      </w:pPr>
    </w:p>
    <w:p w14:paraId="67D4CF01">
      <w:pPr>
        <w:spacing w:line="540" w:lineRule="exact"/>
        <w:ind w:firstLine="660"/>
        <w:rPr>
          <w:rFonts w:ascii="仿宋" w:hAnsi="仿宋" w:eastAsia="仿宋"/>
          <w:b/>
          <w:sz w:val="32"/>
          <w:szCs w:val="32"/>
        </w:rPr>
      </w:pPr>
      <w:r>
        <w:rPr>
          <w:rFonts w:hint="eastAsia" w:ascii="仿宋" w:hAnsi="仿宋" w:eastAsia="仿宋"/>
          <w:b/>
          <w:sz w:val="32"/>
          <w:szCs w:val="32"/>
        </w:rPr>
        <w:t>（三）政府性基金预算财政拨款支出情况。</w:t>
      </w:r>
    </w:p>
    <w:p w14:paraId="433E9B23">
      <w:pPr>
        <w:spacing w:line="540" w:lineRule="exact"/>
        <w:ind w:firstLine="660"/>
        <w:rPr>
          <w:rFonts w:ascii="仿宋" w:hAnsi="仿宋" w:eastAsia="仿宋"/>
          <w:sz w:val="32"/>
          <w:szCs w:val="32"/>
        </w:rPr>
      </w:pPr>
      <w:r>
        <w:rPr>
          <w:rFonts w:hint="eastAsia" w:ascii="仿宋" w:hAnsi="仿宋" w:eastAsia="仿宋"/>
          <w:sz w:val="32"/>
          <w:szCs w:val="32"/>
        </w:rPr>
        <w:t>2022年度政府性基金预算财政拨款支出0万元，本部门2021年度无政府性基金预算财政拨款支出，无此类资金收支余</w:t>
      </w:r>
    </w:p>
    <w:p w14:paraId="70D5CAD7">
      <w:pPr>
        <w:spacing w:line="540" w:lineRule="exact"/>
        <w:ind w:firstLine="660"/>
        <w:rPr>
          <w:rFonts w:ascii="仿宋" w:hAnsi="仿宋" w:eastAsia="仿宋"/>
          <w:b/>
          <w:sz w:val="32"/>
          <w:szCs w:val="32"/>
        </w:rPr>
      </w:pPr>
      <w:r>
        <w:rPr>
          <w:rFonts w:hint="eastAsia" w:ascii="仿宋" w:hAnsi="仿宋" w:eastAsia="仿宋"/>
          <w:b/>
          <w:sz w:val="32"/>
          <w:szCs w:val="32"/>
        </w:rPr>
        <w:t>（四）国有资本经营预算财政拨款支出情况。</w:t>
      </w:r>
    </w:p>
    <w:p w14:paraId="35C38791">
      <w:pPr>
        <w:spacing w:line="540" w:lineRule="exact"/>
        <w:ind w:firstLine="660"/>
        <w:rPr>
          <w:rFonts w:ascii="仿宋" w:hAnsi="仿宋" w:eastAsia="仿宋"/>
          <w:sz w:val="32"/>
          <w:szCs w:val="32"/>
        </w:rPr>
      </w:pPr>
      <w:r>
        <w:rPr>
          <w:rFonts w:hint="eastAsia" w:ascii="仿宋" w:hAnsi="仿宋" w:eastAsia="仿宋"/>
          <w:sz w:val="32"/>
          <w:szCs w:val="32"/>
        </w:rPr>
        <w:t>2022年度国有资本经营预算财政拨款支出0万元，本部门2022年度无国有资本经营预算财政拨款支出，无此类资金收支余</w:t>
      </w:r>
    </w:p>
    <w:p w14:paraId="70409B35">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w:t>
      </w:r>
    </w:p>
    <w:p w14:paraId="51184256">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w:t>
      </w:r>
      <w:r>
        <w:rPr>
          <w:rFonts w:ascii="仿宋_GB2312" w:hAnsi="宋体" w:eastAsia="仿宋_GB2312"/>
          <w:sz w:val="32"/>
          <w:szCs w:val="32"/>
        </w:rPr>
        <w:t>2</w:t>
      </w:r>
      <w:r>
        <w:rPr>
          <w:rFonts w:hint="eastAsia" w:ascii="仿宋_GB2312" w:hAnsi="宋体" w:eastAsia="仿宋_GB2312"/>
          <w:sz w:val="32"/>
          <w:szCs w:val="32"/>
        </w:rPr>
        <w:t>年度一般公共预算财政拨款安排的“三公”经费支出9.84万元，完成年初预算的98.4%，决算数小于年初预算数的主要原因是公务车运行维护费减少。与上年相比，今年“三公”经费支出增加1.43万元，增加17.02%，主要原因：公务车运行维护费增加。</w:t>
      </w:r>
    </w:p>
    <w:p w14:paraId="4A492421">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其中：因公出国（境）费0万元，公务接待费0万元，公务用车购置及运行维护费9.84万元。</w:t>
      </w:r>
    </w:p>
    <w:p w14:paraId="5E75829D">
      <w:pPr>
        <w:spacing w:line="540" w:lineRule="exact"/>
        <w:ind w:firstLine="645"/>
        <w:rPr>
          <w:rFonts w:ascii="仿宋" w:hAnsi="仿宋" w:eastAsia="仿宋"/>
          <w:sz w:val="32"/>
          <w:szCs w:val="32"/>
        </w:rPr>
      </w:pPr>
      <w:r>
        <w:rPr>
          <w:rFonts w:hint="eastAsia" w:ascii="仿宋" w:hAnsi="仿宋" w:eastAsia="仿宋"/>
          <w:sz w:val="32"/>
          <w:szCs w:val="32"/>
        </w:rPr>
        <w:t>1.因公出国（境）费0万元，占“三公”经费支出的0%。决算数与年初预算数相等，均为0万元，主要原因是年初未做预算，本年未发生因公出国事项。2022年参加出国（境）团组0个，累计0人次，未参加任何团组。2022年因公出国（境）费比上年增加0万元，增长0%，主要原因是2021年和2022年本单位均为发生因公出国事项，无因公出国（境）支出。</w:t>
      </w:r>
    </w:p>
    <w:p w14:paraId="7A4821B3">
      <w:pPr>
        <w:spacing w:line="540" w:lineRule="exact"/>
        <w:ind w:firstLine="645"/>
        <w:rPr>
          <w:rFonts w:ascii="仿宋" w:hAnsi="仿宋" w:eastAsia="仿宋"/>
          <w:sz w:val="32"/>
          <w:szCs w:val="32"/>
        </w:rPr>
      </w:pPr>
      <w:r>
        <w:rPr>
          <w:rFonts w:hint="eastAsia" w:ascii="仿宋" w:hAnsi="仿宋" w:eastAsia="仿宋"/>
          <w:sz w:val="32"/>
          <w:szCs w:val="32"/>
        </w:rPr>
        <w:t>2.公务接待费0万元，占“三公”经费支出的0%。决算数与年初预算数相等，均为0万元，主要原因是年初未做预算，本年未发生公务接待事项。2022年国内公务接待累计0批次、0人、0万元，无支出事项和用途；其中外事接待累计0批次、0人、0万元，无支出事项和用途。主要是本年无公务接待事宜支出。2022年公务接待费费比上年增加0万元，增长0%，主要原因是2021年和2022年本单位均为发生公务接待事项，无公务接待支出。</w:t>
      </w:r>
    </w:p>
    <w:p w14:paraId="1E3992CD">
      <w:pPr>
        <w:spacing w:line="540" w:lineRule="exact"/>
        <w:ind w:firstLine="645"/>
        <w:rPr>
          <w:rFonts w:ascii="仿宋" w:hAnsi="仿宋" w:eastAsia="仿宋"/>
          <w:sz w:val="32"/>
          <w:szCs w:val="32"/>
        </w:rPr>
      </w:pPr>
      <w:r>
        <w:rPr>
          <w:rFonts w:hint="eastAsia" w:ascii="仿宋" w:hAnsi="仿宋" w:eastAsia="仿宋"/>
          <w:sz w:val="32"/>
          <w:szCs w:val="32"/>
        </w:rPr>
        <w:t>3.公务用车购置及</w:t>
      </w:r>
      <w:r>
        <w:rPr>
          <w:rFonts w:ascii="仿宋" w:hAnsi="仿宋" w:eastAsia="仿宋"/>
          <w:sz w:val="32"/>
          <w:szCs w:val="32"/>
        </w:rPr>
        <w:t>运行费</w:t>
      </w:r>
      <w:r>
        <w:rPr>
          <w:rFonts w:hint="eastAsia" w:ascii="仿宋" w:hAnsi="仿宋" w:eastAsia="仿宋"/>
          <w:sz w:val="32"/>
          <w:szCs w:val="32"/>
        </w:rPr>
        <w:t>9.84万元，占“三公”经费支出的100%。完成年初预算的98.4%，决算数小于年初预算数的主要原因是厉行节约，严格执行公车使用规定。比上年增加1.43万元，上升17.02%，主要是本年公务用车核算增加。</w:t>
      </w:r>
    </w:p>
    <w:p w14:paraId="30D30EA9">
      <w:pPr>
        <w:spacing w:line="540" w:lineRule="exact"/>
        <w:ind w:firstLine="645"/>
        <w:rPr>
          <w:rFonts w:ascii="仿宋" w:hAnsi="仿宋" w:eastAsia="仿宋"/>
          <w:sz w:val="32"/>
          <w:szCs w:val="32"/>
        </w:rPr>
      </w:pPr>
      <w:r>
        <w:rPr>
          <w:rFonts w:hint="eastAsia" w:ascii="仿宋" w:hAnsi="仿宋" w:eastAsia="仿宋"/>
          <w:sz w:val="32"/>
          <w:szCs w:val="32"/>
        </w:rPr>
        <w:t>其中：公务用车购置费0万元，本年未发生公务用车购置事项,当年购置公务用车0辆。公务用车运行维护9.84万元，主要用于公务用车车燃费等各项支出，截至年末使用</w:t>
      </w:r>
      <w:r>
        <w:rPr>
          <w:rFonts w:ascii="仿宋" w:hAnsi="仿宋" w:eastAsia="仿宋"/>
          <w:sz w:val="32"/>
          <w:szCs w:val="32"/>
        </w:rPr>
        <w:t>一般公共预算财政拨款开支</w:t>
      </w:r>
      <w:r>
        <w:rPr>
          <w:rFonts w:hint="eastAsia" w:ascii="仿宋" w:hAnsi="仿宋" w:eastAsia="仿宋"/>
          <w:sz w:val="32"/>
          <w:szCs w:val="32"/>
        </w:rPr>
        <w:t>运行维护费</w:t>
      </w:r>
      <w:r>
        <w:rPr>
          <w:rFonts w:ascii="仿宋" w:hAnsi="仿宋" w:eastAsia="仿宋"/>
          <w:sz w:val="32"/>
          <w:szCs w:val="32"/>
        </w:rPr>
        <w:t>的</w:t>
      </w:r>
      <w:r>
        <w:rPr>
          <w:rFonts w:hint="eastAsia" w:ascii="仿宋" w:hAnsi="仿宋" w:eastAsia="仿宋"/>
          <w:sz w:val="32"/>
          <w:szCs w:val="32"/>
        </w:rPr>
        <w:t>公务用车保有量2辆。</w:t>
      </w:r>
    </w:p>
    <w:p w14:paraId="2BD27E3F">
      <w:pPr>
        <w:spacing w:line="540" w:lineRule="exact"/>
        <w:ind w:firstLine="640" w:firstLineChars="200"/>
        <w:rPr>
          <w:rFonts w:ascii="黑体" w:hAnsi="黑体" w:eastAsia="黑体"/>
          <w:sz w:val="32"/>
          <w:szCs w:val="32"/>
        </w:rPr>
      </w:pPr>
      <w:r>
        <w:rPr>
          <w:rFonts w:hint="eastAsia" w:ascii="黑体" w:hAnsi="黑体" w:eastAsia="黑体"/>
          <w:sz w:val="32"/>
          <w:szCs w:val="32"/>
        </w:rPr>
        <w:t>四、一般公共预算财政拨款基本支出决算情况说明</w:t>
      </w:r>
    </w:p>
    <w:p w14:paraId="493BE270">
      <w:pPr>
        <w:spacing w:line="540" w:lineRule="exact"/>
        <w:ind w:firstLine="640" w:firstLineChars="200"/>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2</w:t>
      </w:r>
      <w:r>
        <w:rPr>
          <w:rFonts w:hint="eastAsia" w:ascii="仿宋" w:hAnsi="仿宋" w:eastAsia="仿宋"/>
          <w:sz w:val="32"/>
          <w:szCs w:val="32"/>
        </w:rPr>
        <w:t>年度一般公共预算财政拨款基本支出645.50万元，其中：人员经费592.34万元，主要包括基本工资156.88万元、津贴补贴101.56万元、奖金101.46万元、绩效工资93.53万元、机关事业单位基本养老保险缴费55.84万元、职工医疗保险缴费22.22万元、职业年金缴费7.80万元、其他社会保障缴费2.40万元、住房公积金41.78万元、其他工资福利支出6.82万元；对个人和家庭的补助2.06万元，主要包括退休费1.01万元、其他对个人和家庭补助1.01万元；抚血金1.05万元。日常公用经费53.16万元，主要包括办公费10.96万元、邮电费1.41万元、电费1.06万元、差旅费0.13万元、维护费5万元、工会经费5.83万元、印刷费1.78万元、劳务费5.27万元、其他交通费用2.40万元、公务用车维护费9.84万元、其他商品和服务支出8.98万元，资本性支出0.50万元，主要包括办公设备购置0.50万元。</w:t>
      </w:r>
    </w:p>
    <w:p w14:paraId="77B6CCEC">
      <w:pPr>
        <w:spacing w:line="540" w:lineRule="exact"/>
        <w:ind w:firstLine="640" w:firstLineChars="200"/>
        <w:rPr>
          <w:rFonts w:ascii="仿宋" w:hAnsi="仿宋" w:eastAsia="仿宋"/>
          <w:sz w:val="32"/>
          <w:szCs w:val="32"/>
        </w:rPr>
      </w:pPr>
      <w:r>
        <w:rPr>
          <w:rFonts w:hint="eastAsia" w:ascii="黑体" w:hAnsi="黑体" w:eastAsia="黑体"/>
          <w:sz w:val="32"/>
          <w:szCs w:val="32"/>
        </w:rPr>
        <w:t>五、其他重要事项的情况说明</w:t>
      </w:r>
    </w:p>
    <w:p w14:paraId="6411448A">
      <w:pPr>
        <w:spacing w:line="540" w:lineRule="exact"/>
        <w:ind w:firstLine="640" w:firstLineChars="200"/>
        <w:rPr>
          <w:rFonts w:ascii="仿宋" w:hAnsi="仿宋" w:eastAsia="仿宋"/>
          <w:sz w:val="32"/>
          <w:szCs w:val="32"/>
        </w:rPr>
      </w:pPr>
      <w:r>
        <w:rPr>
          <w:rFonts w:hint="eastAsia" w:ascii="仿宋" w:hAnsi="仿宋" w:eastAsia="仿宋"/>
          <w:sz w:val="32"/>
          <w:szCs w:val="32"/>
        </w:rPr>
        <w:t>（一）机关运行经费支出情况。</w:t>
      </w:r>
    </w:p>
    <w:p w14:paraId="77F9DC8A">
      <w:pPr>
        <w:spacing w:line="540" w:lineRule="exact"/>
        <w:ind w:firstLine="640" w:firstLineChars="200"/>
        <w:rPr>
          <w:rFonts w:ascii="仿宋" w:hAnsi="仿宋" w:eastAsia="仿宋"/>
          <w:sz w:val="32"/>
          <w:szCs w:val="32"/>
        </w:rPr>
      </w:pPr>
      <w:r>
        <w:rPr>
          <w:rFonts w:hint="eastAsia" w:ascii="仿宋" w:hAnsi="仿宋" w:eastAsia="仿宋"/>
          <w:sz w:val="32"/>
          <w:szCs w:val="32"/>
        </w:rPr>
        <w:t>盘锦市商贸物流基地建设服务中心是事业单位，根据机关运行经费的概念，本部门202</w:t>
      </w:r>
      <w:r>
        <w:rPr>
          <w:rFonts w:ascii="仿宋" w:hAnsi="仿宋" w:eastAsia="仿宋"/>
          <w:sz w:val="32"/>
          <w:szCs w:val="32"/>
        </w:rPr>
        <w:t>1</w:t>
      </w:r>
      <w:r>
        <w:rPr>
          <w:rFonts w:hint="eastAsia" w:ascii="仿宋" w:hAnsi="仿宋" w:eastAsia="仿宋"/>
          <w:sz w:val="32"/>
          <w:szCs w:val="32"/>
        </w:rPr>
        <w:t>、202</w:t>
      </w:r>
      <w:r>
        <w:rPr>
          <w:rFonts w:ascii="仿宋" w:hAnsi="仿宋" w:eastAsia="仿宋"/>
          <w:sz w:val="32"/>
          <w:szCs w:val="32"/>
        </w:rPr>
        <w:t>2</w:t>
      </w:r>
      <w:r>
        <w:rPr>
          <w:rFonts w:hint="eastAsia" w:ascii="仿宋" w:hAnsi="仿宋" w:eastAsia="仿宋"/>
          <w:sz w:val="32"/>
          <w:szCs w:val="32"/>
        </w:rPr>
        <w:t>年度无机关运行经费支出。</w:t>
      </w:r>
    </w:p>
    <w:p w14:paraId="3B57D999">
      <w:pPr>
        <w:spacing w:line="540" w:lineRule="exact"/>
        <w:ind w:firstLine="640" w:firstLineChars="200"/>
        <w:rPr>
          <w:rFonts w:ascii="仿宋" w:hAnsi="仿宋" w:eastAsia="仿宋"/>
          <w:sz w:val="32"/>
          <w:szCs w:val="32"/>
        </w:rPr>
      </w:pPr>
      <w:r>
        <w:rPr>
          <w:rFonts w:hint="eastAsia" w:ascii="仿宋" w:hAnsi="仿宋" w:eastAsia="仿宋"/>
          <w:sz w:val="32"/>
          <w:szCs w:val="32"/>
        </w:rPr>
        <w:t>（二）政府采购支出情况。</w:t>
      </w:r>
    </w:p>
    <w:p w14:paraId="114686B9">
      <w:pPr>
        <w:spacing w:line="540" w:lineRule="exact"/>
        <w:ind w:firstLine="640" w:firstLineChars="200"/>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2</w:t>
      </w:r>
      <w:r>
        <w:rPr>
          <w:rFonts w:hint="eastAsia" w:ascii="仿宋" w:hAnsi="仿宋" w:eastAsia="仿宋"/>
          <w:sz w:val="32"/>
          <w:szCs w:val="32"/>
        </w:rPr>
        <w:t>年政府采购支出总额0万元，其中：政府采购货物支出0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货物支出金额的0%；服务采购授予中小企业合同金额占货物支出金额的0%。</w:t>
      </w:r>
    </w:p>
    <w:p w14:paraId="1AB0A3D6">
      <w:pPr>
        <w:spacing w:line="540" w:lineRule="exact"/>
        <w:ind w:firstLine="640" w:firstLineChars="200"/>
        <w:rPr>
          <w:rFonts w:ascii="楷体_GB2312" w:hAnsi="黑体" w:eastAsia="楷体_GB2312"/>
          <w:sz w:val="32"/>
          <w:szCs w:val="32"/>
        </w:rPr>
      </w:pPr>
      <w:r>
        <w:rPr>
          <w:rFonts w:hint="eastAsia" w:ascii="楷体_GB2312" w:hAnsi="黑体" w:eastAsia="楷体_GB2312"/>
          <w:sz w:val="32"/>
          <w:szCs w:val="32"/>
        </w:rPr>
        <w:t>（三）国有资产占用情况。</w:t>
      </w:r>
    </w:p>
    <w:p w14:paraId="3ECD1017">
      <w:pPr>
        <w:spacing w:line="540" w:lineRule="exact"/>
        <w:ind w:firstLine="640" w:firstLineChars="200"/>
        <w:rPr>
          <w:rFonts w:ascii="仿宋" w:hAnsi="仿宋" w:eastAsia="仿宋"/>
          <w:sz w:val="32"/>
          <w:szCs w:val="32"/>
        </w:rPr>
      </w:pPr>
      <w:r>
        <w:rPr>
          <w:rFonts w:hint="eastAsia" w:ascii="仿宋" w:hAnsi="仿宋" w:eastAsia="仿宋"/>
          <w:sz w:val="32"/>
          <w:szCs w:val="32"/>
        </w:rPr>
        <w:t>截至202</w:t>
      </w:r>
      <w:r>
        <w:rPr>
          <w:rFonts w:ascii="仿宋" w:hAnsi="仿宋" w:eastAsia="仿宋"/>
          <w:sz w:val="32"/>
          <w:szCs w:val="32"/>
        </w:rPr>
        <w:t>2</w:t>
      </w:r>
      <w:r>
        <w:rPr>
          <w:rFonts w:hint="eastAsia" w:ascii="仿宋" w:hAnsi="仿宋" w:eastAsia="仿宋"/>
          <w:sz w:val="32"/>
          <w:szCs w:val="32"/>
        </w:rPr>
        <w:t>年12月31日，部门房屋面积541.44平方米，价值80.96万元，其中：办公用房面积404.44平方米，价值60万元；业务用房面积0平方米，价值0万元；其他（不含构筑物）面积137平方米，价值20.96万元。</w:t>
      </w:r>
    </w:p>
    <w:p w14:paraId="08F019BF">
      <w:pPr>
        <w:spacing w:line="540" w:lineRule="exact"/>
        <w:ind w:firstLine="640" w:firstLineChars="200"/>
        <w:rPr>
          <w:rFonts w:ascii="仿宋" w:hAnsi="仿宋" w:eastAsia="仿宋"/>
          <w:sz w:val="32"/>
          <w:szCs w:val="32"/>
        </w:rPr>
      </w:pPr>
      <w:r>
        <w:rPr>
          <w:rFonts w:hint="eastAsia" w:ascii="仿宋" w:hAnsi="仿宋" w:eastAsia="仿宋"/>
          <w:sz w:val="32"/>
          <w:szCs w:val="32"/>
        </w:rPr>
        <w:t>共有车辆2辆，价值51.28万元，其中：副省级以上领导干部用车0辆，主要</w:t>
      </w:r>
      <w:r>
        <w:rPr>
          <w:rFonts w:ascii="仿宋" w:hAnsi="仿宋" w:eastAsia="仿宋"/>
          <w:sz w:val="32"/>
          <w:szCs w:val="32"/>
        </w:rPr>
        <w:t>领导干部</w:t>
      </w:r>
      <w:r>
        <w:rPr>
          <w:rFonts w:hint="eastAsia" w:ascii="仿宋" w:hAnsi="仿宋" w:eastAsia="仿宋"/>
          <w:sz w:val="32"/>
          <w:szCs w:val="32"/>
        </w:rPr>
        <w:t>用车0辆，机要通讯用车0辆，应急</w:t>
      </w:r>
      <w:r>
        <w:rPr>
          <w:rFonts w:ascii="仿宋" w:hAnsi="仿宋" w:eastAsia="仿宋"/>
          <w:sz w:val="32"/>
          <w:szCs w:val="32"/>
        </w:rPr>
        <w:t>保障用车</w:t>
      </w:r>
      <w:r>
        <w:rPr>
          <w:rFonts w:hint="eastAsia" w:ascii="仿宋" w:hAnsi="仿宋" w:eastAsia="仿宋"/>
          <w:sz w:val="32"/>
          <w:szCs w:val="32"/>
        </w:rPr>
        <w:t>0</w:t>
      </w:r>
      <w:r>
        <w:rPr>
          <w:rFonts w:ascii="仿宋" w:hAnsi="仿宋" w:eastAsia="仿宋"/>
          <w:sz w:val="32"/>
          <w:szCs w:val="32"/>
        </w:rPr>
        <w:t>辆，</w:t>
      </w:r>
      <w:r>
        <w:rPr>
          <w:rFonts w:hint="eastAsia" w:ascii="仿宋" w:hAnsi="仿宋" w:eastAsia="仿宋"/>
          <w:sz w:val="32"/>
          <w:szCs w:val="32"/>
        </w:rPr>
        <w:t>执法执勤</w:t>
      </w:r>
      <w:r>
        <w:rPr>
          <w:rFonts w:ascii="仿宋" w:hAnsi="仿宋" w:eastAsia="仿宋"/>
          <w:sz w:val="32"/>
          <w:szCs w:val="32"/>
        </w:rPr>
        <w:t>用车</w:t>
      </w:r>
      <w:r>
        <w:rPr>
          <w:rFonts w:hint="eastAsia" w:ascii="仿宋" w:hAnsi="仿宋" w:eastAsia="仿宋"/>
          <w:sz w:val="32"/>
          <w:szCs w:val="32"/>
        </w:rPr>
        <w:t>0辆</w:t>
      </w:r>
      <w:r>
        <w:rPr>
          <w:rFonts w:ascii="仿宋" w:hAnsi="仿宋" w:eastAsia="仿宋"/>
          <w:sz w:val="32"/>
          <w:szCs w:val="32"/>
        </w:rPr>
        <w:t>，</w:t>
      </w:r>
      <w:r>
        <w:rPr>
          <w:rFonts w:hint="eastAsia" w:ascii="仿宋" w:hAnsi="仿宋" w:eastAsia="仿宋"/>
          <w:sz w:val="32"/>
          <w:szCs w:val="32"/>
        </w:rPr>
        <w:t>特种专业技术用车0辆，离退休</w:t>
      </w:r>
      <w:r>
        <w:rPr>
          <w:rFonts w:ascii="仿宋" w:hAnsi="仿宋" w:eastAsia="仿宋"/>
          <w:sz w:val="32"/>
          <w:szCs w:val="32"/>
        </w:rPr>
        <w:t>干部用车</w:t>
      </w:r>
      <w:r>
        <w:rPr>
          <w:rFonts w:hint="eastAsia" w:ascii="仿宋" w:hAnsi="仿宋" w:eastAsia="仿宋"/>
          <w:sz w:val="32"/>
          <w:szCs w:val="32"/>
        </w:rPr>
        <w:t>0辆</w:t>
      </w:r>
      <w:r>
        <w:rPr>
          <w:rFonts w:ascii="仿宋" w:hAnsi="仿宋" w:eastAsia="仿宋"/>
          <w:sz w:val="32"/>
          <w:szCs w:val="32"/>
        </w:rPr>
        <w:t>，</w:t>
      </w:r>
      <w:r>
        <w:rPr>
          <w:rFonts w:hint="eastAsia" w:ascii="仿宋" w:hAnsi="仿宋" w:eastAsia="仿宋"/>
          <w:sz w:val="32"/>
          <w:szCs w:val="32"/>
        </w:rPr>
        <w:t>其他用车2辆；单位价值50万元以上通用设备0台（套），单价100万元以上专用设备0台（套）。</w:t>
      </w:r>
    </w:p>
    <w:p w14:paraId="50F28223">
      <w:pPr>
        <w:spacing w:line="540" w:lineRule="exact"/>
        <w:ind w:firstLine="640" w:firstLineChars="200"/>
        <w:rPr>
          <w:rFonts w:ascii="仿宋" w:hAnsi="仿宋" w:eastAsia="仿宋"/>
          <w:sz w:val="32"/>
          <w:szCs w:val="32"/>
        </w:rPr>
      </w:pPr>
      <w:r>
        <w:rPr>
          <w:rFonts w:hint="eastAsia" w:ascii="仿宋" w:hAnsi="仿宋" w:eastAsia="仿宋"/>
          <w:sz w:val="32"/>
          <w:szCs w:val="32"/>
        </w:rPr>
        <w:t>（四）预算绩效情况</w:t>
      </w:r>
    </w:p>
    <w:p w14:paraId="312EEDE1">
      <w:pPr>
        <w:widowControl/>
        <w:spacing w:line="520" w:lineRule="exact"/>
        <w:ind w:firstLine="643" w:firstLineChars="200"/>
        <w:jc w:val="left"/>
        <w:rPr>
          <w:rFonts w:hint="eastAsia" w:ascii="仿宋_GB2312" w:hAnsi="仿宋_GB2312" w:eastAsia="仿宋_GB2312" w:cs="仿宋_GB2312"/>
        </w:rPr>
      </w:pPr>
      <w:r>
        <w:rPr>
          <w:rFonts w:hint="eastAsia" w:ascii="仿宋_GB2312" w:hAnsi="仿宋_GB2312" w:eastAsia="仿宋_GB2312" w:cs="仿宋_GB2312"/>
          <w:b/>
          <w:sz w:val="32"/>
          <w:szCs w:val="32"/>
        </w:rPr>
        <w:t>1.绩效评价工作开展情况。</w:t>
      </w:r>
    </w:p>
    <w:p w14:paraId="2C14B01C">
      <w:pPr>
        <w:widowControl/>
        <w:spacing w:line="520" w:lineRule="exact"/>
        <w:ind w:firstLine="640" w:firstLineChars="200"/>
        <w:jc w:val="left"/>
        <w:rPr>
          <w:rFonts w:hint="eastAsia" w:ascii="仿宋_GB2312" w:hAnsi="宋体" w:eastAsia="仿宋_GB2312" w:cs="仿宋_GB2312"/>
          <w:sz w:val="32"/>
          <w:szCs w:val="32"/>
        </w:rPr>
      </w:pP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w:t>
      </w:r>
      <w:r>
        <w:rPr>
          <w:rFonts w:hint="eastAsia" w:ascii="仿宋_GB2312" w:hAnsi="宋体" w:eastAsia="仿宋_GB2312" w:cs="仿宋_GB2312"/>
          <w:sz w:val="32"/>
          <w:szCs w:val="32"/>
        </w:rPr>
        <w:t>本部门（单位）</w:t>
      </w:r>
      <w:r>
        <w:rPr>
          <w:rFonts w:ascii="仿宋_GB2312" w:hAnsi="宋体" w:eastAsia="仿宋_GB2312" w:cs="仿宋_GB2312"/>
          <w:sz w:val="32"/>
          <w:szCs w:val="32"/>
        </w:rPr>
        <w:t>组织对</w:t>
      </w:r>
      <w:r>
        <w:rPr>
          <w:rFonts w:hint="eastAsia" w:ascii="仿宋_GB2312" w:hAnsi="宋体" w:eastAsia="仿宋_GB2312" w:cs="宋体"/>
          <w:sz w:val="32"/>
          <w:szCs w:val="32"/>
        </w:rPr>
        <w:t>2022</w:t>
      </w:r>
      <w:r>
        <w:rPr>
          <w:rFonts w:hint="eastAsia" w:ascii="仿宋_GB2312" w:hAnsi="宋体" w:eastAsia="仿宋_GB2312" w:cs="仿宋_GB2312"/>
          <w:sz w:val="32"/>
          <w:szCs w:val="32"/>
        </w:rPr>
        <w:t>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自评覆盖率（开展绩效自评的特定目标类项目数</w:t>
      </w:r>
      <w:r>
        <w:rPr>
          <w:rFonts w:hint="eastAsia" w:ascii="仿宋_GB2312" w:hAnsi="宋体" w:eastAsia="仿宋_GB2312" w:cs="宋体"/>
          <w:sz w:val="32"/>
          <w:szCs w:val="32"/>
        </w:rPr>
        <w:t>/年初批复绩效目标的特定目标类项目数*100%）达到</w:t>
      </w:r>
      <w:r>
        <w:rPr>
          <w:rFonts w:hint="eastAsia" w:ascii="仿宋_GB2312" w:hAnsi="宋体" w:eastAsia="仿宋_GB2312" w:cs="仿宋_GB2312"/>
          <w:sz w:val="32"/>
          <w:szCs w:val="32"/>
        </w:rPr>
        <w:t>100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宋体" w:eastAsia="仿宋_GB2312" w:cs="仿宋_GB2312"/>
          <w:sz w:val="32"/>
          <w:szCs w:val="32"/>
        </w:rPr>
        <w:t>100分。</w:t>
      </w:r>
    </w:p>
    <w:p w14:paraId="297DD9B9">
      <w:pPr>
        <w:widowControl/>
        <w:spacing w:line="520" w:lineRule="exact"/>
        <w:ind w:firstLine="640" w:firstLineChars="200"/>
        <w:jc w:val="left"/>
        <w:rPr>
          <w:rFonts w:hint="eastAsia" w:hAnsi="宋体" w:eastAsia="仿宋_GB2312" w:cs="仿宋_GB2312"/>
          <w:sz w:val="32"/>
          <w:szCs w:val="32"/>
        </w:rPr>
      </w:pPr>
      <w:r>
        <w:rPr>
          <w:rFonts w:hint="eastAsia" w:hAnsi="宋体" w:eastAsia="仿宋_GB2312" w:cs="仿宋_GB2312"/>
          <w:sz w:val="32"/>
          <w:szCs w:val="32"/>
        </w:rPr>
        <w:t>组织开展部门（单位）整体绩效自评，涉及资金</w:t>
      </w:r>
      <w:r>
        <w:rPr>
          <w:rFonts w:hint="eastAsia" w:ascii="仿宋_GB2312" w:hAnsi="宋体" w:eastAsia="仿宋_GB2312" w:cs="仿宋_GB2312"/>
          <w:sz w:val="32"/>
          <w:szCs w:val="32"/>
        </w:rPr>
        <w:t>519.23</w:t>
      </w:r>
      <w:r>
        <w:rPr>
          <w:rFonts w:hint="eastAsia" w:hAnsi="宋体" w:eastAsia="仿宋_GB2312" w:cs="仿宋_GB2312"/>
          <w:sz w:val="32"/>
          <w:szCs w:val="32"/>
        </w:rPr>
        <w:t>万元，自评分</w:t>
      </w:r>
      <w:r>
        <w:rPr>
          <w:rFonts w:hint="eastAsia" w:ascii="仿宋_GB2312" w:hAnsi="宋体" w:eastAsia="仿宋_GB2312" w:cs="仿宋_GB2312"/>
          <w:sz w:val="32"/>
          <w:szCs w:val="32"/>
        </w:rPr>
        <w:t>77.39</w:t>
      </w:r>
      <w:r>
        <w:rPr>
          <w:rFonts w:hint="eastAsia" w:hAnsi="宋体" w:eastAsia="仿宋_GB2312" w:cs="仿宋_GB2312"/>
          <w:sz w:val="32"/>
          <w:szCs w:val="32"/>
        </w:rPr>
        <w:t>分。《部门（单位）整体绩效自评表》见附件。</w:t>
      </w:r>
    </w:p>
    <w:p w14:paraId="7A0B0CB6">
      <w:pPr>
        <w:widowControl/>
        <w:spacing w:line="540" w:lineRule="exact"/>
        <w:ind w:firstLine="643" w:firstLineChars="200"/>
        <w:jc w:val="left"/>
        <w:rPr>
          <w:rFonts w:ascii="仿宋_GB2312" w:hAnsi="宋体" w:eastAsia="仿宋_GB2312" w:cs="仿宋_GB2312"/>
          <w:b/>
          <w:bCs/>
          <w:sz w:val="32"/>
          <w:szCs w:val="32"/>
        </w:rPr>
      </w:pPr>
      <w:r>
        <w:rPr>
          <w:rFonts w:hint="eastAsia" w:ascii="仿宋_GB2312" w:hAnsi="宋体" w:eastAsia="仿宋_GB2312" w:cs="仿宋_GB2312"/>
          <w:b/>
          <w:bCs/>
          <w:sz w:val="32"/>
          <w:szCs w:val="32"/>
        </w:rPr>
        <w:t>2.项目绩效自评结果。</w:t>
      </w:r>
    </w:p>
    <w:p w14:paraId="24321209">
      <w:pPr>
        <w:widowControl/>
        <w:spacing w:line="54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我单位2022年度无特定目标类项目绩效。</w:t>
      </w:r>
    </w:p>
    <w:p w14:paraId="752F1780">
      <w:pPr>
        <w:widowControl/>
        <w:spacing w:line="540" w:lineRule="exact"/>
        <w:ind w:firstLine="643" w:firstLineChars="200"/>
        <w:rPr>
          <w:rFonts w:ascii="仿宋_GB2312" w:hAnsi="宋体" w:eastAsia="仿宋_GB2312" w:cs="仿宋_GB2312"/>
          <w:b/>
          <w:bCs/>
          <w:sz w:val="32"/>
          <w:szCs w:val="32"/>
        </w:rPr>
      </w:pPr>
      <w:r>
        <w:rPr>
          <w:rFonts w:hint="eastAsia" w:ascii="仿宋_GB2312" w:hAnsi="宋体" w:eastAsia="仿宋_GB2312" w:cs="仿宋_GB2312"/>
          <w:b/>
          <w:bCs/>
          <w:sz w:val="32"/>
          <w:szCs w:val="32"/>
        </w:rPr>
        <w:t>3.部门评价结果。</w:t>
      </w:r>
    </w:p>
    <w:p w14:paraId="252026DD">
      <w:pPr>
        <w:widowControl/>
        <w:spacing w:line="540" w:lineRule="exact"/>
        <w:ind w:firstLine="640" w:firstLineChars="200"/>
        <w:rPr>
          <w:rFonts w:ascii="仿宋_GB2312" w:hAnsi="宋体" w:eastAsia="仿宋_GB2312" w:cs="仿宋_GB2312"/>
          <w:b/>
          <w:bCs/>
          <w:sz w:val="32"/>
          <w:szCs w:val="32"/>
        </w:rPr>
      </w:pPr>
      <w:r>
        <w:rPr>
          <w:rFonts w:hint="eastAsia" w:ascii="仿宋_GB2312" w:hAnsi="宋体" w:eastAsia="仿宋_GB2312" w:cs="仿宋_GB2312"/>
          <w:sz w:val="32"/>
          <w:szCs w:val="32"/>
        </w:rPr>
        <w:t>我单位组织对其他运转类项目开展了重点项目绩效评价，通过部门绩效评价发现主要存在以下问题：预算执行中没有细化管理。下一步将采取以下措施加以改进：制定制度，加强管理，保证项目执行率。</w:t>
      </w:r>
    </w:p>
    <w:p w14:paraId="3EC00337">
      <w:pPr>
        <w:widowControl/>
        <w:spacing w:line="520" w:lineRule="exact"/>
        <w:ind w:firstLine="643" w:firstLineChars="200"/>
        <w:jc w:val="left"/>
        <w:rPr>
          <w:color w:val="FF0000"/>
          <w:sz w:val="32"/>
          <w:szCs w:val="32"/>
        </w:rPr>
      </w:pPr>
      <w:r>
        <w:rPr>
          <w:rFonts w:hint="eastAsia" w:ascii="仿宋_GB2312" w:hAnsi="宋体" w:eastAsia="仿宋_GB2312" w:cs="仿宋_GB2312"/>
          <w:b/>
          <w:bCs/>
          <w:sz w:val="32"/>
          <w:szCs w:val="32"/>
        </w:rPr>
        <w:t>4.财政评价结果。</w:t>
      </w:r>
    </w:p>
    <w:p w14:paraId="4198D3AC">
      <w:pPr>
        <w:widowControl/>
        <w:spacing w:line="540" w:lineRule="exact"/>
        <w:ind w:firstLine="640" w:firstLineChars="200"/>
        <w:jc w:val="left"/>
        <w:rPr>
          <w:rFonts w:ascii="仿宋" w:hAnsi="仿宋" w:eastAsia="仿宋"/>
          <w:sz w:val="32"/>
          <w:szCs w:val="32"/>
        </w:rPr>
      </w:pPr>
      <w:r>
        <w:rPr>
          <w:rFonts w:hint="eastAsia" w:hAnsi="宋体" w:eastAsia="仿宋_GB2312" w:cs="仿宋_GB2312"/>
          <w:sz w:val="32"/>
          <w:szCs w:val="32"/>
        </w:rPr>
        <w:t>2022年本级财政未对本部门某一项目开展评价工作</w:t>
      </w:r>
    </w:p>
    <w:p w14:paraId="33307A9F">
      <w:pPr>
        <w:spacing w:line="540" w:lineRule="exact"/>
        <w:ind w:firstLine="640" w:firstLineChars="200"/>
        <w:rPr>
          <w:rFonts w:ascii="仿宋_GB2312" w:hAnsi="宋体" w:eastAsia="仿宋_GB2312" w:cs="宋体"/>
          <w:sz w:val="32"/>
          <w:szCs w:val="32"/>
        </w:rPr>
      </w:pPr>
    </w:p>
    <w:p w14:paraId="779702C3">
      <w:pPr>
        <w:spacing w:line="540" w:lineRule="exact"/>
        <w:jc w:val="center"/>
        <w:rPr>
          <w:rFonts w:ascii="宋体" w:hAnsi="宋体"/>
          <w:b/>
          <w:sz w:val="36"/>
          <w:szCs w:val="36"/>
        </w:rPr>
      </w:pPr>
    </w:p>
    <w:p w14:paraId="6E973E2E">
      <w:pPr>
        <w:spacing w:line="540" w:lineRule="exact"/>
        <w:jc w:val="center"/>
        <w:rPr>
          <w:rFonts w:ascii="宋体" w:hAnsi="宋体"/>
          <w:b/>
          <w:sz w:val="36"/>
          <w:szCs w:val="36"/>
        </w:rPr>
      </w:pPr>
      <w:r>
        <w:rPr>
          <w:rFonts w:hint="eastAsia" w:ascii="宋体" w:hAnsi="宋体"/>
          <w:b/>
          <w:sz w:val="36"/>
          <w:szCs w:val="36"/>
        </w:rPr>
        <w:t>第三部分 名词解释</w:t>
      </w:r>
    </w:p>
    <w:p w14:paraId="77FAE32C">
      <w:pPr>
        <w:spacing w:line="540" w:lineRule="exact"/>
        <w:jc w:val="center"/>
        <w:rPr>
          <w:rFonts w:ascii="宋体" w:hAnsi="宋体"/>
          <w:b/>
          <w:sz w:val="36"/>
          <w:szCs w:val="36"/>
        </w:rPr>
      </w:pPr>
    </w:p>
    <w:p w14:paraId="7CEC9790">
      <w:pPr>
        <w:spacing w:line="540" w:lineRule="exact"/>
        <w:ind w:firstLine="643" w:firstLineChars="200"/>
        <w:rPr>
          <w:rFonts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指单位从同级财政部门取得的财政预算资金。</w:t>
      </w:r>
    </w:p>
    <w:p w14:paraId="240FB869">
      <w:pPr>
        <w:spacing w:line="540" w:lineRule="exact"/>
        <w:ind w:firstLine="643" w:firstLineChars="200"/>
        <w:rPr>
          <w:rFonts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14:paraId="79473850">
      <w:pPr>
        <w:spacing w:line="540" w:lineRule="exact"/>
        <w:ind w:firstLine="643" w:firstLineChars="200"/>
        <w:rPr>
          <w:rFonts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14:paraId="77AC5910">
      <w:pPr>
        <w:spacing w:line="540" w:lineRule="exact"/>
        <w:ind w:firstLine="643" w:firstLineChars="200"/>
        <w:rPr>
          <w:rFonts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14:paraId="4A759B42">
      <w:pPr>
        <w:spacing w:line="540" w:lineRule="exact"/>
        <w:ind w:firstLine="643" w:firstLineChars="200"/>
        <w:rPr>
          <w:rFonts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14:paraId="7DD508D8">
      <w:pPr>
        <w:spacing w:line="540" w:lineRule="exact"/>
        <w:ind w:firstLine="643" w:firstLineChars="200"/>
        <w:rPr>
          <w:rFonts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指除上述“财政拨款收入”、“上级补助收入”、“事业收入”、“经营收入”、“附属单位上缴收入”等以外的收入。</w:t>
      </w:r>
    </w:p>
    <w:p w14:paraId="3725E784">
      <w:pPr>
        <w:spacing w:line="540" w:lineRule="exact"/>
        <w:ind w:firstLine="643" w:firstLineChars="200"/>
        <w:rPr>
          <w:rFonts w:ascii="仿宋" w:hAnsi="仿宋" w:eastAsia="仿宋"/>
          <w:sz w:val="32"/>
          <w:szCs w:val="32"/>
        </w:rPr>
      </w:pPr>
      <w:r>
        <w:rPr>
          <w:rFonts w:hint="eastAsia" w:ascii="仿宋" w:hAnsi="仿宋" w:eastAsia="仿宋"/>
          <w:b/>
          <w:sz w:val="32"/>
          <w:szCs w:val="32"/>
        </w:rPr>
        <w:t>7. 使用非财政拨款结余：</w:t>
      </w:r>
      <w:r>
        <w:rPr>
          <w:rFonts w:hint="eastAsia" w:ascii="仿宋" w:hAnsi="仿宋" w:eastAsia="仿宋"/>
          <w:sz w:val="32"/>
          <w:szCs w:val="32"/>
        </w:rPr>
        <w:t>指事业单位按照预算管理要求使用非财政拨款结余弥补收支差额的金额。</w:t>
      </w:r>
    </w:p>
    <w:p w14:paraId="7DCB30B2">
      <w:pPr>
        <w:spacing w:line="540" w:lineRule="exact"/>
        <w:ind w:firstLine="643" w:firstLineChars="200"/>
        <w:rPr>
          <w:rFonts w:ascii="仿宋" w:hAnsi="仿宋" w:eastAsia="仿宋"/>
          <w:b/>
          <w:sz w:val="32"/>
          <w:szCs w:val="32"/>
        </w:rPr>
      </w:pPr>
    </w:p>
    <w:p w14:paraId="15D758EE">
      <w:pPr>
        <w:spacing w:line="540" w:lineRule="exact"/>
        <w:ind w:firstLine="643" w:firstLineChars="200"/>
        <w:rPr>
          <w:rFonts w:ascii="仿宋" w:hAnsi="仿宋" w:eastAsia="仿宋"/>
          <w:sz w:val="32"/>
          <w:szCs w:val="32"/>
        </w:rPr>
      </w:pPr>
      <w:r>
        <w:rPr>
          <w:rFonts w:hint="eastAsia" w:ascii="仿宋" w:hAnsi="仿宋" w:eastAsia="仿宋"/>
          <w:b/>
          <w:sz w:val="32"/>
          <w:szCs w:val="32"/>
        </w:rPr>
        <w:t xml:space="preserve"> 8.上年结转和结余：</w:t>
      </w:r>
      <w:r>
        <w:rPr>
          <w:rFonts w:hint="eastAsia" w:ascii="仿宋" w:hAnsi="仿宋" w:eastAsia="仿宋"/>
          <w:sz w:val="32"/>
          <w:szCs w:val="32"/>
        </w:rPr>
        <w:t>指以前年度尚未完成、结转到本年按有关规定继续使用的资金。</w:t>
      </w:r>
    </w:p>
    <w:p w14:paraId="29B26D37">
      <w:pPr>
        <w:spacing w:line="540" w:lineRule="exact"/>
        <w:ind w:firstLine="643" w:firstLineChars="200"/>
        <w:rPr>
          <w:rFonts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14:paraId="51CF1B7B">
      <w:pPr>
        <w:spacing w:line="540" w:lineRule="exact"/>
        <w:ind w:firstLine="643" w:firstLineChars="200"/>
        <w:rPr>
          <w:rFonts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14:paraId="69F6116C">
      <w:pPr>
        <w:spacing w:line="540" w:lineRule="exact"/>
        <w:ind w:firstLine="643" w:firstLineChars="200"/>
        <w:rPr>
          <w:rFonts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14:paraId="47DAE650">
      <w:pPr>
        <w:spacing w:line="540" w:lineRule="exact"/>
        <w:ind w:firstLine="643" w:firstLineChars="200"/>
        <w:rPr>
          <w:rFonts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14:paraId="57A2646C">
      <w:pPr>
        <w:spacing w:line="540" w:lineRule="exact"/>
        <w:ind w:firstLine="643" w:firstLineChars="200"/>
        <w:rPr>
          <w:rFonts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14:paraId="5A4C24F9">
      <w:pPr>
        <w:spacing w:line="540" w:lineRule="exact"/>
        <w:ind w:firstLine="643" w:firstLineChars="200"/>
        <w:rPr>
          <w:rFonts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719810B">
      <w:pPr>
        <w:spacing w:line="540" w:lineRule="exact"/>
        <w:ind w:firstLine="643" w:firstLineChars="200"/>
        <w:rPr>
          <w:rFonts w:ascii="仿宋" w:hAnsi="仿宋" w:eastAsia="仿宋"/>
          <w:sz w:val="32"/>
          <w:szCs w:val="32"/>
        </w:rPr>
      </w:pPr>
      <w:r>
        <w:rPr>
          <w:rFonts w:hint="eastAsia" w:ascii="仿宋" w:hAnsi="仿宋" w:eastAsia="仿宋"/>
          <w:b/>
          <w:bCs/>
          <w:sz w:val="32"/>
          <w:szCs w:val="32"/>
        </w:rPr>
        <w:t>15.机关运行经费：</w:t>
      </w:r>
      <w:r>
        <w:rPr>
          <w:rFonts w:hint="eastAsia" w:ascii="仿宋" w:hAnsi="仿宋" w:eastAsia="仿宋"/>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54BAB35">
      <w:pPr>
        <w:spacing w:line="540" w:lineRule="exact"/>
        <w:ind w:firstLine="643" w:firstLineChars="200"/>
        <w:rPr>
          <w:rFonts w:ascii="仿宋" w:hAnsi="仿宋" w:eastAsia="仿宋"/>
          <w:sz w:val="32"/>
          <w:szCs w:val="32"/>
        </w:rPr>
      </w:pPr>
      <w:r>
        <w:rPr>
          <w:rFonts w:hint="eastAsia" w:ascii="仿宋" w:hAnsi="仿宋" w:eastAsia="仿宋"/>
          <w:b/>
          <w:sz w:val="32"/>
          <w:szCs w:val="32"/>
        </w:rPr>
        <w:t>16.一般公共服务支出（类）商贸事务（款）事业运行（项）：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14:paraId="1A56C728">
      <w:pPr>
        <w:autoSpaceDE w:val="0"/>
        <w:autoSpaceDN w:val="0"/>
        <w:adjustRightInd w:val="0"/>
        <w:spacing w:line="540" w:lineRule="exact"/>
        <w:ind w:firstLine="640"/>
        <w:jc w:val="left"/>
        <w:rPr>
          <w:rFonts w:ascii="仿宋" w:hAnsi="仿宋" w:eastAsia="仿宋" w:cs="黑体"/>
          <w:sz w:val="32"/>
          <w:szCs w:val="32"/>
        </w:rPr>
      </w:pPr>
      <w:r>
        <w:rPr>
          <w:rFonts w:ascii="仿宋" w:hAnsi="仿宋" w:eastAsia="仿宋" w:cs="黑体"/>
          <w:b/>
          <w:bCs/>
          <w:sz w:val="32"/>
          <w:szCs w:val="32"/>
        </w:rPr>
        <w:t>17</w:t>
      </w:r>
      <w:r>
        <w:rPr>
          <w:rFonts w:hint="eastAsia" w:ascii="仿宋" w:hAnsi="仿宋" w:eastAsia="仿宋" w:cs="黑体"/>
          <w:b/>
          <w:bCs/>
          <w:sz w:val="32"/>
          <w:szCs w:val="32"/>
        </w:rPr>
        <w:t>.</w:t>
      </w:r>
      <w:bookmarkStart w:id="1" w:name="_Hlk83134263"/>
      <w:r>
        <w:rPr>
          <w:rFonts w:hint="eastAsia" w:ascii="仿宋" w:hAnsi="仿宋" w:eastAsia="仿宋" w:cs="黑体"/>
          <w:b/>
          <w:bCs/>
          <w:sz w:val="32"/>
          <w:szCs w:val="32"/>
        </w:rPr>
        <w:t>社会保障和就业支出（类）行政事业单位养老支出（款）事业单位离退休（项）</w:t>
      </w:r>
      <w:bookmarkEnd w:id="1"/>
      <w:r>
        <w:rPr>
          <w:rFonts w:hint="eastAsia" w:ascii="仿宋" w:hAnsi="仿宋" w:eastAsia="仿宋" w:cs="黑体"/>
          <w:b/>
          <w:bCs/>
          <w:sz w:val="32"/>
          <w:szCs w:val="32"/>
        </w:rPr>
        <w:t>：</w:t>
      </w:r>
      <w:r>
        <w:rPr>
          <w:rFonts w:hint="eastAsia" w:ascii="仿宋" w:hAnsi="仿宋" w:eastAsia="仿宋" w:cs="黑体"/>
          <w:sz w:val="32"/>
          <w:szCs w:val="32"/>
        </w:rPr>
        <w:t>反映事业单位开支的离退休经费。</w:t>
      </w:r>
    </w:p>
    <w:p w14:paraId="624871C6">
      <w:pPr>
        <w:spacing w:line="540" w:lineRule="exact"/>
        <w:ind w:firstLine="643" w:firstLineChars="200"/>
        <w:rPr>
          <w:rFonts w:ascii="仿宋" w:hAnsi="仿宋" w:eastAsia="仿宋"/>
          <w:sz w:val="32"/>
          <w:szCs w:val="32"/>
        </w:rPr>
      </w:pPr>
      <w:r>
        <w:rPr>
          <w:rFonts w:ascii="仿宋" w:hAnsi="仿宋" w:eastAsia="仿宋" w:cs="黑体"/>
          <w:b/>
          <w:bCs/>
          <w:sz w:val="32"/>
          <w:szCs w:val="32"/>
        </w:rPr>
        <w:t>18</w:t>
      </w:r>
      <w:r>
        <w:rPr>
          <w:rFonts w:hint="eastAsia" w:ascii="仿宋" w:hAnsi="仿宋" w:eastAsia="仿宋" w:cs="黑体"/>
          <w:b/>
          <w:bCs/>
          <w:sz w:val="32"/>
          <w:szCs w:val="32"/>
        </w:rPr>
        <w:t>.社会保障和就业支出（类）行政事业单位养老支出（款）机关事业单位基本养老保险缴费支出（项）：</w:t>
      </w:r>
      <w:r>
        <w:rPr>
          <w:rFonts w:hint="eastAsia" w:ascii="仿宋" w:hAnsi="仿宋" w:eastAsia="仿宋" w:cs="黑体"/>
          <w:sz w:val="32"/>
          <w:szCs w:val="32"/>
        </w:rPr>
        <w:t>反映机关事业单位实施养老保险制度由单位缴纳的基本养老保险费支出。</w:t>
      </w:r>
    </w:p>
    <w:p w14:paraId="104EC972">
      <w:pPr>
        <w:spacing w:line="540" w:lineRule="exact"/>
        <w:ind w:firstLine="643" w:firstLineChars="200"/>
        <w:rPr>
          <w:rFonts w:ascii="仿宋" w:hAnsi="仿宋" w:eastAsia="仿宋" w:cs="黑体"/>
          <w:sz w:val="32"/>
          <w:szCs w:val="32"/>
        </w:rPr>
      </w:pPr>
      <w:r>
        <w:rPr>
          <w:rFonts w:ascii="仿宋" w:hAnsi="仿宋" w:eastAsia="仿宋" w:cs="黑体"/>
          <w:b/>
          <w:bCs/>
          <w:sz w:val="32"/>
          <w:szCs w:val="32"/>
        </w:rPr>
        <w:t>19</w:t>
      </w:r>
      <w:r>
        <w:rPr>
          <w:rFonts w:hint="eastAsia" w:ascii="仿宋" w:hAnsi="仿宋" w:eastAsia="仿宋" w:cs="黑体"/>
          <w:b/>
          <w:bCs/>
          <w:sz w:val="32"/>
          <w:szCs w:val="32"/>
        </w:rPr>
        <w:t>.社会保障和就业支出（类）行政事业单位养老支出（款）机关事业单位职业年金缴费支出（项）：</w:t>
      </w:r>
      <w:r>
        <w:rPr>
          <w:rFonts w:hint="eastAsia" w:ascii="仿宋" w:hAnsi="仿宋" w:eastAsia="仿宋" w:cs="黑体"/>
          <w:sz w:val="32"/>
          <w:szCs w:val="32"/>
        </w:rPr>
        <w:t>反映机关事业单位实施养老保险制度由单位实际缴纳的职业年金支出。</w:t>
      </w:r>
    </w:p>
    <w:p w14:paraId="28C8559B">
      <w:pPr>
        <w:spacing w:line="540" w:lineRule="exact"/>
        <w:ind w:firstLine="643" w:firstLineChars="200"/>
        <w:rPr>
          <w:rFonts w:ascii="仿宋" w:hAnsi="仿宋" w:eastAsia="仿宋" w:cs="黑体"/>
          <w:sz w:val="32"/>
          <w:szCs w:val="32"/>
        </w:rPr>
      </w:pPr>
      <w:r>
        <w:rPr>
          <w:rFonts w:ascii="仿宋" w:hAnsi="仿宋" w:eastAsia="仿宋" w:cs="黑体"/>
          <w:b/>
          <w:bCs/>
          <w:sz w:val="32"/>
          <w:szCs w:val="32"/>
        </w:rPr>
        <w:t>20</w:t>
      </w:r>
      <w:r>
        <w:rPr>
          <w:rFonts w:hint="eastAsia" w:ascii="仿宋" w:hAnsi="仿宋" w:eastAsia="仿宋" w:cs="黑体"/>
          <w:b/>
          <w:bCs/>
          <w:sz w:val="32"/>
          <w:szCs w:val="32"/>
        </w:rPr>
        <w:t>.社会保障和就业支出（类）抚恤（款）伤残抚恤（项）：</w:t>
      </w:r>
      <w:r>
        <w:rPr>
          <w:rFonts w:hint="eastAsia" w:ascii="仿宋" w:hAnsi="仿宋" w:eastAsia="仿宋" w:cs="黑体"/>
          <w:sz w:val="32"/>
          <w:szCs w:val="32"/>
        </w:rPr>
        <w:t>反映按规定用于伤残人员的抚恤金和按规定开支的各种伤残补助费。</w:t>
      </w:r>
    </w:p>
    <w:p w14:paraId="781B79BF">
      <w:pPr>
        <w:spacing w:line="540" w:lineRule="exact"/>
        <w:ind w:firstLine="643" w:firstLineChars="200"/>
        <w:rPr>
          <w:rFonts w:ascii="仿宋" w:hAnsi="仿宋" w:eastAsia="仿宋" w:cs="黑体"/>
          <w:sz w:val="32"/>
          <w:szCs w:val="32"/>
        </w:rPr>
      </w:pPr>
      <w:r>
        <w:rPr>
          <w:rFonts w:ascii="仿宋" w:hAnsi="仿宋" w:eastAsia="仿宋" w:cs="黑体"/>
          <w:b/>
          <w:bCs/>
          <w:sz w:val="32"/>
          <w:szCs w:val="32"/>
        </w:rPr>
        <w:t>21</w:t>
      </w:r>
      <w:r>
        <w:rPr>
          <w:rFonts w:hint="eastAsia" w:ascii="仿宋" w:hAnsi="仿宋" w:eastAsia="仿宋" w:cs="黑体"/>
          <w:b/>
          <w:bCs/>
          <w:sz w:val="32"/>
          <w:szCs w:val="32"/>
        </w:rPr>
        <w:t>.社会保障和就业支出（类）其他社会保障和就业支出（款）其他社会保障和就业支出（项）：</w:t>
      </w:r>
      <w:r>
        <w:rPr>
          <w:rFonts w:hint="eastAsia" w:ascii="仿宋" w:hAnsi="仿宋" w:eastAsia="仿宋" w:cs="黑体"/>
          <w:sz w:val="32"/>
          <w:szCs w:val="32"/>
        </w:rPr>
        <w:t>反映除上述项目以外其他用于社会保障和就业方面的支出。</w:t>
      </w:r>
    </w:p>
    <w:p w14:paraId="1BA12329">
      <w:pPr>
        <w:autoSpaceDE w:val="0"/>
        <w:autoSpaceDN w:val="0"/>
        <w:adjustRightInd w:val="0"/>
        <w:spacing w:line="540" w:lineRule="exact"/>
        <w:ind w:firstLine="640"/>
        <w:jc w:val="left"/>
        <w:rPr>
          <w:rFonts w:ascii="仿宋" w:hAnsi="仿宋" w:eastAsia="仿宋" w:cs="黑体"/>
          <w:sz w:val="32"/>
          <w:szCs w:val="32"/>
        </w:rPr>
      </w:pPr>
      <w:r>
        <w:rPr>
          <w:rFonts w:hint="eastAsia" w:ascii="仿宋" w:hAnsi="仿宋" w:eastAsia="仿宋" w:cs="黑体"/>
          <w:b/>
          <w:bCs/>
          <w:sz w:val="32"/>
          <w:szCs w:val="32"/>
        </w:rPr>
        <w:t>2</w:t>
      </w:r>
      <w:r>
        <w:rPr>
          <w:rFonts w:ascii="仿宋" w:hAnsi="仿宋" w:eastAsia="仿宋" w:cs="黑体"/>
          <w:b/>
          <w:bCs/>
          <w:sz w:val="32"/>
          <w:szCs w:val="32"/>
        </w:rPr>
        <w:t>2</w:t>
      </w:r>
      <w:r>
        <w:rPr>
          <w:rFonts w:hint="eastAsia" w:ascii="仿宋" w:hAnsi="仿宋" w:eastAsia="仿宋" w:cs="黑体"/>
          <w:b/>
          <w:bCs/>
          <w:sz w:val="32"/>
          <w:szCs w:val="32"/>
        </w:rPr>
        <w:t>.卫生健康支出（类）</w:t>
      </w:r>
      <w:bookmarkStart w:id="2" w:name="_Hlk83135488"/>
      <w:r>
        <w:rPr>
          <w:rFonts w:hint="eastAsia" w:ascii="仿宋" w:hAnsi="仿宋" w:eastAsia="仿宋" w:cs="黑体"/>
          <w:b/>
          <w:bCs/>
          <w:sz w:val="32"/>
          <w:szCs w:val="32"/>
        </w:rPr>
        <w:t>行政事业单位医疗</w:t>
      </w:r>
      <w:bookmarkEnd w:id="2"/>
      <w:r>
        <w:rPr>
          <w:rFonts w:hint="eastAsia" w:ascii="仿宋" w:hAnsi="仿宋" w:eastAsia="仿宋" w:cs="黑体"/>
          <w:b/>
          <w:bCs/>
          <w:sz w:val="32"/>
          <w:szCs w:val="32"/>
        </w:rPr>
        <w:t>（款）事业单位医疗（项）：</w:t>
      </w:r>
      <w:r>
        <w:rPr>
          <w:rFonts w:hint="eastAsia" w:ascii="仿宋" w:hAnsi="仿宋" w:eastAsia="仿宋" w:cs="黑体"/>
          <w:sz w:val="32"/>
          <w:szCs w:val="32"/>
        </w:rPr>
        <w:t>反映财政部门安排的事业单位基本医疗保险缴费经费，未参加医疗保险的事业单位的公费医疗经费，按国家规定享受离休人员待遇的医疗经费。</w:t>
      </w:r>
    </w:p>
    <w:p w14:paraId="0ECD99C0">
      <w:pPr>
        <w:autoSpaceDE w:val="0"/>
        <w:autoSpaceDN w:val="0"/>
        <w:adjustRightInd w:val="0"/>
        <w:spacing w:line="540" w:lineRule="exact"/>
        <w:ind w:firstLine="640"/>
        <w:jc w:val="left"/>
        <w:rPr>
          <w:rFonts w:ascii="仿宋" w:hAnsi="仿宋" w:eastAsia="仿宋" w:cs="黑体"/>
          <w:sz w:val="32"/>
          <w:szCs w:val="32"/>
        </w:rPr>
      </w:pPr>
      <w:r>
        <w:rPr>
          <w:rFonts w:hint="eastAsia" w:ascii="仿宋" w:hAnsi="仿宋" w:eastAsia="仿宋" w:cs="黑体"/>
          <w:b/>
          <w:bCs/>
          <w:sz w:val="32"/>
          <w:szCs w:val="32"/>
        </w:rPr>
        <w:t>2</w:t>
      </w:r>
      <w:r>
        <w:rPr>
          <w:rFonts w:ascii="仿宋" w:hAnsi="仿宋" w:eastAsia="仿宋" w:cs="黑体"/>
          <w:b/>
          <w:bCs/>
          <w:sz w:val="32"/>
          <w:szCs w:val="32"/>
        </w:rPr>
        <w:t>3</w:t>
      </w:r>
      <w:r>
        <w:rPr>
          <w:rFonts w:hint="eastAsia" w:ascii="仿宋" w:hAnsi="仿宋" w:eastAsia="仿宋" w:cs="黑体"/>
          <w:b/>
          <w:bCs/>
          <w:sz w:val="32"/>
          <w:szCs w:val="32"/>
        </w:rPr>
        <w:t>. 卫生健康支出（类）行政事业单位医疗（款）其他行政事业单位医疗支出（项）：</w:t>
      </w:r>
      <w:r>
        <w:rPr>
          <w:rFonts w:hint="eastAsia" w:ascii="仿宋" w:hAnsi="仿宋" w:eastAsia="仿宋" w:cs="黑体"/>
          <w:sz w:val="32"/>
          <w:szCs w:val="32"/>
        </w:rPr>
        <w:t>反映除上述项目以外的其他用于行政事业单位医疗方面的支出。</w:t>
      </w:r>
      <w:bookmarkStart w:id="3" w:name="_Hlk83135859"/>
    </w:p>
    <w:p w14:paraId="6E149E75">
      <w:pPr>
        <w:autoSpaceDE w:val="0"/>
        <w:autoSpaceDN w:val="0"/>
        <w:adjustRightInd w:val="0"/>
        <w:spacing w:line="540" w:lineRule="exact"/>
        <w:ind w:firstLine="640"/>
        <w:jc w:val="left"/>
        <w:rPr>
          <w:rFonts w:ascii="仿宋" w:hAnsi="仿宋" w:eastAsia="仿宋" w:cs="黑体"/>
          <w:sz w:val="32"/>
          <w:szCs w:val="32"/>
        </w:rPr>
      </w:pPr>
      <w:r>
        <w:rPr>
          <w:rFonts w:ascii="仿宋" w:hAnsi="仿宋" w:eastAsia="仿宋" w:cs="黑体"/>
          <w:b/>
          <w:bCs/>
          <w:sz w:val="32"/>
          <w:szCs w:val="32"/>
        </w:rPr>
        <w:t>24</w:t>
      </w:r>
      <w:r>
        <w:rPr>
          <w:rFonts w:hint="eastAsia" w:ascii="仿宋" w:hAnsi="仿宋" w:eastAsia="仿宋" w:cs="黑体"/>
          <w:b/>
          <w:bCs/>
          <w:sz w:val="32"/>
          <w:szCs w:val="32"/>
        </w:rPr>
        <w:t>.住房保障支出（类）住房改革支出（款）住房公积金（项）：</w:t>
      </w:r>
      <w:r>
        <w:rPr>
          <w:rFonts w:hint="eastAsia" w:ascii="仿宋" w:hAnsi="仿宋" w:eastAsia="仿宋" w:cs="黑体"/>
          <w:sz w:val="32"/>
          <w:szCs w:val="32"/>
        </w:rPr>
        <w:t>反映行政事业单位按人力资源和社会保障部、财政部规定的基本工资和津贴补贴以及规定比例为职工缴纳的住房公积金。</w:t>
      </w:r>
    </w:p>
    <w:bookmarkEnd w:id="3"/>
    <w:p w14:paraId="33541E42">
      <w:pPr>
        <w:autoSpaceDE w:val="0"/>
        <w:autoSpaceDN w:val="0"/>
        <w:adjustRightInd w:val="0"/>
        <w:spacing w:line="540" w:lineRule="exact"/>
        <w:ind w:firstLine="640"/>
        <w:jc w:val="left"/>
        <w:rPr>
          <w:rFonts w:ascii="仿宋" w:hAnsi="仿宋" w:eastAsia="仿宋" w:cs="黑体"/>
          <w:sz w:val="32"/>
          <w:szCs w:val="32"/>
        </w:rPr>
      </w:pPr>
      <w:r>
        <w:rPr>
          <w:rFonts w:ascii="仿宋" w:hAnsi="仿宋" w:eastAsia="仿宋" w:cs="黑体"/>
          <w:b/>
          <w:bCs/>
          <w:sz w:val="32"/>
          <w:szCs w:val="32"/>
        </w:rPr>
        <w:t>25</w:t>
      </w:r>
      <w:r>
        <w:rPr>
          <w:rFonts w:hint="eastAsia" w:ascii="仿宋" w:hAnsi="仿宋" w:eastAsia="仿宋" w:cs="黑体"/>
          <w:b/>
          <w:bCs/>
          <w:sz w:val="32"/>
          <w:szCs w:val="32"/>
        </w:rPr>
        <w:t>.商业服务业（类）商业流通事务（款）事业运行（项）：</w:t>
      </w:r>
      <w:r>
        <w:rPr>
          <w:rFonts w:hint="eastAsia" w:ascii="仿宋" w:hAnsi="仿宋" w:eastAsia="仿宋" w:cs="黑体"/>
          <w:sz w:val="32"/>
          <w:szCs w:val="32"/>
        </w:rPr>
        <w:t>反映事业单位的基本支出，不包括行政单位（包括实行公务员管理的事业单位）后勤服务中心、医务室等附属事业单位。</w:t>
      </w:r>
    </w:p>
    <w:p w14:paraId="5E71A46D">
      <w:pPr>
        <w:autoSpaceDE w:val="0"/>
        <w:autoSpaceDN w:val="0"/>
        <w:adjustRightInd w:val="0"/>
        <w:spacing w:line="540" w:lineRule="exact"/>
        <w:ind w:firstLine="640"/>
        <w:jc w:val="left"/>
        <w:rPr>
          <w:rFonts w:ascii="仿宋" w:hAnsi="仿宋" w:eastAsia="仿宋" w:cs="黑体"/>
          <w:sz w:val="32"/>
          <w:szCs w:val="32"/>
        </w:rPr>
      </w:pPr>
      <w:r>
        <w:rPr>
          <w:rFonts w:ascii="仿宋" w:hAnsi="仿宋" w:eastAsia="仿宋" w:cs="黑体"/>
          <w:b/>
          <w:bCs/>
          <w:sz w:val="32"/>
          <w:szCs w:val="32"/>
        </w:rPr>
        <w:t>26</w:t>
      </w:r>
      <w:r>
        <w:rPr>
          <w:rFonts w:hint="eastAsia" w:ascii="仿宋" w:hAnsi="仿宋" w:eastAsia="仿宋" w:cs="黑体"/>
          <w:b/>
          <w:bCs/>
          <w:sz w:val="32"/>
          <w:szCs w:val="32"/>
        </w:rPr>
        <w:t>.商业服务业（类）商业流通事务（款）其他商业流通事务支出（项）：</w:t>
      </w:r>
      <w:r>
        <w:rPr>
          <w:rFonts w:hint="eastAsia" w:ascii="仿宋" w:hAnsi="仿宋" w:eastAsia="仿宋" w:cs="黑体"/>
          <w:sz w:val="32"/>
          <w:szCs w:val="32"/>
        </w:rPr>
        <w:t>反映其他商业服务业等支出中除上述项目以外的其他支出。</w:t>
      </w:r>
    </w:p>
    <w:p w14:paraId="0D7158E8">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27.社会保障和就业支出（类）抚恤（款）死亡抚恤（项）：</w:t>
      </w:r>
      <w:r>
        <w:rPr>
          <w:rFonts w:hint="eastAsia" w:ascii="仿宋" w:hAnsi="仿宋" w:eastAsia="仿宋"/>
          <w:sz w:val="32"/>
          <w:szCs w:val="32"/>
        </w:rPr>
        <w:t>反映按规定用于烈士和牺牲、病故人员家属的一次性和定期抚恤金以及丧葬补助费。</w:t>
      </w:r>
    </w:p>
    <w:p w14:paraId="07E1B916">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28.工资福利支出：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34E51A64">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29.商品和服务支出：</w:t>
      </w:r>
      <w:r>
        <w:rPr>
          <w:rFonts w:hint="eastAsia" w:ascii="仿宋" w:hAnsi="仿宋" w:eastAsia="仿宋"/>
          <w:sz w:val="32"/>
          <w:szCs w:val="32"/>
        </w:rPr>
        <w:t>反映单位购买商品和服务的支出，不包括用于购置固定资产、战略性和应急性物资储备等资本性支出。</w:t>
      </w:r>
    </w:p>
    <w:p w14:paraId="219565C2">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30.对个人和家庭补助：</w:t>
      </w:r>
      <w:r>
        <w:rPr>
          <w:rFonts w:hint="eastAsia" w:ascii="仿宋" w:hAnsi="仿宋" w:eastAsia="仿宋"/>
          <w:sz w:val="32"/>
          <w:szCs w:val="32"/>
        </w:rPr>
        <w:t>反映政府用于对个人和家庭的补助支出。</w:t>
      </w:r>
    </w:p>
    <w:p w14:paraId="7BFFD718">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31.资本性支出：</w:t>
      </w:r>
      <w:r>
        <w:rPr>
          <w:rFonts w:hint="eastAsia" w:ascii="仿宋" w:hAnsi="仿宋" w:eastAsia="仿宋"/>
          <w:sz w:val="32"/>
          <w:szCs w:val="32"/>
        </w:rPr>
        <w:t>反映各单位安排的资本性支出。切块由发展改革部门安排的基本建设支出不在此科目反映。</w:t>
      </w:r>
    </w:p>
    <w:p w14:paraId="3024C9A2">
      <w:pPr>
        <w:spacing w:line="540" w:lineRule="exact"/>
        <w:ind w:firstLine="640" w:firstLineChars="200"/>
        <w:rPr>
          <w:rFonts w:ascii="仿宋" w:hAnsi="仿宋" w:eastAsia="仿宋"/>
          <w:sz w:val="32"/>
          <w:szCs w:val="32"/>
          <w:highlight w:val="yellow"/>
        </w:rPr>
      </w:pPr>
      <w:r>
        <w:rPr>
          <w:rFonts w:hint="eastAsia" w:ascii="仿宋" w:hAnsi="仿宋" w:eastAsia="仿宋"/>
          <w:sz w:val="32"/>
          <w:szCs w:val="32"/>
        </w:rPr>
        <w:t>32.</w:t>
      </w:r>
      <w:r>
        <w:rPr>
          <w:rFonts w:hint="eastAsia" w:ascii="仿宋" w:hAnsi="仿宋" w:eastAsia="仿宋"/>
          <w:b/>
          <w:sz w:val="32"/>
          <w:szCs w:val="32"/>
        </w:rPr>
        <w:t>其他支出（类）其他支出（款）其他支出（项）</w:t>
      </w:r>
      <w:r>
        <w:rPr>
          <w:rFonts w:hint="eastAsia" w:ascii="仿宋" w:hAnsi="仿宋" w:eastAsia="仿宋"/>
          <w:sz w:val="32"/>
          <w:szCs w:val="32"/>
        </w:rPr>
        <w:t>反映除上述项目以外其他不能划分到具体功能科目的支出项目。</w:t>
      </w:r>
    </w:p>
    <w:p w14:paraId="50A8F367">
      <w:pPr>
        <w:spacing w:line="540" w:lineRule="exact"/>
        <w:rPr>
          <w:rFonts w:ascii="仿宋" w:hAnsi="仿宋" w:eastAsia="仿宋"/>
          <w:b/>
          <w:sz w:val="36"/>
          <w:szCs w:val="36"/>
          <w:highlight w:val="yellow"/>
        </w:rPr>
      </w:pPr>
    </w:p>
    <w:p w14:paraId="78472CCA">
      <w:pPr>
        <w:spacing w:line="540" w:lineRule="exact"/>
        <w:ind w:firstLine="640" w:firstLineChars="200"/>
        <w:rPr>
          <w:rFonts w:ascii="仿宋" w:hAnsi="仿宋" w:eastAsia="仿宋"/>
          <w:sz w:val="32"/>
          <w:szCs w:val="32"/>
        </w:rPr>
      </w:pPr>
    </w:p>
    <w:p w14:paraId="0295EA0F">
      <w:pPr>
        <w:spacing w:line="540" w:lineRule="exact"/>
        <w:ind w:firstLine="640" w:firstLineChars="200"/>
        <w:rPr>
          <w:rFonts w:ascii="仿宋" w:hAnsi="仿宋" w:eastAsia="仿宋"/>
          <w:sz w:val="32"/>
          <w:szCs w:val="32"/>
        </w:rPr>
      </w:pPr>
    </w:p>
    <w:p w14:paraId="77548FE1">
      <w:pPr>
        <w:spacing w:line="540" w:lineRule="exact"/>
        <w:ind w:firstLine="643" w:firstLineChars="200"/>
        <w:rPr>
          <w:rFonts w:ascii="仿宋" w:hAnsi="仿宋" w:eastAsia="仿宋"/>
          <w:b/>
          <w:sz w:val="32"/>
          <w:szCs w:val="32"/>
        </w:rPr>
        <w:sectPr>
          <w:footerReference r:id="rId3" w:type="default"/>
          <w:footerReference r:id="rId4" w:type="even"/>
          <w:pgSz w:w="11906" w:h="16838"/>
          <w:pgMar w:top="1418" w:right="1701" w:bottom="1418" w:left="1701" w:header="851" w:footer="992" w:gutter="0"/>
          <w:cols w:space="720" w:num="1"/>
          <w:docGrid w:type="lines" w:linePitch="312" w:charSpace="0"/>
        </w:sectPr>
      </w:pPr>
    </w:p>
    <w:p w14:paraId="01988B01">
      <w:pPr>
        <w:autoSpaceDE w:val="0"/>
        <w:autoSpaceDN w:val="0"/>
        <w:adjustRightInd w:val="0"/>
        <w:spacing w:line="540" w:lineRule="exact"/>
        <w:ind w:firstLine="2349" w:firstLineChars="650"/>
        <w:jc w:val="left"/>
        <w:rPr>
          <w:rFonts w:ascii="仿宋_GB2312" w:eastAsia="仿宋_GB2312" w:cs="黑体"/>
          <w:b/>
          <w:sz w:val="36"/>
          <w:szCs w:val="36"/>
        </w:rPr>
      </w:pPr>
      <w:r>
        <w:rPr>
          <w:rFonts w:hint="eastAsia" w:ascii="仿宋_GB2312" w:eastAsia="仿宋_GB2312" w:cs="黑体"/>
          <w:b/>
          <w:sz w:val="36"/>
          <w:szCs w:val="36"/>
        </w:rPr>
        <w:t>第四部分202</w:t>
      </w:r>
      <w:r>
        <w:rPr>
          <w:rFonts w:ascii="仿宋_GB2312" w:eastAsia="仿宋_GB2312" w:cs="黑体"/>
          <w:b/>
          <w:sz w:val="36"/>
          <w:szCs w:val="36"/>
        </w:rPr>
        <w:t>2</w:t>
      </w:r>
      <w:r>
        <w:rPr>
          <w:rFonts w:hint="eastAsia" w:ascii="仿宋_GB2312" w:eastAsia="仿宋_GB2312" w:cs="黑体"/>
          <w:b/>
          <w:sz w:val="36"/>
          <w:szCs w:val="36"/>
        </w:rPr>
        <w:t>年度部门决算表</w:t>
      </w:r>
    </w:p>
    <w:p w14:paraId="2BCE9688">
      <w:pPr>
        <w:autoSpaceDE w:val="0"/>
        <w:autoSpaceDN w:val="0"/>
        <w:adjustRightInd w:val="0"/>
        <w:spacing w:line="540" w:lineRule="exact"/>
        <w:ind w:firstLine="2349" w:firstLineChars="650"/>
        <w:jc w:val="left"/>
        <w:rPr>
          <w:rFonts w:ascii="仿宋_GB2312" w:eastAsia="仿宋_GB2312" w:cs="黑体"/>
          <w:b/>
          <w:sz w:val="36"/>
          <w:szCs w:val="36"/>
        </w:rPr>
      </w:pPr>
    </w:p>
    <w:p w14:paraId="2C9BAEE9">
      <w:pPr>
        <w:autoSpaceDE w:val="0"/>
        <w:autoSpaceDN w:val="0"/>
        <w:adjustRightInd w:val="0"/>
        <w:spacing w:line="540" w:lineRule="exact"/>
        <w:jc w:val="left"/>
        <w:rPr>
          <w:rFonts w:ascii="仿宋_GB2312" w:eastAsia="仿宋_GB2312" w:cs="黑体"/>
          <w:bCs/>
          <w:sz w:val="32"/>
          <w:szCs w:val="32"/>
        </w:rPr>
      </w:pPr>
      <w:r>
        <w:rPr>
          <w:rFonts w:hint="eastAsia" w:ascii="仿宋_GB2312" w:eastAsia="仿宋_GB2312" w:cs="黑体"/>
          <w:bCs/>
          <w:sz w:val="32"/>
          <w:szCs w:val="32"/>
        </w:rPr>
        <w:t>详见：《盘锦市商贸物流基地建设服务中心202</w:t>
      </w:r>
      <w:r>
        <w:rPr>
          <w:rFonts w:ascii="仿宋_GB2312" w:eastAsia="仿宋_GB2312" w:cs="黑体"/>
          <w:bCs/>
          <w:sz w:val="32"/>
          <w:szCs w:val="32"/>
        </w:rPr>
        <w:t>2</w:t>
      </w:r>
      <w:r>
        <w:rPr>
          <w:rFonts w:hint="eastAsia" w:ascii="仿宋_GB2312" w:eastAsia="仿宋_GB2312" w:cs="黑体"/>
          <w:bCs/>
          <w:sz w:val="32"/>
          <w:szCs w:val="32"/>
        </w:rPr>
        <w:t>年度部门决算公开表</w:t>
      </w:r>
    </w:p>
    <w:p w14:paraId="40426FDE">
      <w:pPr>
        <w:autoSpaceDE w:val="0"/>
        <w:autoSpaceDN w:val="0"/>
        <w:adjustRightInd w:val="0"/>
        <w:spacing w:line="540" w:lineRule="exact"/>
        <w:ind w:left="1805" w:leftChars="250" w:hanging="1280" w:hangingChars="400"/>
        <w:jc w:val="left"/>
        <w:rPr>
          <w:rFonts w:ascii="仿宋_GB2312" w:eastAsia="仿宋_GB2312" w:cs="黑体"/>
          <w:bCs/>
          <w:sz w:val="32"/>
          <w:szCs w:val="32"/>
        </w:rPr>
      </w:pPr>
    </w:p>
    <w:p w14:paraId="77702D91">
      <w:pPr>
        <w:autoSpaceDE w:val="0"/>
        <w:autoSpaceDN w:val="0"/>
        <w:adjustRightInd w:val="0"/>
        <w:spacing w:line="540" w:lineRule="exact"/>
        <w:ind w:left="1971" w:leftChars="250" w:hanging="1446" w:hangingChars="400"/>
        <w:jc w:val="left"/>
        <w:rPr>
          <w:rFonts w:ascii="仿宋_GB2312" w:eastAsia="仿宋_GB2312" w:cs="黑体"/>
          <w:b/>
          <w:sz w:val="36"/>
          <w:szCs w:val="36"/>
        </w:rPr>
      </w:pPr>
    </w:p>
    <w:p w14:paraId="0DB06ABB">
      <w:pPr>
        <w:autoSpaceDE w:val="0"/>
        <w:autoSpaceDN w:val="0"/>
        <w:adjustRightInd w:val="0"/>
        <w:spacing w:line="540" w:lineRule="exact"/>
        <w:ind w:left="1971" w:leftChars="250" w:hanging="1446" w:hangingChars="400"/>
        <w:jc w:val="left"/>
        <w:rPr>
          <w:rFonts w:ascii="仿宋_GB2312" w:eastAsia="仿宋_GB2312" w:cs="黑体"/>
          <w:b/>
          <w:sz w:val="36"/>
          <w:szCs w:val="36"/>
        </w:rPr>
      </w:pPr>
    </w:p>
    <w:p w14:paraId="785D8AB1">
      <w:pPr>
        <w:autoSpaceDE w:val="0"/>
        <w:autoSpaceDN w:val="0"/>
        <w:adjustRightInd w:val="0"/>
        <w:spacing w:line="540" w:lineRule="exact"/>
        <w:ind w:left="1971" w:leftChars="250" w:hanging="1446" w:hangingChars="400"/>
        <w:jc w:val="left"/>
        <w:rPr>
          <w:rFonts w:ascii="仿宋_GB2312" w:eastAsia="仿宋_GB2312" w:cs="黑体"/>
          <w:b/>
          <w:sz w:val="36"/>
          <w:szCs w:val="36"/>
        </w:rPr>
      </w:pPr>
    </w:p>
    <w:p w14:paraId="439B3BAD">
      <w:pPr>
        <w:autoSpaceDE w:val="0"/>
        <w:autoSpaceDN w:val="0"/>
        <w:adjustRightInd w:val="0"/>
        <w:spacing w:line="540" w:lineRule="exact"/>
        <w:ind w:left="1971" w:leftChars="250" w:hanging="1446" w:hangingChars="400"/>
        <w:jc w:val="left"/>
        <w:rPr>
          <w:rFonts w:ascii="仿宋_GB2312" w:eastAsia="仿宋_GB2312" w:cs="黑体"/>
          <w:b/>
          <w:sz w:val="36"/>
          <w:szCs w:val="36"/>
        </w:rPr>
      </w:pPr>
    </w:p>
    <w:p w14:paraId="4F447327">
      <w:pPr>
        <w:numPr>
          <w:ilvl w:val="0"/>
          <w:numId w:val="2"/>
        </w:numPr>
        <w:autoSpaceDE w:val="0"/>
        <w:autoSpaceDN w:val="0"/>
        <w:adjustRightInd w:val="0"/>
        <w:spacing w:line="540" w:lineRule="exact"/>
        <w:ind w:left="3614" w:hanging="3614" w:hangingChars="1000"/>
        <w:jc w:val="left"/>
        <w:rPr>
          <w:rFonts w:ascii="仿宋_GB2312" w:eastAsia="仿宋_GB2312" w:cs="黑体"/>
          <w:b/>
          <w:sz w:val="36"/>
          <w:szCs w:val="36"/>
        </w:rPr>
      </w:pPr>
      <w:r>
        <w:rPr>
          <w:rFonts w:hint="eastAsia" w:ascii="仿宋_GB2312" w:eastAsia="仿宋_GB2312" w:cs="黑体"/>
          <w:b/>
          <w:sz w:val="36"/>
          <w:szCs w:val="36"/>
        </w:rPr>
        <w:t xml:space="preserve">    附件</w:t>
      </w:r>
    </w:p>
    <w:p w14:paraId="419A08A2">
      <w:pPr>
        <w:autoSpaceDE w:val="0"/>
        <w:autoSpaceDN w:val="0"/>
        <w:adjustRightInd w:val="0"/>
        <w:spacing w:line="540" w:lineRule="exact"/>
        <w:ind w:left="-2100" w:leftChars="-1000"/>
        <w:jc w:val="left"/>
        <w:rPr>
          <w:rFonts w:ascii="仿宋_GB2312" w:eastAsia="仿宋_GB2312" w:cs="黑体"/>
          <w:b/>
          <w:sz w:val="36"/>
          <w:szCs w:val="36"/>
        </w:rPr>
      </w:pPr>
    </w:p>
    <w:tbl>
      <w:tblPr>
        <w:tblStyle w:val="5"/>
        <w:tblW w:w="5000" w:type="pct"/>
        <w:tblInd w:w="0" w:type="dxa"/>
        <w:tblLayout w:type="autofit"/>
        <w:tblCellMar>
          <w:top w:w="0" w:type="dxa"/>
          <w:left w:w="108" w:type="dxa"/>
          <w:bottom w:w="0" w:type="dxa"/>
          <w:right w:w="108" w:type="dxa"/>
        </w:tblCellMar>
      </w:tblPr>
      <w:tblGrid>
        <w:gridCol w:w="417"/>
        <w:gridCol w:w="417"/>
        <w:gridCol w:w="417"/>
        <w:gridCol w:w="616"/>
        <w:gridCol w:w="417"/>
        <w:gridCol w:w="516"/>
        <w:gridCol w:w="417"/>
        <w:gridCol w:w="1016"/>
        <w:gridCol w:w="417"/>
        <w:gridCol w:w="516"/>
        <w:gridCol w:w="516"/>
        <w:gridCol w:w="417"/>
        <w:gridCol w:w="417"/>
        <w:gridCol w:w="417"/>
        <w:gridCol w:w="417"/>
        <w:gridCol w:w="417"/>
        <w:gridCol w:w="641"/>
        <w:gridCol w:w="878"/>
      </w:tblGrid>
      <w:tr w14:paraId="21D52531">
        <w:tblPrEx>
          <w:tblCellMar>
            <w:top w:w="0" w:type="dxa"/>
            <w:left w:w="108" w:type="dxa"/>
            <w:bottom w:w="0" w:type="dxa"/>
            <w:right w:w="108" w:type="dxa"/>
          </w:tblCellMar>
        </w:tblPrEx>
        <w:trPr>
          <w:trHeight w:val="624" w:hRule="atLeast"/>
        </w:trPr>
        <w:tc>
          <w:tcPr>
            <w:tcW w:w="5000" w:type="pct"/>
            <w:gridSpan w:val="18"/>
            <w:vMerge w:val="restart"/>
            <w:tcBorders>
              <w:top w:val="nil"/>
              <w:left w:val="nil"/>
              <w:bottom w:val="nil"/>
              <w:right w:val="nil"/>
            </w:tcBorders>
            <w:shd w:val="clear" w:color="000000" w:fill="FFFFFF"/>
            <w:vAlign w:val="center"/>
          </w:tcPr>
          <w:p w14:paraId="08D8225F">
            <w:pPr>
              <w:widowControl/>
              <w:jc w:val="center"/>
              <w:rPr>
                <w:rFonts w:ascii="宋体" w:hAnsi="宋体" w:cs="宋体"/>
                <w:b/>
                <w:bCs/>
                <w:color w:val="000000"/>
                <w:kern w:val="0"/>
                <w:sz w:val="32"/>
                <w:szCs w:val="32"/>
              </w:rPr>
            </w:pPr>
            <w:bookmarkStart w:id="4" w:name="RANGE!A1:T46"/>
            <w:r>
              <w:rPr>
                <w:rFonts w:hint="eastAsia" w:ascii="宋体" w:hAnsi="宋体" w:cs="宋体"/>
                <w:b/>
                <w:bCs/>
                <w:color w:val="000000"/>
                <w:kern w:val="0"/>
                <w:sz w:val="32"/>
                <w:szCs w:val="32"/>
              </w:rPr>
              <w:t>部门（单位）整体绩效自评表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（2022年度）</w:t>
            </w:r>
            <w:bookmarkEnd w:id="4"/>
          </w:p>
        </w:tc>
      </w:tr>
      <w:tr w14:paraId="06FF25AE">
        <w:tblPrEx>
          <w:tblCellMar>
            <w:top w:w="0" w:type="dxa"/>
            <w:left w:w="108" w:type="dxa"/>
            <w:bottom w:w="0" w:type="dxa"/>
            <w:right w:w="108" w:type="dxa"/>
          </w:tblCellMar>
        </w:tblPrEx>
        <w:trPr>
          <w:trHeight w:val="624" w:hRule="atLeast"/>
        </w:trPr>
        <w:tc>
          <w:tcPr>
            <w:tcW w:w="5000" w:type="pct"/>
            <w:gridSpan w:val="18"/>
            <w:vMerge w:val="continue"/>
            <w:tcBorders>
              <w:top w:val="nil"/>
              <w:left w:val="nil"/>
              <w:bottom w:val="nil"/>
              <w:right w:val="nil"/>
            </w:tcBorders>
            <w:vAlign w:val="center"/>
          </w:tcPr>
          <w:p w14:paraId="67E833D0">
            <w:pPr>
              <w:widowControl/>
              <w:jc w:val="left"/>
              <w:rPr>
                <w:rFonts w:ascii="宋体" w:hAnsi="宋体" w:cs="宋体"/>
                <w:b/>
                <w:bCs/>
                <w:color w:val="000000"/>
                <w:kern w:val="0"/>
                <w:sz w:val="32"/>
                <w:szCs w:val="32"/>
              </w:rPr>
            </w:pPr>
          </w:p>
        </w:tc>
      </w:tr>
      <w:tr w14:paraId="1C550309">
        <w:tblPrEx>
          <w:tblCellMar>
            <w:top w:w="0" w:type="dxa"/>
            <w:left w:w="108" w:type="dxa"/>
            <w:bottom w:w="0" w:type="dxa"/>
            <w:right w:w="108" w:type="dxa"/>
          </w:tblCellMar>
        </w:tblPrEx>
        <w:trPr>
          <w:trHeight w:val="624" w:hRule="atLeast"/>
        </w:trPr>
        <w:tc>
          <w:tcPr>
            <w:tcW w:w="5000" w:type="pct"/>
            <w:gridSpan w:val="18"/>
            <w:vMerge w:val="continue"/>
            <w:tcBorders>
              <w:top w:val="nil"/>
              <w:left w:val="nil"/>
              <w:bottom w:val="nil"/>
              <w:right w:val="nil"/>
            </w:tcBorders>
            <w:vAlign w:val="center"/>
          </w:tcPr>
          <w:p w14:paraId="7AC1BDD1">
            <w:pPr>
              <w:widowControl/>
              <w:jc w:val="left"/>
              <w:rPr>
                <w:rFonts w:ascii="宋体" w:hAnsi="宋体" w:cs="宋体"/>
                <w:b/>
                <w:bCs/>
                <w:color w:val="000000"/>
                <w:kern w:val="0"/>
                <w:sz w:val="32"/>
                <w:szCs w:val="32"/>
              </w:rPr>
            </w:pPr>
          </w:p>
        </w:tc>
      </w:tr>
      <w:tr w14:paraId="4ABA98FF">
        <w:tblPrEx>
          <w:tblCellMar>
            <w:top w:w="0" w:type="dxa"/>
            <w:left w:w="108" w:type="dxa"/>
            <w:bottom w:w="0" w:type="dxa"/>
            <w:right w:w="108" w:type="dxa"/>
          </w:tblCellMar>
        </w:tblPrEx>
        <w:trPr>
          <w:trHeight w:val="285" w:hRule="atLeast"/>
        </w:trPr>
        <w:tc>
          <w:tcPr>
            <w:tcW w:w="1000"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2BC805B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部门（单位）名称</w:t>
            </w:r>
          </w:p>
        </w:tc>
        <w:tc>
          <w:tcPr>
            <w:tcW w:w="4000" w:type="pct"/>
            <w:gridSpan w:val="14"/>
            <w:tcBorders>
              <w:top w:val="single" w:color="auto" w:sz="4" w:space="0"/>
              <w:left w:val="nil"/>
              <w:bottom w:val="single" w:color="auto" w:sz="4" w:space="0"/>
              <w:right w:val="single" w:color="auto" w:sz="4" w:space="0"/>
            </w:tcBorders>
            <w:shd w:val="clear" w:color="000000" w:fill="FFFFFF"/>
            <w:vAlign w:val="center"/>
          </w:tcPr>
          <w:p w14:paraId="2F82723F">
            <w:pPr>
              <w:widowControl/>
              <w:jc w:val="center"/>
              <w:rPr>
                <w:rFonts w:ascii="宋体" w:hAnsi="宋体" w:cs="宋体"/>
                <w:color w:val="000000"/>
                <w:kern w:val="0"/>
                <w:sz w:val="20"/>
                <w:szCs w:val="20"/>
              </w:rPr>
            </w:pPr>
            <w:r>
              <w:rPr>
                <w:rFonts w:hint="eastAsia" w:ascii="宋体" w:hAnsi="宋体" w:cs="宋体"/>
                <w:color w:val="000000"/>
                <w:kern w:val="0"/>
                <w:sz w:val="20"/>
                <w:szCs w:val="20"/>
              </w:rPr>
              <w:t>161012盘锦市商贸物流基地建设服务中心-211100000</w:t>
            </w:r>
          </w:p>
        </w:tc>
      </w:tr>
      <w:tr w14:paraId="665BA17C">
        <w:tblPrEx>
          <w:tblCellMar>
            <w:top w:w="0" w:type="dxa"/>
            <w:left w:w="108" w:type="dxa"/>
            <w:bottom w:w="0" w:type="dxa"/>
            <w:right w:w="108" w:type="dxa"/>
          </w:tblCellMar>
        </w:tblPrEx>
        <w:trPr>
          <w:trHeight w:val="312" w:hRule="atLeast"/>
        </w:trPr>
        <w:tc>
          <w:tcPr>
            <w:tcW w:w="1000"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44A26BE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部门年初预算收入金额（万元）</w:t>
            </w:r>
          </w:p>
        </w:tc>
        <w:tc>
          <w:tcPr>
            <w:tcW w:w="4000" w:type="pct"/>
            <w:gridSpan w:val="14"/>
            <w:tcBorders>
              <w:top w:val="single" w:color="auto" w:sz="4" w:space="0"/>
              <w:left w:val="nil"/>
              <w:bottom w:val="single" w:color="auto" w:sz="4" w:space="0"/>
              <w:right w:val="single" w:color="auto" w:sz="4" w:space="0"/>
            </w:tcBorders>
            <w:shd w:val="clear" w:color="000000" w:fill="FFFFFF"/>
            <w:vAlign w:val="center"/>
          </w:tcPr>
          <w:p w14:paraId="442A91F8">
            <w:pPr>
              <w:widowControl/>
              <w:jc w:val="center"/>
              <w:rPr>
                <w:rFonts w:ascii="宋体" w:hAnsi="宋体" w:cs="宋体"/>
                <w:color w:val="000000"/>
                <w:kern w:val="0"/>
                <w:sz w:val="20"/>
                <w:szCs w:val="20"/>
              </w:rPr>
            </w:pPr>
            <w:r>
              <w:rPr>
                <w:rFonts w:hint="eastAsia" w:ascii="宋体" w:hAnsi="宋体" w:cs="宋体"/>
                <w:color w:val="000000"/>
                <w:kern w:val="0"/>
                <w:sz w:val="20"/>
                <w:szCs w:val="20"/>
              </w:rPr>
              <w:t>519.23</w:t>
            </w:r>
          </w:p>
        </w:tc>
      </w:tr>
      <w:tr w14:paraId="7C35C7A4">
        <w:tblPrEx>
          <w:tblCellMar>
            <w:top w:w="0" w:type="dxa"/>
            <w:left w:w="108" w:type="dxa"/>
            <w:bottom w:w="0" w:type="dxa"/>
            <w:right w:w="108" w:type="dxa"/>
          </w:tblCellMar>
        </w:tblPrEx>
        <w:trPr>
          <w:trHeight w:val="312" w:hRule="atLeast"/>
        </w:trPr>
        <w:tc>
          <w:tcPr>
            <w:tcW w:w="1000"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5F80554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部门年初预算支出金额（万元）</w:t>
            </w:r>
          </w:p>
        </w:tc>
        <w:tc>
          <w:tcPr>
            <w:tcW w:w="4000" w:type="pct"/>
            <w:gridSpan w:val="14"/>
            <w:tcBorders>
              <w:top w:val="single" w:color="auto" w:sz="4" w:space="0"/>
              <w:left w:val="nil"/>
              <w:bottom w:val="single" w:color="auto" w:sz="4" w:space="0"/>
              <w:right w:val="single" w:color="auto" w:sz="4" w:space="0"/>
            </w:tcBorders>
            <w:shd w:val="clear" w:color="000000" w:fill="FFFFFF"/>
            <w:vAlign w:val="center"/>
          </w:tcPr>
          <w:p w14:paraId="645B40EB">
            <w:pPr>
              <w:widowControl/>
              <w:jc w:val="center"/>
              <w:rPr>
                <w:rFonts w:ascii="宋体" w:hAnsi="宋体" w:cs="宋体"/>
                <w:color w:val="000000"/>
                <w:kern w:val="0"/>
                <w:sz w:val="20"/>
                <w:szCs w:val="20"/>
              </w:rPr>
            </w:pPr>
            <w:r>
              <w:rPr>
                <w:rFonts w:hint="eastAsia" w:ascii="宋体" w:hAnsi="宋体" w:cs="宋体"/>
                <w:color w:val="000000"/>
                <w:kern w:val="0"/>
                <w:sz w:val="20"/>
                <w:szCs w:val="20"/>
              </w:rPr>
              <w:t>519.23</w:t>
            </w:r>
          </w:p>
        </w:tc>
      </w:tr>
      <w:tr w14:paraId="03B1DE08">
        <w:tblPrEx>
          <w:tblCellMar>
            <w:top w:w="0" w:type="dxa"/>
            <w:left w:w="108" w:type="dxa"/>
            <w:bottom w:w="0" w:type="dxa"/>
            <w:right w:w="108" w:type="dxa"/>
          </w:tblCellMar>
        </w:tblPrEx>
        <w:trPr>
          <w:trHeight w:val="600" w:hRule="atLeast"/>
        </w:trPr>
        <w:tc>
          <w:tcPr>
            <w:tcW w:w="212" w:type="pct"/>
            <w:vMerge w:val="restart"/>
            <w:tcBorders>
              <w:top w:val="nil"/>
              <w:left w:val="single" w:color="auto" w:sz="4" w:space="0"/>
              <w:bottom w:val="single" w:color="auto" w:sz="4" w:space="0"/>
              <w:right w:val="single" w:color="auto" w:sz="4" w:space="0"/>
            </w:tcBorders>
            <w:shd w:val="clear" w:color="000000" w:fill="FFFFFF"/>
            <w:vAlign w:val="center"/>
          </w:tcPr>
          <w:p w14:paraId="2A7C272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年度主要任务</w:t>
            </w:r>
          </w:p>
        </w:tc>
        <w:tc>
          <w:tcPr>
            <w:tcW w:w="2152" w:type="pct"/>
            <w:gridSpan w:val="9"/>
            <w:tcBorders>
              <w:top w:val="single" w:color="auto" w:sz="4" w:space="0"/>
              <w:left w:val="nil"/>
              <w:bottom w:val="single" w:color="auto" w:sz="4" w:space="0"/>
              <w:right w:val="single" w:color="000000" w:sz="4" w:space="0"/>
            </w:tcBorders>
            <w:shd w:val="clear" w:color="000000" w:fill="FFFFFF"/>
            <w:vAlign w:val="center"/>
          </w:tcPr>
          <w:p w14:paraId="0045BAC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对应项目</w:t>
            </w:r>
          </w:p>
        </w:tc>
        <w:tc>
          <w:tcPr>
            <w:tcW w:w="476" w:type="pct"/>
            <w:gridSpan w:val="2"/>
            <w:tcBorders>
              <w:top w:val="single" w:color="auto" w:sz="4" w:space="0"/>
              <w:left w:val="nil"/>
              <w:bottom w:val="single" w:color="auto" w:sz="4" w:space="0"/>
              <w:right w:val="single" w:color="000000" w:sz="4" w:space="0"/>
            </w:tcBorders>
            <w:shd w:val="clear" w:color="000000" w:fill="FFFFFF"/>
            <w:vAlign w:val="center"/>
          </w:tcPr>
          <w:p w14:paraId="28DE8B7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项目下达金额（万元）</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3BDC043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项目执行金额（万元）</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56D421A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项目执行率</w:t>
            </w:r>
          </w:p>
        </w:tc>
        <w:tc>
          <w:tcPr>
            <w:tcW w:w="539" w:type="pct"/>
            <w:tcBorders>
              <w:top w:val="single" w:color="auto" w:sz="4" w:space="0"/>
              <w:left w:val="nil"/>
              <w:bottom w:val="single" w:color="auto" w:sz="4" w:space="0"/>
              <w:right w:val="single" w:color="000000" w:sz="4" w:space="0"/>
            </w:tcBorders>
            <w:shd w:val="clear" w:color="000000" w:fill="FFFFFF"/>
            <w:vAlign w:val="center"/>
          </w:tcPr>
          <w:p w14:paraId="549E4D9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539" w:type="pct"/>
            <w:tcBorders>
              <w:top w:val="single" w:color="auto" w:sz="4" w:space="0"/>
              <w:left w:val="nil"/>
              <w:bottom w:val="single" w:color="auto" w:sz="4" w:space="0"/>
              <w:right w:val="single" w:color="auto" w:sz="4" w:space="0"/>
            </w:tcBorders>
            <w:shd w:val="clear" w:color="000000" w:fill="FFFFFF"/>
            <w:vAlign w:val="center"/>
          </w:tcPr>
          <w:p w14:paraId="7A266E0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14:paraId="26E16289">
        <w:tblPrEx>
          <w:tblCellMar>
            <w:top w:w="0" w:type="dxa"/>
            <w:left w:w="108" w:type="dxa"/>
            <w:bottom w:w="0" w:type="dxa"/>
            <w:right w:w="108" w:type="dxa"/>
          </w:tblCellMar>
        </w:tblPrEx>
        <w:trPr>
          <w:trHeight w:val="480" w:hRule="atLeast"/>
        </w:trPr>
        <w:tc>
          <w:tcPr>
            <w:tcW w:w="212" w:type="pct"/>
            <w:vMerge w:val="continue"/>
            <w:tcBorders>
              <w:top w:val="nil"/>
              <w:left w:val="single" w:color="auto" w:sz="4" w:space="0"/>
              <w:bottom w:val="single" w:color="auto" w:sz="4" w:space="0"/>
              <w:right w:val="single" w:color="auto" w:sz="4" w:space="0"/>
            </w:tcBorders>
            <w:vAlign w:val="center"/>
          </w:tcPr>
          <w:p w14:paraId="03DC0CBB">
            <w:pPr>
              <w:widowControl/>
              <w:jc w:val="left"/>
              <w:rPr>
                <w:rFonts w:ascii="宋体" w:hAnsi="宋体" w:cs="宋体"/>
                <w:b/>
                <w:bCs/>
                <w:color w:val="000000"/>
                <w:kern w:val="0"/>
                <w:sz w:val="20"/>
                <w:szCs w:val="20"/>
              </w:rPr>
            </w:pPr>
          </w:p>
        </w:tc>
        <w:tc>
          <w:tcPr>
            <w:tcW w:w="2152" w:type="pct"/>
            <w:gridSpan w:val="9"/>
            <w:tcBorders>
              <w:top w:val="single" w:color="auto" w:sz="4" w:space="0"/>
              <w:left w:val="nil"/>
              <w:bottom w:val="single" w:color="auto" w:sz="4" w:space="0"/>
              <w:right w:val="single" w:color="000000" w:sz="4" w:space="0"/>
            </w:tcBorders>
            <w:shd w:val="clear" w:color="000000" w:fill="FFFFFF"/>
            <w:vAlign w:val="center"/>
          </w:tcPr>
          <w:p w14:paraId="338BF4DB">
            <w:pPr>
              <w:widowControl/>
              <w:jc w:val="center"/>
              <w:rPr>
                <w:rFonts w:ascii="宋体" w:hAnsi="宋体" w:cs="宋体"/>
                <w:color w:val="000000"/>
                <w:kern w:val="0"/>
                <w:sz w:val="20"/>
                <w:szCs w:val="20"/>
              </w:rPr>
            </w:pPr>
            <w:r>
              <w:rPr>
                <w:rFonts w:hint="eastAsia" w:ascii="宋体" w:hAnsi="宋体" w:cs="宋体"/>
                <w:color w:val="000000"/>
                <w:kern w:val="0"/>
                <w:sz w:val="20"/>
                <w:szCs w:val="20"/>
              </w:rPr>
              <w:t>一带一路物流基地建设工作经费</w:t>
            </w:r>
          </w:p>
        </w:tc>
        <w:tc>
          <w:tcPr>
            <w:tcW w:w="476" w:type="pct"/>
            <w:gridSpan w:val="2"/>
            <w:tcBorders>
              <w:top w:val="single" w:color="auto" w:sz="4" w:space="0"/>
              <w:left w:val="nil"/>
              <w:bottom w:val="single" w:color="auto" w:sz="4" w:space="0"/>
              <w:right w:val="single" w:color="000000" w:sz="4" w:space="0"/>
            </w:tcBorders>
            <w:shd w:val="clear" w:color="000000" w:fill="FFFFFF"/>
            <w:vAlign w:val="center"/>
          </w:tcPr>
          <w:p w14:paraId="466A5E6D">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0E481FEA">
            <w:pPr>
              <w:widowControl/>
              <w:jc w:val="center"/>
              <w:rPr>
                <w:rFonts w:ascii="宋体" w:hAnsi="宋体" w:cs="宋体"/>
                <w:color w:val="000000"/>
                <w:kern w:val="0"/>
                <w:sz w:val="20"/>
                <w:szCs w:val="20"/>
              </w:rPr>
            </w:pPr>
            <w:r>
              <w:rPr>
                <w:rFonts w:hint="eastAsia" w:ascii="宋体" w:hAnsi="宋体" w:cs="宋体"/>
                <w:color w:val="000000"/>
                <w:kern w:val="0"/>
                <w:sz w:val="20"/>
                <w:szCs w:val="20"/>
              </w:rPr>
              <w:t>4.62</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4940EDE4">
            <w:pPr>
              <w:widowControl/>
              <w:jc w:val="center"/>
              <w:rPr>
                <w:rFonts w:ascii="宋体" w:hAnsi="宋体" w:cs="宋体"/>
                <w:color w:val="000000"/>
                <w:kern w:val="0"/>
                <w:sz w:val="20"/>
                <w:szCs w:val="20"/>
              </w:rPr>
            </w:pPr>
            <w:r>
              <w:rPr>
                <w:rFonts w:hint="eastAsia" w:ascii="宋体" w:hAnsi="宋体" w:cs="宋体"/>
                <w:color w:val="000000"/>
                <w:kern w:val="0"/>
                <w:sz w:val="20"/>
                <w:szCs w:val="20"/>
              </w:rPr>
              <w:t>46.28%</w:t>
            </w:r>
          </w:p>
        </w:tc>
        <w:tc>
          <w:tcPr>
            <w:tcW w:w="539" w:type="pct"/>
            <w:tcBorders>
              <w:top w:val="single" w:color="auto" w:sz="4" w:space="0"/>
              <w:left w:val="nil"/>
              <w:bottom w:val="single" w:color="auto" w:sz="4" w:space="0"/>
              <w:right w:val="single" w:color="000000" w:sz="4" w:space="0"/>
            </w:tcBorders>
            <w:shd w:val="clear" w:color="000000" w:fill="FFFFFF"/>
            <w:vAlign w:val="center"/>
          </w:tcPr>
          <w:p w14:paraId="73A423CC">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539" w:type="pct"/>
            <w:tcBorders>
              <w:top w:val="single" w:color="auto" w:sz="4" w:space="0"/>
              <w:left w:val="nil"/>
              <w:bottom w:val="single" w:color="auto" w:sz="4" w:space="0"/>
              <w:right w:val="single" w:color="auto" w:sz="4" w:space="0"/>
            </w:tcBorders>
            <w:shd w:val="clear" w:color="000000" w:fill="FFFFFF"/>
            <w:vAlign w:val="center"/>
          </w:tcPr>
          <w:p w14:paraId="53BE2661">
            <w:pPr>
              <w:widowControl/>
              <w:jc w:val="center"/>
              <w:rPr>
                <w:rFonts w:ascii="宋体" w:hAnsi="宋体" w:cs="宋体"/>
                <w:color w:val="000000"/>
                <w:kern w:val="0"/>
                <w:sz w:val="20"/>
                <w:szCs w:val="20"/>
              </w:rPr>
            </w:pPr>
            <w:r>
              <w:rPr>
                <w:rFonts w:hint="eastAsia" w:ascii="宋体" w:hAnsi="宋体" w:cs="宋体"/>
                <w:color w:val="000000"/>
                <w:kern w:val="0"/>
                <w:sz w:val="20"/>
                <w:szCs w:val="20"/>
              </w:rPr>
              <w:t>1.52</w:t>
            </w:r>
          </w:p>
        </w:tc>
      </w:tr>
      <w:tr w14:paraId="69097F79">
        <w:tblPrEx>
          <w:tblCellMar>
            <w:top w:w="0" w:type="dxa"/>
            <w:left w:w="108" w:type="dxa"/>
            <w:bottom w:w="0" w:type="dxa"/>
            <w:right w:w="108" w:type="dxa"/>
          </w:tblCellMar>
        </w:tblPrEx>
        <w:trPr>
          <w:trHeight w:val="480" w:hRule="atLeast"/>
        </w:trPr>
        <w:tc>
          <w:tcPr>
            <w:tcW w:w="212" w:type="pct"/>
            <w:vMerge w:val="continue"/>
            <w:tcBorders>
              <w:top w:val="nil"/>
              <w:left w:val="single" w:color="auto" w:sz="4" w:space="0"/>
              <w:bottom w:val="single" w:color="auto" w:sz="4" w:space="0"/>
              <w:right w:val="single" w:color="auto" w:sz="4" w:space="0"/>
            </w:tcBorders>
            <w:vAlign w:val="center"/>
          </w:tcPr>
          <w:p w14:paraId="1D881329">
            <w:pPr>
              <w:widowControl/>
              <w:jc w:val="left"/>
              <w:rPr>
                <w:rFonts w:ascii="宋体" w:hAnsi="宋体" w:cs="宋体"/>
                <w:b/>
                <w:bCs/>
                <w:color w:val="000000"/>
                <w:kern w:val="0"/>
                <w:sz w:val="20"/>
                <w:szCs w:val="20"/>
              </w:rPr>
            </w:pPr>
          </w:p>
        </w:tc>
        <w:tc>
          <w:tcPr>
            <w:tcW w:w="2152" w:type="pct"/>
            <w:gridSpan w:val="9"/>
            <w:tcBorders>
              <w:top w:val="single" w:color="auto" w:sz="4" w:space="0"/>
              <w:left w:val="nil"/>
              <w:bottom w:val="single" w:color="auto" w:sz="4" w:space="0"/>
              <w:right w:val="single" w:color="000000" w:sz="4" w:space="0"/>
            </w:tcBorders>
            <w:shd w:val="clear" w:color="000000" w:fill="FFFFFF"/>
            <w:vAlign w:val="center"/>
          </w:tcPr>
          <w:p w14:paraId="0D5D5759">
            <w:pPr>
              <w:widowControl/>
              <w:jc w:val="center"/>
              <w:rPr>
                <w:rFonts w:ascii="宋体" w:hAnsi="宋体" w:cs="宋体"/>
                <w:color w:val="000000"/>
                <w:kern w:val="0"/>
                <w:sz w:val="20"/>
                <w:szCs w:val="20"/>
              </w:rPr>
            </w:pPr>
            <w:r>
              <w:rPr>
                <w:rFonts w:hint="eastAsia" w:ascii="宋体" w:hAnsi="宋体" w:cs="宋体"/>
                <w:color w:val="000000"/>
                <w:kern w:val="0"/>
                <w:sz w:val="20"/>
                <w:szCs w:val="20"/>
              </w:rPr>
              <w:t>推动再生资源行业高质量创新发展专项经费</w:t>
            </w:r>
          </w:p>
        </w:tc>
        <w:tc>
          <w:tcPr>
            <w:tcW w:w="476" w:type="pct"/>
            <w:gridSpan w:val="2"/>
            <w:tcBorders>
              <w:top w:val="single" w:color="auto" w:sz="4" w:space="0"/>
              <w:left w:val="nil"/>
              <w:bottom w:val="single" w:color="auto" w:sz="4" w:space="0"/>
              <w:right w:val="single" w:color="000000" w:sz="4" w:space="0"/>
            </w:tcBorders>
            <w:shd w:val="clear" w:color="000000" w:fill="FFFFFF"/>
            <w:vAlign w:val="center"/>
          </w:tcPr>
          <w:p w14:paraId="7620FF9B">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0A9E7027">
            <w:pPr>
              <w:widowControl/>
              <w:jc w:val="center"/>
              <w:rPr>
                <w:rFonts w:ascii="宋体" w:hAnsi="宋体" w:cs="宋体"/>
                <w:color w:val="000000"/>
                <w:kern w:val="0"/>
                <w:sz w:val="20"/>
                <w:szCs w:val="20"/>
              </w:rPr>
            </w:pPr>
            <w:r>
              <w:rPr>
                <w:rFonts w:hint="eastAsia" w:ascii="宋体" w:hAnsi="宋体" w:cs="宋体"/>
                <w:color w:val="000000"/>
                <w:kern w:val="0"/>
                <w:sz w:val="20"/>
                <w:szCs w:val="20"/>
              </w:rPr>
              <w:t>1.37</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767BFAA6">
            <w:pPr>
              <w:widowControl/>
              <w:jc w:val="center"/>
              <w:rPr>
                <w:rFonts w:ascii="宋体" w:hAnsi="宋体" w:cs="宋体"/>
                <w:color w:val="000000"/>
                <w:kern w:val="0"/>
                <w:sz w:val="20"/>
                <w:szCs w:val="20"/>
              </w:rPr>
            </w:pPr>
            <w:r>
              <w:rPr>
                <w:rFonts w:hint="eastAsia" w:ascii="宋体" w:hAnsi="宋体" w:cs="宋体"/>
                <w:color w:val="000000"/>
                <w:kern w:val="0"/>
                <w:sz w:val="20"/>
                <w:szCs w:val="20"/>
              </w:rPr>
              <w:t>39.22%</w:t>
            </w:r>
          </w:p>
        </w:tc>
        <w:tc>
          <w:tcPr>
            <w:tcW w:w="539" w:type="pct"/>
            <w:tcBorders>
              <w:top w:val="single" w:color="auto" w:sz="4" w:space="0"/>
              <w:left w:val="nil"/>
              <w:bottom w:val="single" w:color="auto" w:sz="4" w:space="0"/>
              <w:right w:val="single" w:color="000000" w:sz="4" w:space="0"/>
            </w:tcBorders>
            <w:shd w:val="clear" w:color="000000" w:fill="FFFFFF"/>
            <w:vAlign w:val="center"/>
          </w:tcPr>
          <w:p w14:paraId="562C3A3A">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539" w:type="pct"/>
            <w:tcBorders>
              <w:top w:val="single" w:color="auto" w:sz="4" w:space="0"/>
              <w:left w:val="nil"/>
              <w:bottom w:val="single" w:color="auto" w:sz="4" w:space="0"/>
              <w:right w:val="single" w:color="auto" w:sz="4" w:space="0"/>
            </w:tcBorders>
            <w:shd w:val="clear" w:color="000000" w:fill="FFFFFF"/>
            <w:vAlign w:val="center"/>
          </w:tcPr>
          <w:p w14:paraId="6E473F4B">
            <w:pPr>
              <w:widowControl/>
              <w:jc w:val="center"/>
              <w:rPr>
                <w:rFonts w:ascii="宋体" w:hAnsi="宋体" w:cs="宋体"/>
                <w:color w:val="000000"/>
                <w:kern w:val="0"/>
                <w:sz w:val="20"/>
                <w:szCs w:val="20"/>
              </w:rPr>
            </w:pPr>
            <w:r>
              <w:rPr>
                <w:rFonts w:hint="eastAsia" w:ascii="宋体" w:hAnsi="宋体" w:cs="宋体"/>
                <w:color w:val="000000"/>
                <w:kern w:val="0"/>
                <w:sz w:val="20"/>
                <w:szCs w:val="20"/>
              </w:rPr>
              <w:t>1.29</w:t>
            </w:r>
          </w:p>
        </w:tc>
      </w:tr>
      <w:tr w14:paraId="7DEBE71E">
        <w:tblPrEx>
          <w:tblCellMar>
            <w:top w:w="0" w:type="dxa"/>
            <w:left w:w="108" w:type="dxa"/>
            <w:bottom w:w="0" w:type="dxa"/>
            <w:right w:w="108" w:type="dxa"/>
          </w:tblCellMar>
        </w:tblPrEx>
        <w:trPr>
          <w:trHeight w:val="480" w:hRule="atLeast"/>
        </w:trPr>
        <w:tc>
          <w:tcPr>
            <w:tcW w:w="212" w:type="pct"/>
            <w:vMerge w:val="continue"/>
            <w:tcBorders>
              <w:top w:val="nil"/>
              <w:left w:val="single" w:color="auto" w:sz="4" w:space="0"/>
              <w:bottom w:val="single" w:color="auto" w:sz="4" w:space="0"/>
              <w:right w:val="single" w:color="auto" w:sz="4" w:space="0"/>
            </w:tcBorders>
            <w:vAlign w:val="center"/>
          </w:tcPr>
          <w:p w14:paraId="2B7E1B44">
            <w:pPr>
              <w:widowControl/>
              <w:jc w:val="left"/>
              <w:rPr>
                <w:rFonts w:ascii="宋体" w:hAnsi="宋体" w:cs="宋体"/>
                <w:b/>
                <w:bCs/>
                <w:color w:val="000000"/>
                <w:kern w:val="0"/>
                <w:sz w:val="20"/>
                <w:szCs w:val="20"/>
              </w:rPr>
            </w:pPr>
          </w:p>
        </w:tc>
        <w:tc>
          <w:tcPr>
            <w:tcW w:w="2152" w:type="pct"/>
            <w:gridSpan w:val="9"/>
            <w:tcBorders>
              <w:top w:val="single" w:color="auto" w:sz="4" w:space="0"/>
              <w:left w:val="nil"/>
              <w:bottom w:val="single" w:color="auto" w:sz="4" w:space="0"/>
              <w:right w:val="single" w:color="000000" w:sz="4" w:space="0"/>
            </w:tcBorders>
            <w:shd w:val="clear" w:color="000000" w:fill="FFFFFF"/>
            <w:vAlign w:val="center"/>
          </w:tcPr>
          <w:p w14:paraId="390D93FC">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部门预算基本支出公用经费</w:t>
            </w:r>
          </w:p>
        </w:tc>
        <w:tc>
          <w:tcPr>
            <w:tcW w:w="476" w:type="pct"/>
            <w:gridSpan w:val="2"/>
            <w:tcBorders>
              <w:top w:val="single" w:color="auto" w:sz="4" w:space="0"/>
              <w:left w:val="nil"/>
              <w:bottom w:val="single" w:color="auto" w:sz="4" w:space="0"/>
              <w:right w:val="single" w:color="000000" w:sz="4" w:space="0"/>
            </w:tcBorders>
            <w:shd w:val="clear" w:color="000000" w:fill="FFFFFF"/>
            <w:vAlign w:val="center"/>
          </w:tcPr>
          <w:p w14:paraId="469FB56F">
            <w:pPr>
              <w:widowControl/>
              <w:jc w:val="center"/>
              <w:rPr>
                <w:rFonts w:ascii="宋体" w:hAnsi="宋体" w:cs="宋体"/>
                <w:color w:val="000000"/>
                <w:kern w:val="0"/>
                <w:sz w:val="20"/>
                <w:szCs w:val="20"/>
              </w:rPr>
            </w:pPr>
            <w:r>
              <w:rPr>
                <w:rFonts w:hint="eastAsia" w:ascii="宋体" w:hAnsi="宋体" w:cs="宋体"/>
                <w:color w:val="000000"/>
                <w:kern w:val="0"/>
                <w:sz w:val="20"/>
                <w:szCs w:val="20"/>
              </w:rPr>
              <w:t>52.70</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4AA925C8">
            <w:pPr>
              <w:widowControl/>
              <w:jc w:val="center"/>
              <w:rPr>
                <w:rFonts w:ascii="宋体" w:hAnsi="宋体" w:cs="宋体"/>
                <w:color w:val="000000"/>
                <w:kern w:val="0"/>
                <w:sz w:val="20"/>
                <w:szCs w:val="20"/>
              </w:rPr>
            </w:pPr>
            <w:r>
              <w:rPr>
                <w:rFonts w:hint="eastAsia" w:ascii="宋体" w:hAnsi="宋体" w:cs="宋体"/>
                <w:color w:val="000000"/>
                <w:kern w:val="0"/>
                <w:sz w:val="20"/>
                <w:szCs w:val="20"/>
              </w:rPr>
              <w:t>51.33</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59ECBFE3">
            <w:pPr>
              <w:widowControl/>
              <w:jc w:val="center"/>
              <w:rPr>
                <w:rFonts w:ascii="宋体" w:hAnsi="宋体" w:cs="宋体"/>
                <w:color w:val="000000"/>
                <w:kern w:val="0"/>
                <w:sz w:val="20"/>
                <w:szCs w:val="20"/>
              </w:rPr>
            </w:pPr>
            <w:r>
              <w:rPr>
                <w:rFonts w:hint="eastAsia" w:ascii="宋体" w:hAnsi="宋体" w:cs="宋体"/>
                <w:color w:val="000000"/>
                <w:kern w:val="0"/>
                <w:sz w:val="20"/>
                <w:szCs w:val="20"/>
              </w:rPr>
              <w:t>97.40%</w:t>
            </w:r>
          </w:p>
        </w:tc>
        <w:tc>
          <w:tcPr>
            <w:tcW w:w="539" w:type="pct"/>
            <w:tcBorders>
              <w:top w:val="single" w:color="auto" w:sz="4" w:space="0"/>
              <w:left w:val="nil"/>
              <w:bottom w:val="single" w:color="auto" w:sz="4" w:space="0"/>
              <w:right w:val="single" w:color="000000" w:sz="4" w:space="0"/>
            </w:tcBorders>
            <w:shd w:val="clear" w:color="000000" w:fill="FFFFFF"/>
            <w:vAlign w:val="center"/>
          </w:tcPr>
          <w:p w14:paraId="4CE84B74">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539" w:type="pct"/>
            <w:tcBorders>
              <w:top w:val="single" w:color="auto" w:sz="4" w:space="0"/>
              <w:left w:val="nil"/>
              <w:bottom w:val="single" w:color="auto" w:sz="4" w:space="0"/>
              <w:right w:val="single" w:color="auto" w:sz="4" w:space="0"/>
            </w:tcBorders>
            <w:shd w:val="clear" w:color="000000" w:fill="FFFFFF"/>
            <w:vAlign w:val="center"/>
          </w:tcPr>
          <w:p w14:paraId="5FAEB1E1">
            <w:pPr>
              <w:widowControl/>
              <w:jc w:val="center"/>
              <w:rPr>
                <w:rFonts w:ascii="宋体" w:hAnsi="宋体" w:cs="宋体"/>
                <w:color w:val="000000"/>
                <w:kern w:val="0"/>
                <w:sz w:val="20"/>
                <w:szCs w:val="20"/>
              </w:rPr>
            </w:pPr>
            <w:r>
              <w:rPr>
                <w:rFonts w:hint="eastAsia" w:ascii="宋体" w:hAnsi="宋体" w:cs="宋体"/>
                <w:color w:val="000000"/>
                <w:kern w:val="0"/>
                <w:sz w:val="20"/>
                <w:szCs w:val="20"/>
              </w:rPr>
              <w:t>3.21</w:t>
            </w:r>
          </w:p>
        </w:tc>
      </w:tr>
      <w:tr w14:paraId="3992A061">
        <w:tblPrEx>
          <w:tblCellMar>
            <w:top w:w="0" w:type="dxa"/>
            <w:left w:w="108" w:type="dxa"/>
            <w:bottom w:w="0" w:type="dxa"/>
            <w:right w:w="108" w:type="dxa"/>
          </w:tblCellMar>
        </w:tblPrEx>
        <w:trPr>
          <w:trHeight w:val="480" w:hRule="atLeast"/>
        </w:trPr>
        <w:tc>
          <w:tcPr>
            <w:tcW w:w="212" w:type="pct"/>
            <w:vMerge w:val="continue"/>
            <w:tcBorders>
              <w:top w:val="nil"/>
              <w:left w:val="single" w:color="auto" w:sz="4" w:space="0"/>
              <w:bottom w:val="single" w:color="auto" w:sz="4" w:space="0"/>
              <w:right w:val="single" w:color="auto" w:sz="4" w:space="0"/>
            </w:tcBorders>
            <w:vAlign w:val="center"/>
          </w:tcPr>
          <w:p w14:paraId="6D476796">
            <w:pPr>
              <w:widowControl/>
              <w:jc w:val="left"/>
              <w:rPr>
                <w:rFonts w:ascii="宋体" w:hAnsi="宋体" w:cs="宋体"/>
                <w:b/>
                <w:bCs/>
                <w:color w:val="000000"/>
                <w:kern w:val="0"/>
                <w:sz w:val="20"/>
                <w:szCs w:val="20"/>
              </w:rPr>
            </w:pPr>
          </w:p>
        </w:tc>
        <w:tc>
          <w:tcPr>
            <w:tcW w:w="2152" w:type="pct"/>
            <w:gridSpan w:val="9"/>
            <w:tcBorders>
              <w:top w:val="single" w:color="auto" w:sz="4" w:space="0"/>
              <w:left w:val="nil"/>
              <w:bottom w:val="single" w:color="auto" w:sz="4" w:space="0"/>
              <w:right w:val="single" w:color="000000" w:sz="4" w:space="0"/>
            </w:tcBorders>
            <w:shd w:val="clear" w:color="000000" w:fill="FFFFFF"/>
            <w:vAlign w:val="center"/>
          </w:tcPr>
          <w:p w14:paraId="68A2BFAF">
            <w:pPr>
              <w:widowControl/>
              <w:jc w:val="center"/>
              <w:rPr>
                <w:rFonts w:ascii="宋体" w:hAnsi="宋体" w:cs="宋体"/>
                <w:color w:val="000000"/>
                <w:kern w:val="0"/>
                <w:sz w:val="20"/>
                <w:szCs w:val="20"/>
              </w:rPr>
            </w:pPr>
            <w:r>
              <w:rPr>
                <w:rFonts w:hint="eastAsia" w:ascii="宋体" w:hAnsi="宋体" w:cs="宋体"/>
                <w:color w:val="000000"/>
                <w:kern w:val="0"/>
                <w:sz w:val="20"/>
                <w:szCs w:val="20"/>
              </w:rPr>
              <w:t>原对外友好人员经费</w:t>
            </w:r>
          </w:p>
        </w:tc>
        <w:tc>
          <w:tcPr>
            <w:tcW w:w="476" w:type="pct"/>
            <w:gridSpan w:val="2"/>
            <w:tcBorders>
              <w:top w:val="single" w:color="auto" w:sz="4" w:space="0"/>
              <w:left w:val="nil"/>
              <w:bottom w:val="single" w:color="auto" w:sz="4" w:space="0"/>
              <w:right w:val="single" w:color="000000" w:sz="4" w:space="0"/>
            </w:tcBorders>
            <w:shd w:val="clear" w:color="000000" w:fill="FFFFFF"/>
            <w:vAlign w:val="center"/>
          </w:tcPr>
          <w:p w14:paraId="47D053F1">
            <w:pPr>
              <w:widowControl/>
              <w:jc w:val="center"/>
              <w:rPr>
                <w:rFonts w:ascii="宋体" w:hAnsi="宋体" w:cs="宋体"/>
                <w:color w:val="000000"/>
                <w:kern w:val="0"/>
                <w:sz w:val="20"/>
                <w:szCs w:val="20"/>
              </w:rPr>
            </w:pPr>
            <w:r>
              <w:rPr>
                <w:rFonts w:hint="eastAsia" w:ascii="宋体" w:hAnsi="宋体" w:cs="宋体"/>
                <w:color w:val="000000"/>
                <w:kern w:val="0"/>
                <w:sz w:val="20"/>
                <w:szCs w:val="20"/>
              </w:rPr>
              <w:t>2.50</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034D0DC9">
            <w:pPr>
              <w:widowControl/>
              <w:jc w:val="center"/>
              <w:rPr>
                <w:rFonts w:ascii="宋体" w:hAnsi="宋体" w:cs="宋体"/>
                <w:color w:val="000000"/>
                <w:kern w:val="0"/>
                <w:sz w:val="20"/>
                <w:szCs w:val="20"/>
              </w:rPr>
            </w:pPr>
            <w:r>
              <w:rPr>
                <w:rFonts w:hint="eastAsia" w:ascii="宋体" w:hAnsi="宋体" w:cs="宋体"/>
                <w:color w:val="000000"/>
                <w:kern w:val="0"/>
                <w:sz w:val="20"/>
                <w:szCs w:val="20"/>
              </w:rPr>
              <w:t>2.35</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764CB7C9">
            <w:pPr>
              <w:widowControl/>
              <w:jc w:val="center"/>
              <w:rPr>
                <w:rFonts w:ascii="宋体" w:hAnsi="宋体" w:cs="宋体"/>
                <w:color w:val="000000"/>
                <w:kern w:val="0"/>
                <w:sz w:val="20"/>
                <w:szCs w:val="20"/>
              </w:rPr>
            </w:pPr>
            <w:r>
              <w:rPr>
                <w:rFonts w:hint="eastAsia" w:ascii="宋体" w:hAnsi="宋体" w:cs="宋体"/>
                <w:color w:val="000000"/>
                <w:kern w:val="0"/>
                <w:sz w:val="20"/>
                <w:szCs w:val="20"/>
              </w:rPr>
              <w:t>94.08%</w:t>
            </w:r>
          </w:p>
        </w:tc>
        <w:tc>
          <w:tcPr>
            <w:tcW w:w="539" w:type="pct"/>
            <w:tcBorders>
              <w:top w:val="single" w:color="auto" w:sz="4" w:space="0"/>
              <w:left w:val="nil"/>
              <w:bottom w:val="single" w:color="auto" w:sz="4" w:space="0"/>
              <w:right w:val="single" w:color="000000" w:sz="4" w:space="0"/>
            </w:tcBorders>
            <w:shd w:val="clear" w:color="000000" w:fill="FFFFFF"/>
            <w:vAlign w:val="center"/>
          </w:tcPr>
          <w:p w14:paraId="1EA003B1">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539" w:type="pct"/>
            <w:tcBorders>
              <w:top w:val="single" w:color="auto" w:sz="4" w:space="0"/>
              <w:left w:val="nil"/>
              <w:bottom w:val="single" w:color="auto" w:sz="4" w:space="0"/>
              <w:right w:val="single" w:color="auto" w:sz="4" w:space="0"/>
            </w:tcBorders>
            <w:shd w:val="clear" w:color="000000" w:fill="FFFFFF"/>
            <w:vAlign w:val="center"/>
          </w:tcPr>
          <w:p w14:paraId="069ABBBA">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r>
      <w:tr w14:paraId="4E15A5E9">
        <w:tblPrEx>
          <w:tblCellMar>
            <w:top w:w="0" w:type="dxa"/>
            <w:left w:w="108" w:type="dxa"/>
            <w:bottom w:w="0" w:type="dxa"/>
            <w:right w:w="108" w:type="dxa"/>
          </w:tblCellMar>
        </w:tblPrEx>
        <w:trPr>
          <w:trHeight w:val="480" w:hRule="atLeast"/>
        </w:trPr>
        <w:tc>
          <w:tcPr>
            <w:tcW w:w="212" w:type="pct"/>
            <w:vMerge w:val="continue"/>
            <w:tcBorders>
              <w:top w:val="nil"/>
              <w:left w:val="single" w:color="auto" w:sz="4" w:space="0"/>
              <w:bottom w:val="single" w:color="auto" w:sz="4" w:space="0"/>
              <w:right w:val="single" w:color="auto" w:sz="4" w:space="0"/>
            </w:tcBorders>
            <w:vAlign w:val="center"/>
          </w:tcPr>
          <w:p w14:paraId="173B41FD">
            <w:pPr>
              <w:widowControl/>
              <w:jc w:val="left"/>
              <w:rPr>
                <w:rFonts w:ascii="宋体" w:hAnsi="宋体" w:cs="宋体"/>
                <w:b/>
                <w:bCs/>
                <w:color w:val="000000"/>
                <w:kern w:val="0"/>
                <w:sz w:val="20"/>
                <w:szCs w:val="20"/>
              </w:rPr>
            </w:pPr>
          </w:p>
        </w:tc>
        <w:tc>
          <w:tcPr>
            <w:tcW w:w="2152" w:type="pct"/>
            <w:gridSpan w:val="9"/>
            <w:tcBorders>
              <w:top w:val="single" w:color="auto" w:sz="4" w:space="0"/>
              <w:left w:val="nil"/>
              <w:bottom w:val="single" w:color="auto" w:sz="4" w:space="0"/>
              <w:right w:val="single" w:color="000000" w:sz="4" w:space="0"/>
            </w:tcBorders>
            <w:shd w:val="clear" w:color="000000" w:fill="FFFFFF"/>
            <w:vAlign w:val="center"/>
          </w:tcPr>
          <w:p w14:paraId="197D5AB9">
            <w:pPr>
              <w:widowControl/>
              <w:jc w:val="center"/>
              <w:rPr>
                <w:rFonts w:ascii="宋体" w:hAnsi="宋体" w:cs="宋体"/>
                <w:color w:val="000000"/>
                <w:kern w:val="0"/>
                <w:sz w:val="20"/>
                <w:szCs w:val="20"/>
              </w:rPr>
            </w:pPr>
            <w:r>
              <w:rPr>
                <w:rFonts w:hint="eastAsia" w:ascii="宋体" w:hAnsi="宋体" w:cs="宋体"/>
                <w:color w:val="000000"/>
                <w:kern w:val="0"/>
                <w:sz w:val="20"/>
                <w:szCs w:val="20"/>
              </w:rPr>
              <w:t>发展石化物流工作经费</w:t>
            </w:r>
          </w:p>
        </w:tc>
        <w:tc>
          <w:tcPr>
            <w:tcW w:w="476" w:type="pct"/>
            <w:gridSpan w:val="2"/>
            <w:tcBorders>
              <w:top w:val="single" w:color="auto" w:sz="4" w:space="0"/>
              <w:left w:val="nil"/>
              <w:bottom w:val="single" w:color="auto" w:sz="4" w:space="0"/>
              <w:right w:val="single" w:color="000000" w:sz="4" w:space="0"/>
            </w:tcBorders>
            <w:shd w:val="clear" w:color="000000" w:fill="FFFFFF"/>
            <w:vAlign w:val="center"/>
          </w:tcPr>
          <w:p w14:paraId="385D513B">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73FA983B">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39F8A9E8">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539" w:type="pct"/>
            <w:tcBorders>
              <w:top w:val="single" w:color="auto" w:sz="4" w:space="0"/>
              <w:left w:val="nil"/>
              <w:bottom w:val="single" w:color="auto" w:sz="4" w:space="0"/>
              <w:right w:val="single" w:color="000000" w:sz="4" w:space="0"/>
            </w:tcBorders>
            <w:shd w:val="clear" w:color="000000" w:fill="FFFFFF"/>
            <w:vAlign w:val="center"/>
          </w:tcPr>
          <w:p w14:paraId="15202D58">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539" w:type="pct"/>
            <w:tcBorders>
              <w:top w:val="single" w:color="auto" w:sz="4" w:space="0"/>
              <w:left w:val="nil"/>
              <w:bottom w:val="single" w:color="auto" w:sz="4" w:space="0"/>
              <w:right w:val="single" w:color="auto" w:sz="4" w:space="0"/>
            </w:tcBorders>
            <w:shd w:val="clear" w:color="000000" w:fill="FFFFFF"/>
            <w:vAlign w:val="center"/>
          </w:tcPr>
          <w:p w14:paraId="7800D33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14:paraId="44878036">
        <w:tblPrEx>
          <w:tblCellMar>
            <w:top w:w="0" w:type="dxa"/>
            <w:left w:w="108" w:type="dxa"/>
            <w:bottom w:w="0" w:type="dxa"/>
            <w:right w:w="108" w:type="dxa"/>
          </w:tblCellMar>
        </w:tblPrEx>
        <w:trPr>
          <w:trHeight w:val="480" w:hRule="atLeast"/>
        </w:trPr>
        <w:tc>
          <w:tcPr>
            <w:tcW w:w="212" w:type="pct"/>
            <w:vMerge w:val="continue"/>
            <w:tcBorders>
              <w:top w:val="nil"/>
              <w:left w:val="single" w:color="auto" w:sz="4" w:space="0"/>
              <w:bottom w:val="single" w:color="auto" w:sz="4" w:space="0"/>
              <w:right w:val="single" w:color="auto" w:sz="4" w:space="0"/>
            </w:tcBorders>
            <w:vAlign w:val="center"/>
          </w:tcPr>
          <w:p w14:paraId="0AC4F93A">
            <w:pPr>
              <w:widowControl/>
              <w:jc w:val="left"/>
              <w:rPr>
                <w:rFonts w:ascii="宋体" w:hAnsi="宋体" w:cs="宋体"/>
                <w:b/>
                <w:bCs/>
                <w:color w:val="000000"/>
                <w:kern w:val="0"/>
                <w:sz w:val="20"/>
                <w:szCs w:val="20"/>
              </w:rPr>
            </w:pPr>
          </w:p>
        </w:tc>
        <w:tc>
          <w:tcPr>
            <w:tcW w:w="2152" w:type="pct"/>
            <w:gridSpan w:val="9"/>
            <w:tcBorders>
              <w:top w:val="single" w:color="auto" w:sz="4" w:space="0"/>
              <w:left w:val="nil"/>
              <w:bottom w:val="single" w:color="auto" w:sz="4" w:space="0"/>
              <w:right w:val="single" w:color="000000" w:sz="4" w:space="0"/>
            </w:tcBorders>
            <w:shd w:val="clear" w:color="000000" w:fill="FFFFFF"/>
            <w:vAlign w:val="center"/>
          </w:tcPr>
          <w:p w14:paraId="67C2DFE5">
            <w:pPr>
              <w:widowControl/>
              <w:jc w:val="center"/>
              <w:rPr>
                <w:rFonts w:ascii="宋体" w:hAnsi="宋体" w:cs="宋体"/>
                <w:color w:val="000000"/>
                <w:kern w:val="0"/>
                <w:sz w:val="20"/>
                <w:szCs w:val="20"/>
              </w:rPr>
            </w:pPr>
            <w:r>
              <w:rPr>
                <w:rFonts w:hint="eastAsia" w:ascii="宋体" w:hAnsi="宋体" w:cs="宋体"/>
                <w:color w:val="000000"/>
                <w:kern w:val="0"/>
                <w:sz w:val="20"/>
                <w:szCs w:val="20"/>
              </w:rPr>
              <w:t>推进楼宇工作经济专项经费</w:t>
            </w:r>
          </w:p>
        </w:tc>
        <w:tc>
          <w:tcPr>
            <w:tcW w:w="476" w:type="pct"/>
            <w:gridSpan w:val="2"/>
            <w:tcBorders>
              <w:top w:val="single" w:color="auto" w:sz="4" w:space="0"/>
              <w:left w:val="nil"/>
              <w:bottom w:val="single" w:color="auto" w:sz="4" w:space="0"/>
              <w:right w:val="single" w:color="000000" w:sz="4" w:space="0"/>
            </w:tcBorders>
            <w:shd w:val="clear" w:color="000000" w:fill="FFFFFF"/>
            <w:vAlign w:val="center"/>
          </w:tcPr>
          <w:p w14:paraId="150ECDA5">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38B21ED3">
            <w:pPr>
              <w:widowControl/>
              <w:jc w:val="center"/>
              <w:rPr>
                <w:rFonts w:ascii="宋体" w:hAnsi="宋体" w:cs="宋体"/>
                <w:color w:val="000000"/>
                <w:kern w:val="0"/>
                <w:sz w:val="20"/>
                <w:szCs w:val="20"/>
              </w:rPr>
            </w:pPr>
            <w:r>
              <w:rPr>
                <w:rFonts w:hint="eastAsia" w:ascii="宋体" w:hAnsi="宋体" w:cs="宋体"/>
                <w:color w:val="000000"/>
                <w:kern w:val="0"/>
                <w:sz w:val="20"/>
                <w:szCs w:val="20"/>
              </w:rPr>
              <w:t>0.49</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37D17A91">
            <w:pPr>
              <w:widowControl/>
              <w:jc w:val="center"/>
              <w:rPr>
                <w:rFonts w:ascii="宋体" w:hAnsi="宋体" w:cs="宋体"/>
                <w:color w:val="000000"/>
                <w:kern w:val="0"/>
                <w:sz w:val="20"/>
                <w:szCs w:val="20"/>
              </w:rPr>
            </w:pPr>
            <w:r>
              <w:rPr>
                <w:rFonts w:hint="eastAsia" w:ascii="宋体" w:hAnsi="宋体" w:cs="宋体"/>
                <w:color w:val="000000"/>
                <w:kern w:val="0"/>
                <w:sz w:val="20"/>
                <w:szCs w:val="20"/>
              </w:rPr>
              <w:t>24.80%</w:t>
            </w:r>
          </w:p>
        </w:tc>
        <w:tc>
          <w:tcPr>
            <w:tcW w:w="539" w:type="pct"/>
            <w:tcBorders>
              <w:top w:val="single" w:color="auto" w:sz="4" w:space="0"/>
              <w:left w:val="nil"/>
              <w:bottom w:val="single" w:color="auto" w:sz="4" w:space="0"/>
              <w:right w:val="single" w:color="000000" w:sz="4" w:space="0"/>
            </w:tcBorders>
            <w:shd w:val="clear" w:color="000000" w:fill="FFFFFF"/>
            <w:vAlign w:val="center"/>
          </w:tcPr>
          <w:p w14:paraId="6FD8A439">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539" w:type="pct"/>
            <w:tcBorders>
              <w:top w:val="single" w:color="auto" w:sz="4" w:space="0"/>
              <w:left w:val="nil"/>
              <w:bottom w:val="single" w:color="auto" w:sz="4" w:space="0"/>
              <w:right w:val="single" w:color="auto" w:sz="4" w:space="0"/>
            </w:tcBorders>
            <w:shd w:val="clear" w:color="000000" w:fill="FFFFFF"/>
            <w:vAlign w:val="center"/>
          </w:tcPr>
          <w:p w14:paraId="0AFA97B5">
            <w:pPr>
              <w:widowControl/>
              <w:jc w:val="center"/>
              <w:rPr>
                <w:rFonts w:ascii="宋体" w:hAnsi="宋体" w:cs="宋体"/>
                <w:color w:val="000000"/>
                <w:kern w:val="0"/>
                <w:sz w:val="20"/>
                <w:szCs w:val="20"/>
              </w:rPr>
            </w:pPr>
            <w:r>
              <w:rPr>
                <w:rFonts w:hint="eastAsia" w:ascii="宋体" w:hAnsi="宋体" w:cs="宋体"/>
                <w:color w:val="000000"/>
                <w:kern w:val="0"/>
                <w:sz w:val="20"/>
                <w:szCs w:val="20"/>
              </w:rPr>
              <w:t>0.81</w:t>
            </w:r>
          </w:p>
        </w:tc>
      </w:tr>
      <w:tr w14:paraId="2AC70E09">
        <w:tblPrEx>
          <w:tblCellMar>
            <w:top w:w="0" w:type="dxa"/>
            <w:left w:w="108" w:type="dxa"/>
            <w:bottom w:w="0" w:type="dxa"/>
            <w:right w:w="108" w:type="dxa"/>
          </w:tblCellMar>
        </w:tblPrEx>
        <w:trPr>
          <w:trHeight w:val="480" w:hRule="atLeast"/>
        </w:trPr>
        <w:tc>
          <w:tcPr>
            <w:tcW w:w="212" w:type="pct"/>
            <w:vMerge w:val="continue"/>
            <w:tcBorders>
              <w:top w:val="nil"/>
              <w:left w:val="single" w:color="auto" w:sz="4" w:space="0"/>
              <w:bottom w:val="single" w:color="auto" w:sz="4" w:space="0"/>
              <w:right w:val="single" w:color="auto" w:sz="4" w:space="0"/>
            </w:tcBorders>
            <w:vAlign w:val="center"/>
          </w:tcPr>
          <w:p w14:paraId="728E6252">
            <w:pPr>
              <w:widowControl/>
              <w:jc w:val="left"/>
              <w:rPr>
                <w:rFonts w:ascii="宋体" w:hAnsi="宋体" w:cs="宋体"/>
                <w:b/>
                <w:bCs/>
                <w:color w:val="000000"/>
                <w:kern w:val="0"/>
                <w:sz w:val="20"/>
                <w:szCs w:val="20"/>
              </w:rPr>
            </w:pPr>
          </w:p>
        </w:tc>
        <w:tc>
          <w:tcPr>
            <w:tcW w:w="2152" w:type="pct"/>
            <w:gridSpan w:val="9"/>
            <w:tcBorders>
              <w:top w:val="single" w:color="auto" w:sz="4" w:space="0"/>
              <w:left w:val="nil"/>
              <w:bottom w:val="single" w:color="auto" w:sz="4" w:space="0"/>
              <w:right w:val="single" w:color="000000" w:sz="4" w:space="0"/>
            </w:tcBorders>
            <w:shd w:val="clear" w:color="000000" w:fill="FFFFFF"/>
            <w:vAlign w:val="center"/>
          </w:tcPr>
          <w:p w14:paraId="1193A6BD">
            <w:pPr>
              <w:widowControl/>
              <w:jc w:val="center"/>
              <w:rPr>
                <w:rFonts w:ascii="宋体" w:hAnsi="宋体" w:cs="宋体"/>
                <w:color w:val="000000"/>
                <w:kern w:val="0"/>
                <w:sz w:val="20"/>
                <w:szCs w:val="20"/>
              </w:rPr>
            </w:pPr>
            <w:r>
              <w:rPr>
                <w:rFonts w:hint="eastAsia" w:ascii="宋体" w:hAnsi="宋体" w:cs="宋体"/>
                <w:color w:val="000000"/>
                <w:kern w:val="0"/>
                <w:sz w:val="20"/>
                <w:szCs w:val="20"/>
              </w:rPr>
              <w:t>发展粮食物流工作经费</w:t>
            </w:r>
          </w:p>
        </w:tc>
        <w:tc>
          <w:tcPr>
            <w:tcW w:w="476" w:type="pct"/>
            <w:gridSpan w:val="2"/>
            <w:tcBorders>
              <w:top w:val="single" w:color="auto" w:sz="4" w:space="0"/>
              <w:left w:val="nil"/>
              <w:bottom w:val="single" w:color="auto" w:sz="4" w:space="0"/>
              <w:right w:val="single" w:color="000000" w:sz="4" w:space="0"/>
            </w:tcBorders>
            <w:shd w:val="clear" w:color="000000" w:fill="FFFFFF"/>
            <w:vAlign w:val="center"/>
          </w:tcPr>
          <w:p w14:paraId="20B58D8C">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51195DA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7CDB981C">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539" w:type="pct"/>
            <w:tcBorders>
              <w:top w:val="single" w:color="auto" w:sz="4" w:space="0"/>
              <w:left w:val="nil"/>
              <w:bottom w:val="single" w:color="auto" w:sz="4" w:space="0"/>
              <w:right w:val="single" w:color="000000" w:sz="4" w:space="0"/>
            </w:tcBorders>
            <w:shd w:val="clear" w:color="000000" w:fill="FFFFFF"/>
            <w:vAlign w:val="center"/>
          </w:tcPr>
          <w:p w14:paraId="6B4635FF">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539" w:type="pct"/>
            <w:tcBorders>
              <w:top w:val="single" w:color="auto" w:sz="4" w:space="0"/>
              <w:left w:val="nil"/>
              <w:bottom w:val="single" w:color="auto" w:sz="4" w:space="0"/>
              <w:right w:val="single" w:color="auto" w:sz="4" w:space="0"/>
            </w:tcBorders>
            <w:shd w:val="clear" w:color="000000" w:fill="FFFFFF"/>
            <w:vAlign w:val="center"/>
          </w:tcPr>
          <w:p w14:paraId="3D6614B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14:paraId="724E4A97">
        <w:tblPrEx>
          <w:tblCellMar>
            <w:top w:w="0" w:type="dxa"/>
            <w:left w:w="108" w:type="dxa"/>
            <w:bottom w:w="0" w:type="dxa"/>
            <w:right w:w="108" w:type="dxa"/>
          </w:tblCellMar>
        </w:tblPrEx>
        <w:trPr>
          <w:trHeight w:val="480" w:hRule="atLeast"/>
        </w:trPr>
        <w:tc>
          <w:tcPr>
            <w:tcW w:w="212" w:type="pct"/>
            <w:vMerge w:val="continue"/>
            <w:tcBorders>
              <w:top w:val="nil"/>
              <w:left w:val="single" w:color="auto" w:sz="4" w:space="0"/>
              <w:bottom w:val="single" w:color="auto" w:sz="4" w:space="0"/>
              <w:right w:val="single" w:color="auto" w:sz="4" w:space="0"/>
            </w:tcBorders>
            <w:vAlign w:val="center"/>
          </w:tcPr>
          <w:p w14:paraId="65721148">
            <w:pPr>
              <w:widowControl/>
              <w:jc w:val="left"/>
              <w:rPr>
                <w:rFonts w:ascii="宋体" w:hAnsi="宋体" w:cs="宋体"/>
                <w:b/>
                <w:bCs/>
                <w:color w:val="000000"/>
                <w:kern w:val="0"/>
                <w:sz w:val="20"/>
                <w:szCs w:val="20"/>
              </w:rPr>
            </w:pPr>
          </w:p>
        </w:tc>
        <w:tc>
          <w:tcPr>
            <w:tcW w:w="2152" w:type="pct"/>
            <w:gridSpan w:val="9"/>
            <w:tcBorders>
              <w:top w:val="single" w:color="auto" w:sz="4" w:space="0"/>
              <w:left w:val="nil"/>
              <w:bottom w:val="single" w:color="auto" w:sz="4" w:space="0"/>
              <w:right w:val="single" w:color="000000" w:sz="4" w:space="0"/>
            </w:tcBorders>
            <w:shd w:val="clear" w:color="000000" w:fill="FFFFFF"/>
            <w:vAlign w:val="center"/>
          </w:tcPr>
          <w:p w14:paraId="5ED3A547">
            <w:pPr>
              <w:widowControl/>
              <w:jc w:val="center"/>
              <w:rPr>
                <w:rFonts w:ascii="宋体" w:hAnsi="宋体" w:cs="宋体"/>
                <w:color w:val="000000"/>
                <w:kern w:val="0"/>
                <w:sz w:val="20"/>
                <w:szCs w:val="20"/>
              </w:rPr>
            </w:pPr>
            <w:r>
              <w:rPr>
                <w:rFonts w:hint="eastAsia" w:ascii="宋体" w:hAnsi="宋体" w:cs="宋体"/>
                <w:color w:val="000000"/>
                <w:kern w:val="0"/>
                <w:sz w:val="20"/>
                <w:szCs w:val="20"/>
              </w:rPr>
              <w:t>现代物流产业链项目建设专项经费</w:t>
            </w:r>
          </w:p>
        </w:tc>
        <w:tc>
          <w:tcPr>
            <w:tcW w:w="476" w:type="pct"/>
            <w:gridSpan w:val="2"/>
            <w:tcBorders>
              <w:top w:val="single" w:color="auto" w:sz="4" w:space="0"/>
              <w:left w:val="nil"/>
              <w:bottom w:val="single" w:color="auto" w:sz="4" w:space="0"/>
              <w:right w:val="single" w:color="000000" w:sz="4" w:space="0"/>
            </w:tcBorders>
            <w:shd w:val="clear" w:color="000000" w:fill="FFFFFF"/>
            <w:vAlign w:val="center"/>
          </w:tcPr>
          <w:p w14:paraId="32CC5578">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735A0C37">
            <w:pPr>
              <w:widowControl/>
              <w:jc w:val="center"/>
              <w:rPr>
                <w:rFonts w:ascii="宋体" w:hAnsi="宋体" w:cs="宋体"/>
                <w:color w:val="000000"/>
                <w:kern w:val="0"/>
                <w:sz w:val="20"/>
                <w:szCs w:val="20"/>
              </w:rPr>
            </w:pPr>
            <w:r>
              <w:rPr>
                <w:rFonts w:hint="eastAsia" w:ascii="宋体" w:hAnsi="宋体" w:cs="宋体"/>
                <w:color w:val="000000"/>
                <w:kern w:val="0"/>
                <w:sz w:val="20"/>
                <w:szCs w:val="20"/>
              </w:rPr>
              <w:t>5.15</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12791C64">
            <w:pPr>
              <w:widowControl/>
              <w:jc w:val="center"/>
              <w:rPr>
                <w:rFonts w:ascii="宋体" w:hAnsi="宋体" w:cs="宋体"/>
                <w:color w:val="000000"/>
                <w:kern w:val="0"/>
                <w:sz w:val="20"/>
                <w:szCs w:val="20"/>
              </w:rPr>
            </w:pPr>
            <w:r>
              <w:rPr>
                <w:rFonts w:hint="eastAsia" w:ascii="宋体" w:hAnsi="宋体" w:cs="宋体"/>
                <w:color w:val="000000"/>
                <w:kern w:val="0"/>
                <w:sz w:val="20"/>
                <w:szCs w:val="20"/>
              </w:rPr>
              <w:t>51.52%</w:t>
            </w:r>
          </w:p>
        </w:tc>
        <w:tc>
          <w:tcPr>
            <w:tcW w:w="539" w:type="pct"/>
            <w:tcBorders>
              <w:top w:val="single" w:color="auto" w:sz="4" w:space="0"/>
              <w:left w:val="nil"/>
              <w:bottom w:val="single" w:color="auto" w:sz="4" w:space="0"/>
              <w:right w:val="single" w:color="000000" w:sz="4" w:space="0"/>
            </w:tcBorders>
            <w:shd w:val="clear" w:color="000000" w:fill="FFFFFF"/>
            <w:vAlign w:val="center"/>
          </w:tcPr>
          <w:p w14:paraId="77DE045B">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539" w:type="pct"/>
            <w:tcBorders>
              <w:top w:val="single" w:color="auto" w:sz="4" w:space="0"/>
              <w:left w:val="nil"/>
              <w:bottom w:val="single" w:color="auto" w:sz="4" w:space="0"/>
              <w:right w:val="single" w:color="auto" w:sz="4" w:space="0"/>
            </w:tcBorders>
            <w:shd w:val="clear" w:color="000000" w:fill="FFFFFF"/>
            <w:vAlign w:val="center"/>
          </w:tcPr>
          <w:p w14:paraId="74316492">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r>
      <w:tr w14:paraId="564509FF">
        <w:tblPrEx>
          <w:tblCellMar>
            <w:top w:w="0" w:type="dxa"/>
            <w:left w:w="108" w:type="dxa"/>
            <w:bottom w:w="0" w:type="dxa"/>
            <w:right w:w="108" w:type="dxa"/>
          </w:tblCellMar>
        </w:tblPrEx>
        <w:trPr>
          <w:trHeight w:val="480" w:hRule="atLeast"/>
        </w:trPr>
        <w:tc>
          <w:tcPr>
            <w:tcW w:w="212" w:type="pct"/>
            <w:vMerge w:val="continue"/>
            <w:tcBorders>
              <w:top w:val="nil"/>
              <w:left w:val="single" w:color="auto" w:sz="4" w:space="0"/>
              <w:bottom w:val="single" w:color="auto" w:sz="4" w:space="0"/>
              <w:right w:val="single" w:color="auto" w:sz="4" w:space="0"/>
            </w:tcBorders>
            <w:vAlign w:val="center"/>
          </w:tcPr>
          <w:p w14:paraId="2ABB1DBD">
            <w:pPr>
              <w:widowControl/>
              <w:jc w:val="left"/>
              <w:rPr>
                <w:rFonts w:ascii="宋体" w:hAnsi="宋体" w:cs="宋体"/>
                <w:b/>
                <w:bCs/>
                <w:color w:val="000000"/>
                <w:kern w:val="0"/>
                <w:sz w:val="20"/>
                <w:szCs w:val="20"/>
              </w:rPr>
            </w:pPr>
          </w:p>
        </w:tc>
        <w:tc>
          <w:tcPr>
            <w:tcW w:w="2152" w:type="pct"/>
            <w:gridSpan w:val="9"/>
            <w:tcBorders>
              <w:top w:val="single" w:color="auto" w:sz="4" w:space="0"/>
              <w:left w:val="nil"/>
              <w:bottom w:val="single" w:color="auto" w:sz="4" w:space="0"/>
              <w:right w:val="single" w:color="000000" w:sz="4" w:space="0"/>
            </w:tcBorders>
            <w:shd w:val="clear" w:color="000000" w:fill="FFFFFF"/>
            <w:vAlign w:val="center"/>
          </w:tcPr>
          <w:p w14:paraId="0DEB7284">
            <w:pPr>
              <w:widowControl/>
              <w:jc w:val="center"/>
              <w:rPr>
                <w:rFonts w:ascii="宋体" w:hAnsi="宋体" w:cs="宋体"/>
                <w:color w:val="000000"/>
                <w:kern w:val="0"/>
                <w:sz w:val="20"/>
                <w:szCs w:val="20"/>
              </w:rPr>
            </w:pPr>
            <w:r>
              <w:rPr>
                <w:rFonts w:hint="eastAsia" w:ascii="宋体" w:hAnsi="宋体" w:cs="宋体"/>
                <w:color w:val="000000"/>
                <w:kern w:val="0"/>
                <w:sz w:val="20"/>
                <w:szCs w:val="20"/>
              </w:rPr>
              <w:t>宣传及推介经费</w:t>
            </w:r>
          </w:p>
        </w:tc>
        <w:tc>
          <w:tcPr>
            <w:tcW w:w="476" w:type="pct"/>
            <w:gridSpan w:val="2"/>
            <w:tcBorders>
              <w:top w:val="single" w:color="auto" w:sz="4" w:space="0"/>
              <w:left w:val="nil"/>
              <w:bottom w:val="single" w:color="auto" w:sz="4" w:space="0"/>
              <w:right w:val="single" w:color="000000" w:sz="4" w:space="0"/>
            </w:tcBorders>
            <w:shd w:val="clear" w:color="000000" w:fill="FFFFFF"/>
            <w:vAlign w:val="center"/>
          </w:tcPr>
          <w:p w14:paraId="4DC61F20">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2EB97555">
            <w:pPr>
              <w:widowControl/>
              <w:jc w:val="center"/>
              <w:rPr>
                <w:rFonts w:ascii="宋体" w:hAnsi="宋体" w:cs="宋体"/>
                <w:color w:val="000000"/>
                <w:kern w:val="0"/>
                <w:sz w:val="20"/>
                <w:szCs w:val="20"/>
              </w:rPr>
            </w:pPr>
            <w:r>
              <w:rPr>
                <w:rFonts w:hint="eastAsia" w:ascii="宋体" w:hAnsi="宋体" w:cs="宋体"/>
                <w:color w:val="000000"/>
                <w:kern w:val="0"/>
                <w:sz w:val="20"/>
                <w:szCs w:val="20"/>
              </w:rPr>
              <w:t>3.93</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67F855DB">
            <w:pPr>
              <w:widowControl/>
              <w:jc w:val="center"/>
              <w:rPr>
                <w:rFonts w:ascii="宋体" w:hAnsi="宋体" w:cs="宋体"/>
                <w:color w:val="000000"/>
                <w:kern w:val="0"/>
                <w:sz w:val="20"/>
                <w:szCs w:val="20"/>
              </w:rPr>
            </w:pPr>
            <w:r>
              <w:rPr>
                <w:rFonts w:hint="eastAsia" w:ascii="宋体" w:hAnsi="宋体" w:cs="宋体"/>
                <w:color w:val="000000"/>
                <w:kern w:val="0"/>
                <w:sz w:val="20"/>
                <w:szCs w:val="20"/>
              </w:rPr>
              <w:t>78.64%</w:t>
            </w:r>
          </w:p>
        </w:tc>
        <w:tc>
          <w:tcPr>
            <w:tcW w:w="539" w:type="pct"/>
            <w:tcBorders>
              <w:top w:val="single" w:color="auto" w:sz="4" w:space="0"/>
              <w:left w:val="nil"/>
              <w:bottom w:val="single" w:color="auto" w:sz="4" w:space="0"/>
              <w:right w:val="single" w:color="000000" w:sz="4" w:space="0"/>
            </w:tcBorders>
            <w:shd w:val="clear" w:color="000000" w:fill="FFFFFF"/>
            <w:vAlign w:val="center"/>
          </w:tcPr>
          <w:p w14:paraId="0EFFD01A">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539" w:type="pct"/>
            <w:tcBorders>
              <w:top w:val="single" w:color="auto" w:sz="4" w:space="0"/>
              <w:left w:val="nil"/>
              <w:bottom w:val="single" w:color="auto" w:sz="4" w:space="0"/>
              <w:right w:val="single" w:color="auto" w:sz="4" w:space="0"/>
            </w:tcBorders>
            <w:shd w:val="clear" w:color="000000" w:fill="FFFFFF"/>
            <w:vAlign w:val="center"/>
          </w:tcPr>
          <w:p w14:paraId="236C8945">
            <w:pPr>
              <w:widowControl/>
              <w:jc w:val="center"/>
              <w:rPr>
                <w:rFonts w:ascii="宋体" w:hAnsi="宋体" w:cs="宋体"/>
                <w:color w:val="000000"/>
                <w:kern w:val="0"/>
                <w:sz w:val="20"/>
                <w:szCs w:val="20"/>
              </w:rPr>
            </w:pPr>
            <w:r>
              <w:rPr>
                <w:rFonts w:hint="eastAsia" w:ascii="宋体" w:hAnsi="宋体" w:cs="宋体"/>
                <w:color w:val="000000"/>
                <w:kern w:val="0"/>
                <w:sz w:val="20"/>
                <w:szCs w:val="20"/>
              </w:rPr>
              <w:t>2.59</w:t>
            </w:r>
          </w:p>
        </w:tc>
      </w:tr>
      <w:tr w14:paraId="3C835584">
        <w:tblPrEx>
          <w:tblCellMar>
            <w:top w:w="0" w:type="dxa"/>
            <w:left w:w="108" w:type="dxa"/>
            <w:bottom w:w="0" w:type="dxa"/>
            <w:right w:w="108" w:type="dxa"/>
          </w:tblCellMar>
        </w:tblPrEx>
        <w:trPr>
          <w:trHeight w:val="480" w:hRule="atLeast"/>
        </w:trPr>
        <w:tc>
          <w:tcPr>
            <w:tcW w:w="212" w:type="pct"/>
            <w:vMerge w:val="continue"/>
            <w:tcBorders>
              <w:top w:val="nil"/>
              <w:left w:val="single" w:color="auto" w:sz="4" w:space="0"/>
              <w:bottom w:val="single" w:color="auto" w:sz="4" w:space="0"/>
              <w:right w:val="single" w:color="auto" w:sz="4" w:space="0"/>
            </w:tcBorders>
            <w:vAlign w:val="center"/>
          </w:tcPr>
          <w:p w14:paraId="71A44980">
            <w:pPr>
              <w:widowControl/>
              <w:jc w:val="left"/>
              <w:rPr>
                <w:rFonts w:ascii="宋体" w:hAnsi="宋体" w:cs="宋体"/>
                <w:b/>
                <w:bCs/>
                <w:color w:val="000000"/>
                <w:kern w:val="0"/>
                <w:sz w:val="20"/>
                <w:szCs w:val="20"/>
              </w:rPr>
            </w:pPr>
          </w:p>
        </w:tc>
        <w:tc>
          <w:tcPr>
            <w:tcW w:w="2152" w:type="pct"/>
            <w:gridSpan w:val="9"/>
            <w:tcBorders>
              <w:top w:val="single" w:color="auto" w:sz="4" w:space="0"/>
              <w:left w:val="nil"/>
              <w:bottom w:val="single" w:color="auto" w:sz="4" w:space="0"/>
              <w:right w:val="single" w:color="000000" w:sz="4" w:space="0"/>
            </w:tcBorders>
            <w:shd w:val="clear" w:color="000000" w:fill="FFFFFF"/>
            <w:vAlign w:val="center"/>
          </w:tcPr>
          <w:p w14:paraId="4D8D3F0C">
            <w:pPr>
              <w:widowControl/>
              <w:jc w:val="center"/>
              <w:rPr>
                <w:rFonts w:ascii="宋体" w:hAnsi="宋体" w:cs="宋体"/>
                <w:color w:val="000000"/>
                <w:kern w:val="0"/>
                <w:sz w:val="20"/>
                <w:szCs w:val="20"/>
              </w:rPr>
            </w:pPr>
            <w:r>
              <w:rPr>
                <w:rFonts w:hint="eastAsia" w:ascii="宋体" w:hAnsi="宋体" w:cs="宋体"/>
                <w:color w:val="000000"/>
                <w:kern w:val="0"/>
                <w:sz w:val="20"/>
                <w:szCs w:val="20"/>
              </w:rPr>
              <w:t>全市现代商贸物流产业培训和举办产业相关技能活动专项经费</w:t>
            </w:r>
          </w:p>
        </w:tc>
        <w:tc>
          <w:tcPr>
            <w:tcW w:w="476" w:type="pct"/>
            <w:gridSpan w:val="2"/>
            <w:tcBorders>
              <w:top w:val="single" w:color="auto" w:sz="4" w:space="0"/>
              <w:left w:val="nil"/>
              <w:bottom w:val="single" w:color="auto" w:sz="4" w:space="0"/>
              <w:right w:val="single" w:color="000000" w:sz="4" w:space="0"/>
            </w:tcBorders>
            <w:shd w:val="clear" w:color="000000" w:fill="FFFFFF"/>
            <w:vAlign w:val="center"/>
          </w:tcPr>
          <w:p w14:paraId="1D723EC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10C88EE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741FF2D0">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539" w:type="pct"/>
            <w:tcBorders>
              <w:top w:val="single" w:color="auto" w:sz="4" w:space="0"/>
              <w:left w:val="nil"/>
              <w:bottom w:val="single" w:color="auto" w:sz="4" w:space="0"/>
              <w:right w:val="single" w:color="000000" w:sz="4" w:space="0"/>
            </w:tcBorders>
            <w:shd w:val="clear" w:color="000000" w:fill="FFFFFF"/>
            <w:vAlign w:val="center"/>
          </w:tcPr>
          <w:p w14:paraId="43C7C816">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539" w:type="pct"/>
            <w:tcBorders>
              <w:top w:val="single" w:color="auto" w:sz="4" w:space="0"/>
              <w:left w:val="nil"/>
              <w:bottom w:val="single" w:color="auto" w:sz="4" w:space="0"/>
              <w:right w:val="single" w:color="auto" w:sz="4" w:space="0"/>
            </w:tcBorders>
            <w:shd w:val="clear" w:color="000000" w:fill="FFFFFF"/>
            <w:vAlign w:val="center"/>
          </w:tcPr>
          <w:p w14:paraId="18B2C3E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14:paraId="020CA1CB">
        <w:tblPrEx>
          <w:tblCellMar>
            <w:top w:w="0" w:type="dxa"/>
            <w:left w:w="108" w:type="dxa"/>
            <w:bottom w:w="0" w:type="dxa"/>
            <w:right w:w="108" w:type="dxa"/>
          </w:tblCellMar>
        </w:tblPrEx>
        <w:trPr>
          <w:trHeight w:val="480" w:hRule="atLeast"/>
        </w:trPr>
        <w:tc>
          <w:tcPr>
            <w:tcW w:w="212" w:type="pct"/>
            <w:vMerge w:val="continue"/>
            <w:tcBorders>
              <w:top w:val="nil"/>
              <w:left w:val="single" w:color="auto" w:sz="4" w:space="0"/>
              <w:bottom w:val="single" w:color="auto" w:sz="4" w:space="0"/>
              <w:right w:val="single" w:color="auto" w:sz="4" w:space="0"/>
            </w:tcBorders>
            <w:vAlign w:val="center"/>
          </w:tcPr>
          <w:p w14:paraId="24CFA2EE">
            <w:pPr>
              <w:widowControl/>
              <w:jc w:val="left"/>
              <w:rPr>
                <w:rFonts w:ascii="宋体" w:hAnsi="宋体" w:cs="宋体"/>
                <w:b/>
                <w:bCs/>
                <w:color w:val="000000"/>
                <w:kern w:val="0"/>
                <w:sz w:val="20"/>
                <w:szCs w:val="20"/>
              </w:rPr>
            </w:pPr>
          </w:p>
        </w:tc>
        <w:tc>
          <w:tcPr>
            <w:tcW w:w="2152" w:type="pct"/>
            <w:gridSpan w:val="9"/>
            <w:tcBorders>
              <w:top w:val="single" w:color="auto" w:sz="4" w:space="0"/>
              <w:left w:val="nil"/>
              <w:bottom w:val="single" w:color="auto" w:sz="4" w:space="0"/>
              <w:right w:val="single" w:color="000000" w:sz="4" w:space="0"/>
            </w:tcBorders>
            <w:shd w:val="clear" w:color="000000" w:fill="FFFFFF"/>
            <w:vAlign w:val="center"/>
          </w:tcPr>
          <w:p w14:paraId="49D69BB0">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部门预算基本支出人员经费</w:t>
            </w:r>
          </w:p>
        </w:tc>
        <w:tc>
          <w:tcPr>
            <w:tcW w:w="476" w:type="pct"/>
            <w:gridSpan w:val="2"/>
            <w:tcBorders>
              <w:top w:val="single" w:color="auto" w:sz="4" w:space="0"/>
              <w:left w:val="nil"/>
              <w:bottom w:val="single" w:color="auto" w:sz="4" w:space="0"/>
              <w:right w:val="single" w:color="000000" w:sz="4" w:space="0"/>
            </w:tcBorders>
            <w:shd w:val="clear" w:color="000000" w:fill="FFFFFF"/>
            <w:vAlign w:val="center"/>
          </w:tcPr>
          <w:p w14:paraId="4DF62867">
            <w:pPr>
              <w:widowControl/>
              <w:jc w:val="center"/>
              <w:rPr>
                <w:rFonts w:ascii="宋体" w:hAnsi="宋体" w:cs="宋体"/>
                <w:color w:val="000000"/>
                <w:kern w:val="0"/>
                <w:sz w:val="20"/>
                <w:szCs w:val="20"/>
              </w:rPr>
            </w:pPr>
            <w:r>
              <w:rPr>
                <w:rFonts w:hint="eastAsia" w:ascii="宋体" w:hAnsi="宋体" w:cs="宋体"/>
                <w:color w:val="000000"/>
                <w:kern w:val="0"/>
                <w:sz w:val="20"/>
                <w:szCs w:val="20"/>
              </w:rPr>
              <w:t>614.94</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792CC237">
            <w:pPr>
              <w:widowControl/>
              <w:jc w:val="center"/>
              <w:rPr>
                <w:rFonts w:ascii="宋体" w:hAnsi="宋体" w:cs="宋体"/>
                <w:color w:val="000000"/>
                <w:kern w:val="0"/>
                <w:sz w:val="20"/>
                <w:szCs w:val="20"/>
              </w:rPr>
            </w:pPr>
            <w:r>
              <w:rPr>
                <w:rFonts w:hint="eastAsia" w:ascii="宋体" w:hAnsi="宋体" w:cs="宋体"/>
                <w:color w:val="000000"/>
                <w:kern w:val="0"/>
                <w:sz w:val="20"/>
                <w:szCs w:val="20"/>
              </w:rPr>
              <w:t>591.29</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475BB4E6">
            <w:pPr>
              <w:widowControl/>
              <w:jc w:val="center"/>
              <w:rPr>
                <w:rFonts w:ascii="宋体" w:hAnsi="宋体" w:cs="宋体"/>
                <w:color w:val="000000"/>
                <w:kern w:val="0"/>
                <w:sz w:val="20"/>
                <w:szCs w:val="20"/>
              </w:rPr>
            </w:pPr>
            <w:r>
              <w:rPr>
                <w:rFonts w:hint="eastAsia" w:ascii="宋体" w:hAnsi="宋体" w:cs="宋体"/>
                <w:color w:val="000000"/>
                <w:kern w:val="0"/>
                <w:sz w:val="20"/>
                <w:szCs w:val="20"/>
              </w:rPr>
              <w:t>96.15%</w:t>
            </w:r>
          </w:p>
        </w:tc>
        <w:tc>
          <w:tcPr>
            <w:tcW w:w="539" w:type="pct"/>
            <w:tcBorders>
              <w:top w:val="single" w:color="auto" w:sz="4" w:space="0"/>
              <w:left w:val="nil"/>
              <w:bottom w:val="single" w:color="auto" w:sz="4" w:space="0"/>
              <w:right w:val="single" w:color="000000" w:sz="4" w:space="0"/>
            </w:tcBorders>
            <w:shd w:val="clear" w:color="000000" w:fill="FFFFFF"/>
            <w:vAlign w:val="center"/>
          </w:tcPr>
          <w:p w14:paraId="50FB4EC2">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539" w:type="pct"/>
            <w:tcBorders>
              <w:top w:val="single" w:color="auto" w:sz="4" w:space="0"/>
              <w:left w:val="nil"/>
              <w:bottom w:val="single" w:color="auto" w:sz="4" w:space="0"/>
              <w:right w:val="single" w:color="auto" w:sz="4" w:space="0"/>
            </w:tcBorders>
            <w:shd w:val="clear" w:color="000000" w:fill="FFFFFF"/>
            <w:vAlign w:val="center"/>
          </w:tcPr>
          <w:p w14:paraId="6ADB14F2">
            <w:pPr>
              <w:widowControl/>
              <w:jc w:val="center"/>
              <w:rPr>
                <w:rFonts w:ascii="宋体" w:hAnsi="宋体" w:cs="宋体"/>
                <w:color w:val="000000"/>
                <w:kern w:val="0"/>
                <w:sz w:val="20"/>
                <w:szCs w:val="20"/>
              </w:rPr>
            </w:pPr>
            <w:r>
              <w:rPr>
                <w:rFonts w:hint="eastAsia" w:ascii="宋体" w:hAnsi="宋体" w:cs="宋体"/>
                <w:color w:val="000000"/>
                <w:kern w:val="0"/>
                <w:sz w:val="20"/>
                <w:szCs w:val="20"/>
              </w:rPr>
              <w:t>3.17</w:t>
            </w:r>
          </w:p>
        </w:tc>
      </w:tr>
      <w:tr w14:paraId="1608A230">
        <w:tblPrEx>
          <w:tblCellMar>
            <w:top w:w="0" w:type="dxa"/>
            <w:left w:w="108" w:type="dxa"/>
            <w:bottom w:w="0" w:type="dxa"/>
            <w:right w:w="108" w:type="dxa"/>
          </w:tblCellMar>
        </w:tblPrEx>
        <w:trPr>
          <w:trHeight w:val="480" w:hRule="atLeast"/>
        </w:trPr>
        <w:tc>
          <w:tcPr>
            <w:tcW w:w="212" w:type="pct"/>
            <w:vMerge w:val="continue"/>
            <w:tcBorders>
              <w:top w:val="nil"/>
              <w:left w:val="single" w:color="auto" w:sz="4" w:space="0"/>
              <w:bottom w:val="single" w:color="auto" w:sz="4" w:space="0"/>
              <w:right w:val="single" w:color="auto" w:sz="4" w:space="0"/>
            </w:tcBorders>
            <w:vAlign w:val="center"/>
          </w:tcPr>
          <w:p w14:paraId="65555353">
            <w:pPr>
              <w:widowControl/>
              <w:jc w:val="left"/>
              <w:rPr>
                <w:rFonts w:ascii="宋体" w:hAnsi="宋体" w:cs="宋体"/>
                <w:b/>
                <w:bCs/>
                <w:color w:val="000000"/>
                <w:kern w:val="0"/>
                <w:sz w:val="20"/>
                <w:szCs w:val="20"/>
              </w:rPr>
            </w:pPr>
          </w:p>
        </w:tc>
        <w:tc>
          <w:tcPr>
            <w:tcW w:w="2152" w:type="pct"/>
            <w:gridSpan w:val="9"/>
            <w:tcBorders>
              <w:top w:val="single" w:color="auto" w:sz="4" w:space="0"/>
              <w:left w:val="nil"/>
              <w:bottom w:val="single" w:color="auto" w:sz="4" w:space="0"/>
              <w:right w:val="single" w:color="000000" w:sz="4" w:space="0"/>
            </w:tcBorders>
            <w:shd w:val="clear" w:color="000000" w:fill="FFFFFF"/>
            <w:vAlign w:val="center"/>
          </w:tcPr>
          <w:p w14:paraId="2EC6AD29">
            <w:pPr>
              <w:widowControl/>
              <w:jc w:val="center"/>
              <w:rPr>
                <w:rFonts w:ascii="宋体" w:hAnsi="宋体" w:cs="宋体"/>
                <w:color w:val="000000"/>
                <w:kern w:val="0"/>
                <w:sz w:val="20"/>
                <w:szCs w:val="20"/>
              </w:rPr>
            </w:pPr>
            <w:r>
              <w:rPr>
                <w:rFonts w:hint="eastAsia" w:ascii="宋体" w:hAnsi="宋体" w:cs="宋体"/>
                <w:color w:val="000000"/>
                <w:kern w:val="0"/>
                <w:sz w:val="20"/>
                <w:szCs w:val="20"/>
              </w:rPr>
              <w:t>发展农产品及冷链物流产业，助力乡村振兴专项经费</w:t>
            </w:r>
          </w:p>
        </w:tc>
        <w:tc>
          <w:tcPr>
            <w:tcW w:w="476" w:type="pct"/>
            <w:gridSpan w:val="2"/>
            <w:tcBorders>
              <w:top w:val="single" w:color="auto" w:sz="4" w:space="0"/>
              <w:left w:val="nil"/>
              <w:bottom w:val="single" w:color="auto" w:sz="4" w:space="0"/>
              <w:right w:val="single" w:color="000000" w:sz="4" w:space="0"/>
            </w:tcBorders>
            <w:shd w:val="clear" w:color="000000" w:fill="FFFFFF"/>
            <w:vAlign w:val="center"/>
          </w:tcPr>
          <w:p w14:paraId="48C1C906">
            <w:pPr>
              <w:widowControl/>
              <w:jc w:val="center"/>
              <w:rPr>
                <w:rFonts w:ascii="宋体" w:hAnsi="宋体" w:cs="宋体"/>
                <w:color w:val="000000"/>
                <w:kern w:val="0"/>
                <w:sz w:val="20"/>
                <w:szCs w:val="20"/>
              </w:rPr>
            </w:pPr>
            <w:r>
              <w:rPr>
                <w:rFonts w:hint="eastAsia" w:ascii="宋体" w:hAnsi="宋体" w:cs="宋体"/>
                <w:color w:val="000000"/>
                <w:kern w:val="0"/>
                <w:sz w:val="20"/>
                <w:szCs w:val="20"/>
              </w:rPr>
              <w:t>1.50</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05177F14">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41" w:type="pct"/>
            <w:gridSpan w:val="2"/>
            <w:tcBorders>
              <w:top w:val="single" w:color="auto" w:sz="4" w:space="0"/>
              <w:left w:val="nil"/>
              <w:bottom w:val="single" w:color="auto" w:sz="4" w:space="0"/>
              <w:right w:val="single" w:color="000000" w:sz="4" w:space="0"/>
            </w:tcBorders>
            <w:shd w:val="clear" w:color="000000" w:fill="FFFFFF"/>
            <w:vAlign w:val="center"/>
          </w:tcPr>
          <w:p w14:paraId="285E9EBB">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539" w:type="pct"/>
            <w:tcBorders>
              <w:top w:val="single" w:color="auto" w:sz="4" w:space="0"/>
              <w:left w:val="nil"/>
              <w:bottom w:val="single" w:color="auto" w:sz="4" w:space="0"/>
              <w:right w:val="single" w:color="000000" w:sz="4" w:space="0"/>
            </w:tcBorders>
            <w:shd w:val="clear" w:color="000000" w:fill="FFFFFF"/>
            <w:vAlign w:val="center"/>
          </w:tcPr>
          <w:p w14:paraId="6C4D116D">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539" w:type="pct"/>
            <w:tcBorders>
              <w:top w:val="single" w:color="auto" w:sz="4" w:space="0"/>
              <w:left w:val="nil"/>
              <w:bottom w:val="single" w:color="auto" w:sz="4" w:space="0"/>
              <w:right w:val="single" w:color="auto" w:sz="4" w:space="0"/>
            </w:tcBorders>
            <w:shd w:val="clear" w:color="000000" w:fill="FFFFFF"/>
            <w:vAlign w:val="center"/>
          </w:tcPr>
          <w:p w14:paraId="776E25A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14:paraId="2285121B">
        <w:tblPrEx>
          <w:tblCellMar>
            <w:top w:w="0" w:type="dxa"/>
            <w:left w:w="108" w:type="dxa"/>
            <w:bottom w:w="0" w:type="dxa"/>
            <w:right w:w="108" w:type="dxa"/>
          </w:tblCellMar>
        </w:tblPrEx>
        <w:trPr>
          <w:trHeight w:val="312" w:hRule="atLeast"/>
        </w:trPr>
        <w:tc>
          <w:tcPr>
            <w:tcW w:w="212" w:type="pct"/>
            <w:vMerge w:val="restart"/>
            <w:tcBorders>
              <w:top w:val="nil"/>
              <w:left w:val="single" w:color="auto" w:sz="4" w:space="0"/>
              <w:bottom w:val="single" w:color="auto" w:sz="4" w:space="0"/>
              <w:right w:val="single" w:color="auto" w:sz="4" w:space="0"/>
            </w:tcBorders>
            <w:shd w:val="clear" w:color="000000" w:fill="FFFFFF"/>
            <w:vAlign w:val="center"/>
          </w:tcPr>
          <w:p w14:paraId="44F2550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w:t>
            </w:r>
          </w:p>
        </w:tc>
        <w:tc>
          <w:tcPr>
            <w:tcW w:w="2358" w:type="pct"/>
            <w:gridSpan w:val="10"/>
            <w:tcBorders>
              <w:top w:val="single" w:color="auto" w:sz="4" w:space="0"/>
              <w:left w:val="nil"/>
              <w:bottom w:val="single" w:color="auto" w:sz="4" w:space="0"/>
              <w:right w:val="single" w:color="000000" w:sz="4" w:space="0"/>
            </w:tcBorders>
            <w:shd w:val="clear" w:color="000000" w:fill="FFFFFF"/>
            <w:vAlign w:val="center"/>
          </w:tcPr>
          <w:p w14:paraId="4E4D142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年初总体目标</w:t>
            </w:r>
          </w:p>
        </w:tc>
        <w:tc>
          <w:tcPr>
            <w:tcW w:w="2431" w:type="pct"/>
            <w:gridSpan w:val="7"/>
            <w:tcBorders>
              <w:top w:val="single" w:color="auto" w:sz="4" w:space="0"/>
              <w:left w:val="nil"/>
              <w:bottom w:val="single" w:color="auto" w:sz="4" w:space="0"/>
              <w:right w:val="single" w:color="000000" w:sz="4" w:space="0"/>
            </w:tcBorders>
            <w:shd w:val="clear" w:color="000000" w:fill="FFFFFF"/>
            <w:vAlign w:val="center"/>
          </w:tcPr>
          <w:p w14:paraId="17B8655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全年完成情况</w:t>
            </w:r>
          </w:p>
        </w:tc>
      </w:tr>
      <w:tr w14:paraId="20B51E8F">
        <w:tblPrEx>
          <w:tblCellMar>
            <w:top w:w="0" w:type="dxa"/>
            <w:left w:w="108" w:type="dxa"/>
            <w:bottom w:w="0" w:type="dxa"/>
            <w:right w:w="108" w:type="dxa"/>
          </w:tblCellMar>
        </w:tblPrEx>
        <w:trPr>
          <w:trHeight w:val="480" w:hRule="atLeast"/>
        </w:trPr>
        <w:tc>
          <w:tcPr>
            <w:tcW w:w="212" w:type="pct"/>
            <w:vMerge w:val="continue"/>
            <w:tcBorders>
              <w:top w:val="nil"/>
              <w:left w:val="single" w:color="auto" w:sz="4" w:space="0"/>
              <w:bottom w:val="single" w:color="auto" w:sz="4" w:space="0"/>
              <w:right w:val="single" w:color="auto" w:sz="4" w:space="0"/>
            </w:tcBorders>
            <w:vAlign w:val="center"/>
          </w:tcPr>
          <w:p w14:paraId="5EE121FC">
            <w:pPr>
              <w:widowControl/>
              <w:jc w:val="left"/>
              <w:rPr>
                <w:rFonts w:ascii="宋体" w:hAnsi="宋体" w:cs="宋体"/>
                <w:b/>
                <w:bCs/>
                <w:color w:val="000000"/>
                <w:kern w:val="0"/>
                <w:sz w:val="20"/>
                <w:szCs w:val="20"/>
              </w:rPr>
            </w:pPr>
          </w:p>
        </w:tc>
        <w:tc>
          <w:tcPr>
            <w:tcW w:w="2358" w:type="pct"/>
            <w:gridSpan w:val="10"/>
            <w:tcBorders>
              <w:top w:val="single" w:color="auto" w:sz="4" w:space="0"/>
              <w:left w:val="nil"/>
              <w:bottom w:val="single" w:color="auto" w:sz="4" w:space="0"/>
              <w:right w:val="single" w:color="000000" w:sz="4" w:space="0"/>
            </w:tcBorders>
            <w:shd w:val="clear" w:color="000000" w:fill="FFFFFF"/>
            <w:vAlign w:val="center"/>
          </w:tcPr>
          <w:p w14:paraId="0626274C">
            <w:pPr>
              <w:widowControl/>
              <w:jc w:val="center"/>
              <w:rPr>
                <w:rFonts w:ascii="宋体" w:hAnsi="宋体" w:cs="宋体"/>
                <w:color w:val="000000"/>
                <w:kern w:val="0"/>
                <w:sz w:val="20"/>
                <w:szCs w:val="20"/>
              </w:rPr>
            </w:pPr>
            <w:r>
              <w:rPr>
                <w:rFonts w:hint="eastAsia" w:ascii="宋体" w:hAnsi="宋体" w:cs="宋体"/>
                <w:color w:val="000000"/>
                <w:kern w:val="0"/>
                <w:sz w:val="20"/>
                <w:szCs w:val="20"/>
              </w:rPr>
              <w:t>认真完成商贸物流基地建设服务中心的建设及维护各项工作任务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宣传省和市关于商贸物流现代产业链项目发展有关措施遇到问题向有关部门反映企业诉求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参与一带一路等物流大通道建设积极构建营销和物流网络承担物流产业园服务工作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推动再生资源行业绿业化高值化专业化发展负责再生资源企业的服务工作。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负责宣传及推介商贸物流基地建设服务中心的工作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学习国内发达地区及龙头企业石化物流发展经验对联行业龙头企业与域内企业对接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加快推进重点粮食物流项目建设完成产业链条工作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开展为商贸物流基地重点园区重点企业 提供政策咨询推进楼宇工作经济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全市现代商贸物流产业培训和行业调查信息咨询并举办产业相关技能活动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发展农产品及冷链物流产业助力乡村振兴重点园区重点项目全程服务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认真完成商贸物流中心重点工作完成好各项工作任务</w:t>
            </w:r>
          </w:p>
        </w:tc>
        <w:tc>
          <w:tcPr>
            <w:tcW w:w="2431" w:type="pct"/>
            <w:gridSpan w:val="7"/>
            <w:tcBorders>
              <w:top w:val="single" w:color="auto" w:sz="4" w:space="0"/>
              <w:left w:val="nil"/>
              <w:bottom w:val="single" w:color="auto" w:sz="4" w:space="0"/>
              <w:right w:val="single" w:color="000000" w:sz="4" w:space="0"/>
            </w:tcBorders>
            <w:shd w:val="clear" w:color="000000" w:fill="FFFFFF"/>
            <w:vAlign w:val="center"/>
          </w:tcPr>
          <w:p w14:paraId="0B92A9B0">
            <w:pPr>
              <w:widowControl/>
              <w:jc w:val="center"/>
              <w:rPr>
                <w:rFonts w:ascii="宋体" w:hAnsi="宋体" w:cs="宋体"/>
                <w:color w:val="000000"/>
                <w:kern w:val="0"/>
                <w:sz w:val="20"/>
                <w:szCs w:val="20"/>
              </w:rPr>
            </w:pPr>
            <w:r>
              <w:rPr>
                <w:rFonts w:hint="eastAsia" w:ascii="宋体" w:hAnsi="宋体" w:cs="宋体"/>
                <w:color w:val="000000"/>
                <w:kern w:val="0"/>
                <w:sz w:val="20"/>
                <w:szCs w:val="20"/>
              </w:rPr>
              <w:t>认真完成商贸物流基地建设服务中心的建设及维护各项工作任务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宣传省和市关于商贸物流现代产业链项目发展有关措施遇到问题向有关部门反映企业诉求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参与一带一路等物流大通道建设积极构建营销和物流网络承担物流产业园服务工作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推动再生资源行业绿业化高值化专业化发展负责再生资源企业的服务工作。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负责宣传及推介商贸物流基地建设服务中心的工作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学习国内发达地区及龙头企业石化物流发展经验对联行业龙头企业与域内企业对接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加快推进重点粮食物流项目建设完成产业链条工作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开展为商贸物流基地重点园区重点企业 提供政策咨询推进楼宇工作经济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全市现代商贸物流产业培训和行业调查信息咨询并举办产业相关技能活动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发展农产品及冷链物流产业助力乡村振兴重点园区重点项目全程服务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认真完成商贸物流中心重点工作完成好各项工作任务</w:t>
            </w:r>
          </w:p>
        </w:tc>
      </w:tr>
      <w:tr w14:paraId="60191AB4">
        <w:tblPrEx>
          <w:tblCellMar>
            <w:top w:w="0" w:type="dxa"/>
            <w:left w:w="108" w:type="dxa"/>
            <w:bottom w:w="0" w:type="dxa"/>
            <w:right w:w="108" w:type="dxa"/>
          </w:tblCellMar>
        </w:tblPrEx>
        <w:trPr>
          <w:trHeight w:val="285" w:hRule="atLeast"/>
        </w:trPr>
        <w:tc>
          <w:tcPr>
            <w:tcW w:w="212" w:type="pct"/>
            <w:vMerge w:val="restart"/>
            <w:tcBorders>
              <w:top w:val="nil"/>
              <w:left w:val="single" w:color="auto" w:sz="4" w:space="0"/>
              <w:bottom w:val="nil"/>
              <w:right w:val="single" w:color="auto" w:sz="4" w:space="0"/>
            </w:tcBorders>
            <w:shd w:val="clear" w:color="000000" w:fill="FFFFFF"/>
            <w:vAlign w:val="center"/>
          </w:tcPr>
          <w:p w14:paraId="6555AEB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14:paraId="5077F1E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14:paraId="01A4792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366" w:type="pct"/>
            <w:vMerge w:val="restart"/>
            <w:tcBorders>
              <w:top w:val="nil"/>
              <w:left w:val="single" w:color="auto" w:sz="4" w:space="0"/>
              <w:bottom w:val="single" w:color="auto" w:sz="4" w:space="0"/>
              <w:right w:val="single" w:color="auto" w:sz="4" w:space="0"/>
            </w:tcBorders>
            <w:shd w:val="clear" w:color="000000" w:fill="FFFFFF"/>
            <w:vAlign w:val="center"/>
          </w:tcPr>
          <w:p w14:paraId="47E1E3B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204" w:type="pct"/>
            <w:vMerge w:val="restart"/>
            <w:tcBorders>
              <w:top w:val="nil"/>
              <w:left w:val="single" w:color="auto" w:sz="4" w:space="0"/>
              <w:bottom w:val="single" w:color="auto" w:sz="4" w:space="0"/>
              <w:right w:val="single" w:color="auto" w:sz="4" w:space="0"/>
            </w:tcBorders>
            <w:shd w:val="clear" w:color="000000" w:fill="FFFFFF"/>
            <w:vAlign w:val="center"/>
          </w:tcPr>
          <w:p w14:paraId="40310BE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运算符号</w:t>
            </w:r>
          </w:p>
        </w:tc>
        <w:tc>
          <w:tcPr>
            <w:tcW w:w="205" w:type="pct"/>
            <w:vMerge w:val="restart"/>
            <w:tcBorders>
              <w:top w:val="nil"/>
              <w:left w:val="single" w:color="auto" w:sz="4" w:space="0"/>
              <w:bottom w:val="single" w:color="auto" w:sz="4" w:space="0"/>
              <w:right w:val="single" w:color="auto" w:sz="4" w:space="0"/>
            </w:tcBorders>
            <w:shd w:val="clear" w:color="000000" w:fill="FFFFFF"/>
            <w:vAlign w:val="center"/>
          </w:tcPr>
          <w:p w14:paraId="14A910C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指标值</w:t>
            </w:r>
          </w:p>
        </w:tc>
        <w:tc>
          <w:tcPr>
            <w:tcW w:w="204" w:type="pct"/>
            <w:vMerge w:val="restart"/>
            <w:tcBorders>
              <w:top w:val="nil"/>
              <w:left w:val="single" w:color="auto" w:sz="4" w:space="0"/>
              <w:bottom w:val="single" w:color="auto" w:sz="4" w:space="0"/>
              <w:right w:val="single" w:color="auto" w:sz="4" w:space="0"/>
            </w:tcBorders>
            <w:shd w:val="clear" w:color="000000" w:fill="FFFFFF"/>
            <w:vAlign w:val="center"/>
          </w:tcPr>
          <w:p w14:paraId="63865B1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度量单位</w:t>
            </w:r>
          </w:p>
        </w:tc>
        <w:tc>
          <w:tcPr>
            <w:tcW w:w="340" w:type="pct"/>
            <w:vMerge w:val="restart"/>
            <w:tcBorders>
              <w:top w:val="nil"/>
              <w:left w:val="single" w:color="auto" w:sz="4" w:space="0"/>
              <w:bottom w:val="single" w:color="000000" w:sz="4" w:space="0"/>
              <w:right w:val="single" w:color="auto" w:sz="4" w:space="0"/>
            </w:tcBorders>
            <w:shd w:val="clear" w:color="000000" w:fill="FFFFFF"/>
            <w:vAlign w:val="center"/>
          </w:tcPr>
          <w:p w14:paraId="7E6D444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全年完成值</w:t>
            </w:r>
          </w:p>
        </w:tc>
        <w:tc>
          <w:tcPr>
            <w:tcW w:w="204" w:type="pct"/>
            <w:vMerge w:val="restart"/>
            <w:tcBorders>
              <w:top w:val="nil"/>
              <w:left w:val="single" w:color="auto" w:sz="4" w:space="0"/>
              <w:bottom w:val="single" w:color="000000" w:sz="4" w:space="0"/>
              <w:right w:val="single" w:color="auto" w:sz="4" w:space="0"/>
            </w:tcBorders>
            <w:shd w:val="clear" w:color="000000" w:fill="FFFFFF"/>
            <w:vAlign w:val="center"/>
          </w:tcPr>
          <w:p w14:paraId="5426457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205" w:type="pct"/>
            <w:vMerge w:val="restart"/>
            <w:tcBorders>
              <w:top w:val="nil"/>
              <w:left w:val="single" w:color="auto" w:sz="4" w:space="0"/>
              <w:bottom w:val="single" w:color="000000" w:sz="4" w:space="0"/>
              <w:right w:val="single" w:color="auto" w:sz="4" w:space="0"/>
            </w:tcBorders>
            <w:shd w:val="clear" w:color="000000" w:fill="FFFFFF"/>
            <w:vAlign w:val="center"/>
          </w:tcPr>
          <w:p w14:paraId="013A375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205" w:type="pct"/>
            <w:vMerge w:val="restart"/>
            <w:tcBorders>
              <w:top w:val="nil"/>
              <w:left w:val="single" w:color="auto" w:sz="4" w:space="0"/>
              <w:bottom w:val="single" w:color="000000" w:sz="4" w:space="0"/>
              <w:right w:val="single" w:color="auto" w:sz="4" w:space="0"/>
            </w:tcBorders>
            <w:shd w:val="clear" w:color="000000" w:fill="FFFFFF"/>
            <w:vAlign w:val="center"/>
          </w:tcPr>
          <w:p w14:paraId="6C3BE74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1352" w:type="pct"/>
            <w:gridSpan w:val="5"/>
            <w:tcBorders>
              <w:top w:val="nil"/>
              <w:left w:val="nil"/>
              <w:bottom w:val="single" w:color="auto" w:sz="4" w:space="0"/>
              <w:right w:val="single" w:color="auto" w:sz="4" w:space="0"/>
            </w:tcBorders>
            <w:shd w:val="clear" w:color="000000" w:fill="FFFFFF"/>
            <w:vAlign w:val="center"/>
          </w:tcPr>
          <w:p w14:paraId="443DBA1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偏差原因分析</w:t>
            </w:r>
          </w:p>
        </w:tc>
        <w:tc>
          <w:tcPr>
            <w:tcW w:w="1078" w:type="pct"/>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14:paraId="666E7D7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0993D443">
        <w:tblPrEx>
          <w:tblCellMar>
            <w:top w:w="0" w:type="dxa"/>
            <w:left w:w="108" w:type="dxa"/>
            <w:bottom w:w="0" w:type="dxa"/>
            <w:right w:w="108" w:type="dxa"/>
          </w:tblCellMar>
        </w:tblPrEx>
        <w:trPr>
          <w:trHeight w:val="960" w:hRule="atLeast"/>
        </w:trPr>
        <w:tc>
          <w:tcPr>
            <w:tcW w:w="212" w:type="pct"/>
            <w:vMerge w:val="continue"/>
            <w:tcBorders>
              <w:top w:val="nil"/>
              <w:left w:val="single" w:color="auto" w:sz="4" w:space="0"/>
              <w:bottom w:val="nil"/>
              <w:right w:val="single" w:color="auto" w:sz="4" w:space="0"/>
            </w:tcBorders>
            <w:vAlign w:val="center"/>
          </w:tcPr>
          <w:p w14:paraId="1267D721">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7F2D1495">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103A97A3">
            <w:pPr>
              <w:widowControl/>
              <w:jc w:val="left"/>
              <w:rPr>
                <w:rFonts w:ascii="宋体" w:hAnsi="宋体" w:cs="宋体"/>
                <w:b/>
                <w:bCs/>
                <w:color w:val="000000"/>
                <w:kern w:val="0"/>
                <w:sz w:val="20"/>
                <w:szCs w:val="20"/>
              </w:rPr>
            </w:pPr>
          </w:p>
        </w:tc>
        <w:tc>
          <w:tcPr>
            <w:tcW w:w="366" w:type="pct"/>
            <w:vMerge w:val="continue"/>
            <w:tcBorders>
              <w:top w:val="nil"/>
              <w:left w:val="single" w:color="auto" w:sz="4" w:space="0"/>
              <w:bottom w:val="single" w:color="auto" w:sz="4" w:space="0"/>
              <w:right w:val="single" w:color="auto" w:sz="4" w:space="0"/>
            </w:tcBorders>
            <w:vAlign w:val="center"/>
          </w:tcPr>
          <w:p w14:paraId="13AD259B">
            <w:pPr>
              <w:widowControl/>
              <w:jc w:val="left"/>
              <w:rPr>
                <w:rFonts w:ascii="宋体" w:hAnsi="宋体" w:cs="宋体"/>
                <w:b/>
                <w:bCs/>
                <w:color w:val="000000"/>
                <w:kern w:val="0"/>
                <w:sz w:val="20"/>
                <w:szCs w:val="20"/>
              </w:rPr>
            </w:pPr>
          </w:p>
        </w:tc>
        <w:tc>
          <w:tcPr>
            <w:tcW w:w="204" w:type="pct"/>
            <w:vMerge w:val="continue"/>
            <w:tcBorders>
              <w:top w:val="nil"/>
              <w:left w:val="single" w:color="auto" w:sz="4" w:space="0"/>
              <w:bottom w:val="single" w:color="auto" w:sz="4" w:space="0"/>
              <w:right w:val="single" w:color="auto" w:sz="4" w:space="0"/>
            </w:tcBorders>
            <w:vAlign w:val="center"/>
          </w:tcPr>
          <w:p w14:paraId="01E3AB67">
            <w:pPr>
              <w:widowControl/>
              <w:jc w:val="left"/>
              <w:rPr>
                <w:rFonts w:ascii="宋体" w:hAnsi="宋体" w:cs="宋体"/>
                <w:b/>
                <w:bCs/>
                <w:color w:val="000000"/>
                <w:kern w:val="0"/>
                <w:sz w:val="20"/>
                <w:szCs w:val="20"/>
              </w:rPr>
            </w:pPr>
          </w:p>
        </w:tc>
        <w:tc>
          <w:tcPr>
            <w:tcW w:w="205" w:type="pct"/>
            <w:vMerge w:val="continue"/>
            <w:tcBorders>
              <w:top w:val="nil"/>
              <w:left w:val="single" w:color="auto" w:sz="4" w:space="0"/>
              <w:bottom w:val="single" w:color="auto" w:sz="4" w:space="0"/>
              <w:right w:val="single" w:color="auto" w:sz="4" w:space="0"/>
            </w:tcBorders>
            <w:vAlign w:val="center"/>
          </w:tcPr>
          <w:p w14:paraId="700A1058">
            <w:pPr>
              <w:widowControl/>
              <w:jc w:val="left"/>
              <w:rPr>
                <w:rFonts w:ascii="宋体" w:hAnsi="宋体" w:cs="宋体"/>
                <w:b/>
                <w:bCs/>
                <w:color w:val="000000"/>
                <w:kern w:val="0"/>
                <w:sz w:val="20"/>
                <w:szCs w:val="20"/>
              </w:rPr>
            </w:pPr>
          </w:p>
        </w:tc>
        <w:tc>
          <w:tcPr>
            <w:tcW w:w="204" w:type="pct"/>
            <w:vMerge w:val="continue"/>
            <w:tcBorders>
              <w:top w:val="nil"/>
              <w:left w:val="single" w:color="auto" w:sz="4" w:space="0"/>
              <w:bottom w:val="single" w:color="auto" w:sz="4" w:space="0"/>
              <w:right w:val="single" w:color="auto" w:sz="4" w:space="0"/>
            </w:tcBorders>
            <w:vAlign w:val="center"/>
          </w:tcPr>
          <w:p w14:paraId="57CA9922">
            <w:pPr>
              <w:widowControl/>
              <w:jc w:val="left"/>
              <w:rPr>
                <w:rFonts w:ascii="宋体" w:hAnsi="宋体" w:cs="宋体"/>
                <w:b/>
                <w:bCs/>
                <w:color w:val="000000"/>
                <w:kern w:val="0"/>
                <w:sz w:val="20"/>
                <w:szCs w:val="20"/>
              </w:rPr>
            </w:pPr>
          </w:p>
        </w:tc>
        <w:tc>
          <w:tcPr>
            <w:tcW w:w="340" w:type="pct"/>
            <w:vMerge w:val="continue"/>
            <w:tcBorders>
              <w:top w:val="nil"/>
              <w:left w:val="single" w:color="auto" w:sz="4" w:space="0"/>
              <w:bottom w:val="single" w:color="000000" w:sz="4" w:space="0"/>
              <w:right w:val="single" w:color="auto" w:sz="4" w:space="0"/>
            </w:tcBorders>
            <w:vAlign w:val="center"/>
          </w:tcPr>
          <w:p w14:paraId="528486E5">
            <w:pPr>
              <w:widowControl/>
              <w:jc w:val="left"/>
              <w:rPr>
                <w:rFonts w:ascii="宋体" w:hAnsi="宋体" w:cs="宋体"/>
                <w:b/>
                <w:bCs/>
                <w:color w:val="000000"/>
                <w:kern w:val="0"/>
                <w:sz w:val="20"/>
                <w:szCs w:val="20"/>
              </w:rPr>
            </w:pPr>
          </w:p>
        </w:tc>
        <w:tc>
          <w:tcPr>
            <w:tcW w:w="204" w:type="pct"/>
            <w:vMerge w:val="continue"/>
            <w:tcBorders>
              <w:top w:val="nil"/>
              <w:left w:val="single" w:color="auto" w:sz="4" w:space="0"/>
              <w:bottom w:val="single" w:color="000000" w:sz="4" w:space="0"/>
              <w:right w:val="single" w:color="auto" w:sz="4" w:space="0"/>
            </w:tcBorders>
            <w:vAlign w:val="center"/>
          </w:tcPr>
          <w:p w14:paraId="7E8F8FEB">
            <w:pPr>
              <w:widowControl/>
              <w:jc w:val="left"/>
              <w:rPr>
                <w:rFonts w:ascii="宋体" w:hAnsi="宋体" w:cs="宋体"/>
                <w:b/>
                <w:bCs/>
                <w:color w:val="000000"/>
                <w:kern w:val="0"/>
                <w:sz w:val="20"/>
                <w:szCs w:val="20"/>
              </w:rPr>
            </w:pPr>
          </w:p>
        </w:tc>
        <w:tc>
          <w:tcPr>
            <w:tcW w:w="205" w:type="pct"/>
            <w:vMerge w:val="continue"/>
            <w:tcBorders>
              <w:top w:val="nil"/>
              <w:left w:val="single" w:color="auto" w:sz="4" w:space="0"/>
              <w:bottom w:val="single" w:color="000000" w:sz="4" w:space="0"/>
              <w:right w:val="single" w:color="auto" w:sz="4" w:space="0"/>
            </w:tcBorders>
            <w:vAlign w:val="center"/>
          </w:tcPr>
          <w:p w14:paraId="30182DA2">
            <w:pPr>
              <w:widowControl/>
              <w:jc w:val="left"/>
              <w:rPr>
                <w:rFonts w:ascii="宋体" w:hAnsi="宋体" w:cs="宋体"/>
                <w:b/>
                <w:bCs/>
                <w:color w:val="000000"/>
                <w:kern w:val="0"/>
                <w:sz w:val="20"/>
                <w:szCs w:val="20"/>
              </w:rPr>
            </w:pPr>
          </w:p>
        </w:tc>
        <w:tc>
          <w:tcPr>
            <w:tcW w:w="205" w:type="pct"/>
            <w:vMerge w:val="continue"/>
            <w:tcBorders>
              <w:top w:val="nil"/>
              <w:left w:val="single" w:color="auto" w:sz="4" w:space="0"/>
              <w:bottom w:val="single" w:color="000000" w:sz="4" w:space="0"/>
              <w:right w:val="single" w:color="auto" w:sz="4" w:space="0"/>
            </w:tcBorders>
            <w:vAlign w:val="center"/>
          </w:tcPr>
          <w:p w14:paraId="496F8A28">
            <w:pPr>
              <w:widowControl/>
              <w:jc w:val="left"/>
              <w:rPr>
                <w:rFonts w:ascii="宋体" w:hAnsi="宋体" w:cs="宋体"/>
                <w:b/>
                <w:bCs/>
                <w:color w:val="000000"/>
                <w:kern w:val="0"/>
                <w:sz w:val="20"/>
                <w:szCs w:val="20"/>
              </w:rPr>
            </w:pPr>
          </w:p>
        </w:tc>
        <w:tc>
          <w:tcPr>
            <w:tcW w:w="270" w:type="pct"/>
            <w:tcBorders>
              <w:top w:val="nil"/>
              <w:left w:val="nil"/>
              <w:bottom w:val="single" w:color="auto" w:sz="4" w:space="0"/>
              <w:right w:val="single" w:color="auto" w:sz="4" w:space="0"/>
            </w:tcBorders>
            <w:shd w:val="clear" w:color="000000" w:fill="FFFFFF"/>
            <w:vAlign w:val="center"/>
          </w:tcPr>
          <w:p w14:paraId="517684F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经费保障原因分析</w:t>
            </w:r>
          </w:p>
        </w:tc>
        <w:tc>
          <w:tcPr>
            <w:tcW w:w="271" w:type="pct"/>
            <w:tcBorders>
              <w:top w:val="nil"/>
              <w:left w:val="nil"/>
              <w:bottom w:val="single" w:color="auto" w:sz="4" w:space="0"/>
              <w:right w:val="single" w:color="auto" w:sz="4" w:space="0"/>
            </w:tcBorders>
            <w:shd w:val="clear" w:color="000000" w:fill="FFFFFF"/>
            <w:vAlign w:val="center"/>
          </w:tcPr>
          <w:p w14:paraId="729FECB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制度保障原因分析</w:t>
            </w:r>
          </w:p>
        </w:tc>
        <w:tc>
          <w:tcPr>
            <w:tcW w:w="270" w:type="pct"/>
            <w:tcBorders>
              <w:top w:val="nil"/>
              <w:left w:val="nil"/>
              <w:bottom w:val="single" w:color="auto" w:sz="4" w:space="0"/>
              <w:right w:val="single" w:color="auto" w:sz="4" w:space="0"/>
            </w:tcBorders>
            <w:shd w:val="clear" w:color="000000" w:fill="FFFFFF"/>
            <w:vAlign w:val="center"/>
          </w:tcPr>
          <w:p w14:paraId="66EEE82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人员保障原因分析</w:t>
            </w:r>
          </w:p>
        </w:tc>
        <w:tc>
          <w:tcPr>
            <w:tcW w:w="271" w:type="pct"/>
            <w:tcBorders>
              <w:top w:val="nil"/>
              <w:left w:val="nil"/>
              <w:bottom w:val="single" w:color="auto" w:sz="4" w:space="0"/>
              <w:right w:val="single" w:color="auto" w:sz="4" w:space="0"/>
            </w:tcBorders>
            <w:shd w:val="clear" w:color="000000" w:fill="FFFFFF"/>
            <w:vAlign w:val="center"/>
          </w:tcPr>
          <w:p w14:paraId="03F2F04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硬件条件保障原因分析</w:t>
            </w:r>
          </w:p>
        </w:tc>
        <w:tc>
          <w:tcPr>
            <w:tcW w:w="270" w:type="pct"/>
            <w:tcBorders>
              <w:top w:val="nil"/>
              <w:left w:val="nil"/>
              <w:bottom w:val="single" w:color="auto" w:sz="4" w:space="0"/>
              <w:right w:val="single" w:color="auto" w:sz="4" w:space="0"/>
            </w:tcBorders>
            <w:shd w:val="clear" w:color="000000" w:fill="FFFFFF"/>
            <w:vAlign w:val="center"/>
          </w:tcPr>
          <w:p w14:paraId="62CD0FD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其他原因分析</w:t>
            </w:r>
          </w:p>
        </w:tc>
        <w:tc>
          <w:tcPr>
            <w:tcW w:w="1078" w:type="pct"/>
            <w:gridSpan w:val="2"/>
            <w:vMerge w:val="continue"/>
            <w:tcBorders>
              <w:top w:val="nil"/>
              <w:left w:val="nil"/>
              <w:bottom w:val="single" w:color="auto" w:sz="4" w:space="0"/>
              <w:right w:val="single" w:color="auto" w:sz="4" w:space="0"/>
            </w:tcBorders>
            <w:vAlign w:val="center"/>
          </w:tcPr>
          <w:p w14:paraId="68079CA8">
            <w:pPr>
              <w:widowControl/>
              <w:jc w:val="left"/>
              <w:rPr>
                <w:rFonts w:ascii="宋体" w:hAnsi="宋体" w:cs="宋体"/>
                <w:b/>
                <w:bCs/>
                <w:color w:val="000000"/>
                <w:kern w:val="0"/>
                <w:sz w:val="20"/>
                <w:szCs w:val="20"/>
              </w:rPr>
            </w:pPr>
          </w:p>
        </w:tc>
      </w:tr>
      <w:tr w14:paraId="2A6C1D6C">
        <w:tblPrEx>
          <w:tblCellMar>
            <w:top w:w="0" w:type="dxa"/>
            <w:left w:w="108" w:type="dxa"/>
            <w:bottom w:w="0" w:type="dxa"/>
            <w:right w:w="108" w:type="dxa"/>
          </w:tblCellMar>
        </w:tblPrEx>
        <w:trPr>
          <w:trHeight w:val="960" w:hRule="atLeast"/>
        </w:trPr>
        <w:tc>
          <w:tcPr>
            <w:tcW w:w="212" w:type="pct"/>
            <w:vMerge w:val="continue"/>
            <w:tcBorders>
              <w:top w:val="nil"/>
              <w:left w:val="single" w:color="auto" w:sz="4" w:space="0"/>
              <w:bottom w:val="nil"/>
              <w:right w:val="single" w:color="auto" w:sz="4" w:space="0"/>
            </w:tcBorders>
            <w:vAlign w:val="center"/>
          </w:tcPr>
          <w:p w14:paraId="6554842E">
            <w:pPr>
              <w:widowControl/>
              <w:jc w:val="left"/>
              <w:rPr>
                <w:rFonts w:ascii="宋体" w:hAnsi="宋体" w:cs="宋体"/>
                <w:b/>
                <w:bCs/>
                <w:color w:val="000000"/>
                <w:kern w:val="0"/>
                <w:sz w:val="20"/>
                <w:szCs w:val="20"/>
              </w:rPr>
            </w:pP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14:paraId="39C3C525">
            <w:pPr>
              <w:widowControl/>
              <w:jc w:val="center"/>
              <w:rPr>
                <w:rFonts w:ascii="宋体" w:hAnsi="宋体" w:cs="宋体"/>
                <w:color w:val="000000"/>
                <w:kern w:val="0"/>
                <w:sz w:val="20"/>
                <w:szCs w:val="20"/>
              </w:rPr>
            </w:pPr>
            <w:r>
              <w:rPr>
                <w:rFonts w:hint="eastAsia" w:ascii="宋体" w:hAnsi="宋体" w:cs="宋体"/>
                <w:color w:val="000000"/>
                <w:kern w:val="0"/>
                <w:sz w:val="20"/>
                <w:szCs w:val="20"/>
              </w:rPr>
              <w:t>履职效能</w:t>
            </w:r>
          </w:p>
        </w:tc>
        <w:tc>
          <w:tcPr>
            <w:tcW w:w="211" w:type="pct"/>
            <w:tcBorders>
              <w:top w:val="nil"/>
              <w:left w:val="nil"/>
              <w:bottom w:val="single" w:color="auto" w:sz="4" w:space="0"/>
              <w:right w:val="single" w:color="auto" w:sz="4" w:space="0"/>
            </w:tcBorders>
            <w:shd w:val="clear" w:color="000000" w:fill="FFFFFF"/>
            <w:vAlign w:val="center"/>
          </w:tcPr>
          <w:p w14:paraId="55552EA4">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重点工作履行情况</w:t>
            </w:r>
          </w:p>
        </w:tc>
        <w:tc>
          <w:tcPr>
            <w:tcW w:w="366" w:type="pct"/>
            <w:tcBorders>
              <w:top w:val="nil"/>
              <w:left w:val="nil"/>
              <w:bottom w:val="single" w:color="auto" w:sz="4" w:space="0"/>
              <w:right w:val="single" w:color="auto" w:sz="4" w:space="0"/>
            </w:tcBorders>
            <w:shd w:val="clear" w:color="000000" w:fill="FFFFFF"/>
            <w:vAlign w:val="center"/>
          </w:tcPr>
          <w:p w14:paraId="38740573">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重点工作办结率</w:t>
            </w:r>
          </w:p>
        </w:tc>
        <w:tc>
          <w:tcPr>
            <w:tcW w:w="204" w:type="pct"/>
            <w:tcBorders>
              <w:top w:val="nil"/>
              <w:left w:val="nil"/>
              <w:bottom w:val="single" w:color="auto" w:sz="4" w:space="0"/>
              <w:right w:val="single" w:color="auto" w:sz="4" w:space="0"/>
            </w:tcBorders>
            <w:shd w:val="clear" w:color="000000" w:fill="FFFFFF"/>
            <w:vAlign w:val="center"/>
          </w:tcPr>
          <w:p w14:paraId="4B1A2E0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05" w:type="pct"/>
            <w:tcBorders>
              <w:top w:val="nil"/>
              <w:left w:val="nil"/>
              <w:bottom w:val="single" w:color="auto" w:sz="4" w:space="0"/>
              <w:right w:val="single" w:color="auto" w:sz="4" w:space="0"/>
            </w:tcBorders>
            <w:shd w:val="clear" w:color="000000" w:fill="FFFFFF"/>
            <w:vAlign w:val="center"/>
          </w:tcPr>
          <w:p w14:paraId="12C38A1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2C81C4B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14:paraId="70D75E5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6FCD8327">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7F6E023F">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205" w:type="pct"/>
            <w:tcBorders>
              <w:top w:val="nil"/>
              <w:left w:val="nil"/>
              <w:bottom w:val="single" w:color="auto" w:sz="4" w:space="0"/>
              <w:right w:val="single" w:color="auto" w:sz="4" w:space="0"/>
            </w:tcBorders>
            <w:shd w:val="clear" w:color="000000" w:fill="FFFFFF"/>
            <w:vAlign w:val="center"/>
          </w:tcPr>
          <w:p w14:paraId="05B4F7D1">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270" w:type="pct"/>
            <w:tcBorders>
              <w:top w:val="nil"/>
              <w:left w:val="nil"/>
              <w:bottom w:val="single" w:color="auto" w:sz="4" w:space="0"/>
              <w:right w:val="single" w:color="auto" w:sz="4" w:space="0"/>
            </w:tcBorders>
            <w:shd w:val="clear" w:color="000000" w:fill="FFFFFF"/>
            <w:vAlign w:val="center"/>
          </w:tcPr>
          <w:p w14:paraId="0A9E940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4428D97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2F22EB7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67DA235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2FC123D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5C8404D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4B58B69">
        <w:tblPrEx>
          <w:tblCellMar>
            <w:top w:w="0" w:type="dxa"/>
            <w:left w:w="108" w:type="dxa"/>
            <w:bottom w:w="0" w:type="dxa"/>
            <w:right w:w="108" w:type="dxa"/>
          </w:tblCellMar>
        </w:tblPrEx>
        <w:trPr>
          <w:trHeight w:val="480" w:hRule="atLeast"/>
        </w:trPr>
        <w:tc>
          <w:tcPr>
            <w:tcW w:w="212" w:type="pct"/>
            <w:vMerge w:val="continue"/>
            <w:tcBorders>
              <w:top w:val="nil"/>
              <w:left w:val="single" w:color="auto" w:sz="4" w:space="0"/>
              <w:bottom w:val="nil"/>
              <w:right w:val="single" w:color="auto" w:sz="4" w:space="0"/>
            </w:tcBorders>
            <w:vAlign w:val="center"/>
          </w:tcPr>
          <w:p w14:paraId="09360188">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26F69982">
            <w:pPr>
              <w:widowControl/>
              <w:jc w:val="left"/>
              <w:rPr>
                <w:rFonts w:ascii="宋体" w:hAnsi="宋体" w:cs="宋体"/>
                <w:color w:val="000000"/>
                <w:kern w:val="0"/>
                <w:sz w:val="20"/>
                <w:szCs w:val="20"/>
              </w:rPr>
            </w:pP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14:paraId="13B438B0">
            <w:pPr>
              <w:widowControl/>
              <w:jc w:val="center"/>
              <w:rPr>
                <w:rFonts w:ascii="宋体" w:hAnsi="宋体" w:cs="宋体"/>
                <w:color w:val="000000"/>
                <w:kern w:val="0"/>
                <w:sz w:val="20"/>
                <w:szCs w:val="20"/>
              </w:rPr>
            </w:pPr>
            <w:r>
              <w:rPr>
                <w:rFonts w:hint="eastAsia" w:ascii="宋体" w:hAnsi="宋体" w:cs="宋体"/>
                <w:color w:val="000000"/>
                <w:kern w:val="0"/>
                <w:sz w:val="20"/>
                <w:szCs w:val="20"/>
              </w:rPr>
              <w:t>整体工作完成情况</w:t>
            </w:r>
          </w:p>
        </w:tc>
        <w:tc>
          <w:tcPr>
            <w:tcW w:w="366" w:type="pct"/>
            <w:tcBorders>
              <w:top w:val="nil"/>
              <w:left w:val="nil"/>
              <w:bottom w:val="single" w:color="auto" w:sz="4" w:space="0"/>
              <w:right w:val="single" w:color="auto" w:sz="4" w:space="0"/>
            </w:tcBorders>
            <w:shd w:val="clear" w:color="000000" w:fill="FFFFFF"/>
            <w:vAlign w:val="center"/>
          </w:tcPr>
          <w:p w14:paraId="34A58541">
            <w:pPr>
              <w:widowControl/>
              <w:jc w:val="center"/>
              <w:rPr>
                <w:rFonts w:ascii="宋体" w:hAnsi="宋体" w:cs="宋体"/>
                <w:color w:val="000000"/>
                <w:kern w:val="0"/>
                <w:sz w:val="20"/>
                <w:szCs w:val="20"/>
              </w:rPr>
            </w:pPr>
            <w:r>
              <w:rPr>
                <w:rFonts w:hint="eastAsia" w:ascii="宋体" w:hAnsi="宋体" w:cs="宋体"/>
                <w:color w:val="000000"/>
                <w:kern w:val="0"/>
                <w:sz w:val="20"/>
                <w:szCs w:val="20"/>
              </w:rPr>
              <w:t>总体工作完成率</w:t>
            </w:r>
          </w:p>
        </w:tc>
        <w:tc>
          <w:tcPr>
            <w:tcW w:w="204" w:type="pct"/>
            <w:tcBorders>
              <w:top w:val="nil"/>
              <w:left w:val="nil"/>
              <w:bottom w:val="single" w:color="auto" w:sz="4" w:space="0"/>
              <w:right w:val="single" w:color="auto" w:sz="4" w:space="0"/>
            </w:tcBorders>
            <w:shd w:val="clear" w:color="000000" w:fill="FFFFFF"/>
            <w:vAlign w:val="center"/>
          </w:tcPr>
          <w:p w14:paraId="40AB7DC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05" w:type="pct"/>
            <w:tcBorders>
              <w:top w:val="nil"/>
              <w:left w:val="nil"/>
              <w:bottom w:val="single" w:color="auto" w:sz="4" w:space="0"/>
              <w:right w:val="single" w:color="auto" w:sz="4" w:space="0"/>
            </w:tcBorders>
            <w:shd w:val="clear" w:color="000000" w:fill="FFFFFF"/>
            <w:vAlign w:val="center"/>
          </w:tcPr>
          <w:p w14:paraId="4B03D91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42BD3FD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14:paraId="6C5B1AC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449A917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7A54DCED">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05" w:type="pct"/>
            <w:tcBorders>
              <w:top w:val="nil"/>
              <w:left w:val="nil"/>
              <w:bottom w:val="single" w:color="auto" w:sz="4" w:space="0"/>
              <w:right w:val="single" w:color="auto" w:sz="4" w:space="0"/>
            </w:tcBorders>
            <w:shd w:val="clear" w:color="000000" w:fill="FFFFFF"/>
            <w:vAlign w:val="center"/>
          </w:tcPr>
          <w:p w14:paraId="400175A9">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70" w:type="pct"/>
            <w:tcBorders>
              <w:top w:val="nil"/>
              <w:left w:val="nil"/>
              <w:bottom w:val="single" w:color="auto" w:sz="4" w:space="0"/>
              <w:right w:val="single" w:color="auto" w:sz="4" w:space="0"/>
            </w:tcBorders>
            <w:shd w:val="clear" w:color="000000" w:fill="FFFFFF"/>
            <w:vAlign w:val="center"/>
          </w:tcPr>
          <w:p w14:paraId="6571AF7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5F83601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2EC2C69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283D7C5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7084D3D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78D7539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08EE13B">
        <w:tblPrEx>
          <w:tblCellMar>
            <w:top w:w="0" w:type="dxa"/>
            <w:left w:w="108" w:type="dxa"/>
            <w:bottom w:w="0" w:type="dxa"/>
            <w:right w:w="108" w:type="dxa"/>
          </w:tblCellMar>
        </w:tblPrEx>
        <w:trPr>
          <w:trHeight w:val="480" w:hRule="atLeast"/>
        </w:trPr>
        <w:tc>
          <w:tcPr>
            <w:tcW w:w="212" w:type="pct"/>
            <w:vMerge w:val="continue"/>
            <w:tcBorders>
              <w:top w:val="nil"/>
              <w:left w:val="single" w:color="auto" w:sz="4" w:space="0"/>
              <w:bottom w:val="nil"/>
              <w:right w:val="single" w:color="auto" w:sz="4" w:space="0"/>
            </w:tcBorders>
            <w:vAlign w:val="center"/>
          </w:tcPr>
          <w:p w14:paraId="60B11D4F">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6F76D5EF">
            <w:pPr>
              <w:widowControl/>
              <w:jc w:val="left"/>
              <w:rPr>
                <w:rFonts w:ascii="宋体" w:hAnsi="宋体" w:cs="宋体"/>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2FDB667D">
            <w:pPr>
              <w:widowControl/>
              <w:jc w:val="left"/>
              <w:rPr>
                <w:rFonts w:ascii="宋体" w:hAnsi="宋体" w:cs="宋体"/>
                <w:color w:val="000000"/>
                <w:kern w:val="0"/>
                <w:sz w:val="20"/>
                <w:szCs w:val="20"/>
              </w:rPr>
            </w:pPr>
          </w:p>
        </w:tc>
        <w:tc>
          <w:tcPr>
            <w:tcW w:w="366" w:type="pct"/>
            <w:tcBorders>
              <w:top w:val="nil"/>
              <w:left w:val="nil"/>
              <w:bottom w:val="single" w:color="auto" w:sz="4" w:space="0"/>
              <w:right w:val="single" w:color="auto" w:sz="4" w:space="0"/>
            </w:tcBorders>
            <w:shd w:val="clear" w:color="000000" w:fill="FFFFFF"/>
            <w:vAlign w:val="center"/>
          </w:tcPr>
          <w:p w14:paraId="61023737">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工作完成及时率</w:t>
            </w:r>
          </w:p>
        </w:tc>
        <w:tc>
          <w:tcPr>
            <w:tcW w:w="204" w:type="pct"/>
            <w:tcBorders>
              <w:top w:val="nil"/>
              <w:left w:val="nil"/>
              <w:bottom w:val="single" w:color="auto" w:sz="4" w:space="0"/>
              <w:right w:val="single" w:color="auto" w:sz="4" w:space="0"/>
            </w:tcBorders>
            <w:shd w:val="clear" w:color="000000" w:fill="FFFFFF"/>
            <w:vAlign w:val="center"/>
          </w:tcPr>
          <w:p w14:paraId="4E17168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05" w:type="pct"/>
            <w:tcBorders>
              <w:top w:val="nil"/>
              <w:left w:val="nil"/>
              <w:bottom w:val="single" w:color="auto" w:sz="4" w:space="0"/>
              <w:right w:val="single" w:color="auto" w:sz="4" w:space="0"/>
            </w:tcBorders>
            <w:shd w:val="clear" w:color="000000" w:fill="FFFFFF"/>
            <w:vAlign w:val="center"/>
          </w:tcPr>
          <w:p w14:paraId="26A7684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56713CA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14:paraId="18DF3F2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67D129D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2E857093">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05" w:type="pct"/>
            <w:tcBorders>
              <w:top w:val="nil"/>
              <w:left w:val="nil"/>
              <w:bottom w:val="single" w:color="auto" w:sz="4" w:space="0"/>
              <w:right w:val="single" w:color="auto" w:sz="4" w:space="0"/>
            </w:tcBorders>
            <w:shd w:val="clear" w:color="000000" w:fill="FFFFFF"/>
            <w:vAlign w:val="center"/>
          </w:tcPr>
          <w:p w14:paraId="523431C7">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70" w:type="pct"/>
            <w:tcBorders>
              <w:top w:val="nil"/>
              <w:left w:val="nil"/>
              <w:bottom w:val="single" w:color="auto" w:sz="4" w:space="0"/>
              <w:right w:val="single" w:color="auto" w:sz="4" w:space="0"/>
            </w:tcBorders>
            <w:shd w:val="clear" w:color="000000" w:fill="FFFFFF"/>
            <w:vAlign w:val="center"/>
          </w:tcPr>
          <w:p w14:paraId="2500AB6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6749164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0A54ADA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6FAA49F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513512D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7E90B54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E5E544B">
        <w:tblPrEx>
          <w:tblCellMar>
            <w:top w:w="0" w:type="dxa"/>
            <w:left w:w="108" w:type="dxa"/>
            <w:bottom w:w="0" w:type="dxa"/>
            <w:right w:w="108" w:type="dxa"/>
          </w:tblCellMar>
        </w:tblPrEx>
        <w:trPr>
          <w:trHeight w:val="480" w:hRule="atLeast"/>
        </w:trPr>
        <w:tc>
          <w:tcPr>
            <w:tcW w:w="212" w:type="pct"/>
            <w:vMerge w:val="continue"/>
            <w:tcBorders>
              <w:top w:val="nil"/>
              <w:left w:val="single" w:color="auto" w:sz="4" w:space="0"/>
              <w:bottom w:val="nil"/>
              <w:right w:val="single" w:color="auto" w:sz="4" w:space="0"/>
            </w:tcBorders>
            <w:vAlign w:val="center"/>
          </w:tcPr>
          <w:p w14:paraId="471802FA">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25030E85">
            <w:pPr>
              <w:widowControl/>
              <w:jc w:val="left"/>
              <w:rPr>
                <w:rFonts w:ascii="宋体" w:hAnsi="宋体" w:cs="宋体"/>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56F15AF9">
            <w:pPr>
              <w:widowControl/>
              <w:jc w:val="left"/>
              <w:rPr>
                <w:rFonts w:ascii="宋体" w:hAnsi="宋体" w:cs="宋体"/>
                <w:color w:val="000000"/>
                <w:kern w:val="0"/>
                <w:sz w:val="20"/>
                <w:szCs w:val="20"/>
              </w:rPr>
            </w:pPr>
          </w:p>
        </w:tc>
        <w:tc>
          <w:tcPr>
            <w:tcW w:w="366" w:type="pct"/>
            <w:tcBorders>
              <w:top w:val="nil"/>
              <w:left w:val="nil"/>
              <w:bottom w:val="single" w:color="auto" w:sz="4" w:space="0"/>
              <w:right w:val="single" w:color="auto" w:sz="4" w:space="0"/>
            </w:tcBorders>
            <w:shd w:val="clear" w:color="000000" w:fill="FFFFFF"/>
            <w:vAlign w:val="center"/>
          </w:tcPr>
          <w:p w14:paraId="57B68575">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工作质量达标率</w:t>
            </w:r>
          </w:p>
        </w:tc>
        <w:tc>
          <w:tcPr>
            <w:tcW w:w="204" w:type="pct"/>
            <w:tcBorders>
              <w:top w:val="nil"/>
              <w:left w:val="nil"/>
              <w:bottom w:val="single" w:color="auto" w:sz="4" w:space="0"/>
              <w:right w:val="single" w:color="auto" w:sz="4" w:space="0"/>
            </w:tcBorders>
            <w:shd w:val="clear" w:color="000000" w:fill="FFFFFF"/>
            <w:vAlign w:val="center"/>
          </w:tcPr>
          <w:p w14:paraId="3E17292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05" w:type="pct"/>
            <w:tcBorders>
              <w:top w:val="nil"/>
              <w:left w:val="nil"/>
              <w:bottom w:val="single" w:color="auto" w:sz="4" w:space="0"/>
              <w:right w:val="single" w:color="auto" w:sz="4" w:space="0"/>
            </w:tcBorders>
            <w:shd w:val="clear" w:color="000000" w:fill="FFFFFF"/>
            <w:vAlign w:val="center"/>
          </w:tcPr>
          <w:p w14:paraId="6FAA290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5A30203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14:paraId="04CFB61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7A85A07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372819E3">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05" w:type="pct"/>
            <w:tcBorders>
              <w:top w:val="nil"/>
              <w:left w:val="nil"/>
              <w:bottom w:val="single" w:color="auto" w:sz="4" w:space="0"/>
              <w:right w:val="single" w:color="auto" w:sz="4" w:space="0"/>
            </w:tcBorders>
            <w:shd w:val="clear" w:color="000000" w:fill="FFFFFF"/>
            <w:vAlign w:val="center"/>
          </w:tcPr>
          <w:p w14:paraId="2E235C38">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70" w:type="pct"/>
            <w:tcBorders>
              <w:top w:val="nil"/>
              <w:left w:val="nil"/>
              <w:bottom w:val="single" w:color="auto" w:sz="4" w:space="0"/>
              <w:right w:val="single" w:color="auto" w:sz="4" w:space="0"/>
            </w:tcBorders>
            <w:shd w:val="clear" w:color="000000" w:fill="FFFFFF"/>
            <w:vAlign w:val="center"/>
          </w:tcPr>
          <w:p w14:paraId="736A321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3105E08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46A4618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63FB691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593E825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5788B6E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1C8003C">
        <w:tblPrEx>
          <w:tblCellMar>
            <w:top w:w="0" w:type="dxa"/>
            <w:left w:w="108" w:type="dxa"/>
            <w:bottom w:w="0" w:type="dxa"/>
            <w:right w:w="108" w:type="dxa"/>
          </w:tblCellMar>
        </w:tblPrEx>
        <w:trPr>
          <w:trHeight w:val="2400" w:hRule="atLeast"/>
        </w:trPr>
        <w:tc>
          <w:tcPr>
            <w:tcW w:w="212" w:type="pct"/>
            <w:vMerge w:val="continue"/>
            <w:tcBorders>
              <w:top w:val="nil"/>
              <w:left w:val="single" w:color="auto" w:sz="4" w:space="0"/>
              <w:bottom w:val="nil"/>
              <w:right w:val="single" w:color="auto" w:sz="4" w:space="0"/>
            </w:tcBorders>
            <w:vAlign w:val="center"/>
          </w:tcPr>
          <w:p w14:paraId="60E11BAD">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0794182E">
            <w:pPr>
              <w:widowControl/>
              <w:jc w:val="left"/>
              <w:rPr>
                <w:rFonts w:ascii="宋体" w:hAnsi="宋体" w:cs="宋体"/>
                <w:color w:val="000000"/>
                <w:kern w:val="0"/>
                <w:sz w:val="20"/>
                <w:szCs w:val="20"/>
              </w:rPr>
            </w:pP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14:paraId="75AC0068">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基础管理</w:t>
            </w:r>
          </w:p>
        </w:tc>
        <w:tc>
          <w:tcPr>
            <w:tcW w:w="366" w:type="pct"/>
            <w:tcBorders>
              <w:top w:val="nil"/>
              <w:left w:val="nil"/>
              <w:bottom w:val="single" w:color="auto" w:sz="4" w:space="0"/>
              <w:right w:val="single" w:color="auto" w:sz="4" w:space="0"/>
            </w:tcBorders>
            <w:shd w:val="clear" w:color="000000" w:fill="FFFFFF"/>
            <w:vAlign w:val="center"/>
          </w:tcPr>
          <w:p w14:paraId="7466DF75">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综合管理水平</w:t>
            </w:r>
          </w:p>
        </w:tc>
        <w:tc>
          <w:tcPr>
            <w:tcW w:w="204" w:type="pct"/>
            <w:tcBorders>
              <w:top w:val="nil"/>
              <w:left w:val="nil"/>
              <w:bottom w:val="single" w:color="auto" w:sz="4" w:space="0"/>
              <w:right w:val="single" w:color="auto" w:sz="4" w:space="0"/>
            </w:tcBorders>
            <w:shd w:val="clear" w:color="000000" w:fill="FFFFFF"/>
            <w:vAlign w:val="center"/>
          </w:tcPr>
          <w:p w14:paraId="322C6D0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000000" w:fill="FFFFFF"/>
            <w:vAlign w:val="center"/>
          </w:tcPr>
          <w:p w14:paraId="2BF159A1">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204" w:type="pct"/>
            <w:tcBorders>
              <w:top w:val="nil"/>
              <w:left w:val="nil"/>
              <w:bottom w:val="single" w:color="auto" w:sz="4" w:space="0"/>
              <w:right w:val="single" w:color="auto" w:sz="4" w:space="0"/>
            </w:tcBorders>
            <w:shd w:val="clear" w:color="000000" w:fill="FFFFFF"/>
            <w:vAlign w:val="center"/>
          </w:tcPr>
          <w:p w14:paraId="5C31C22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shd w:val="clear" w:color="000000" w:fill="FFFFFF"/>
            <w:vAlign w:val="center"/>
          </w:tcPr>
          <w:p w14:paraId="76641959">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204" w:type="pct"/>
            <w:tcBorders>
              <w:top w:val="nil"/>
              <w:left w:val="nil"/>
              <w:bottom w:val="single" w:color="auto" w:sz="4" w:space="0"/>
              <w:right w:val="single" w:color="auto" w:sz="4" w:space="0"/>
            </w:tcBorders>
            <w:shd w:val="clear" w:color="000000" w:fill="FFFFFF"/>
            <w:vAlign w:val="center"/>
          </w:tcPr>
          <w:p w14:paraId="06BDCE4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1A97D56D">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05" w:type="pct"/>
            <w:tcBorders>
              <w:top w:val="nil"/>
              <w:left w:val="nil"/>
              <w:bottom w:val="single" w:color="auto" w:sz="4" w:space="0"/>
              <w:right w:val="single" w:color="auto" w:sz="4" w:space="0"/>
            </w:tcBorders>
            <w:shd w:val="clear" w:color="000000" w:fill="FFFFFF"/>
            <w:vAlign w:val="center"/>
          </w:tcPr>
          <w:p w14:paraId="4B6F9827">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70" w:type="pct"/>
            <w:tcBorders>
              <w:top w:val="nil"/>
              <w:left w:val="nil"/>
              <w:bottom w:val="single" w:color="auto" w:sz="4" w:space="0"/>
              <w:right w:val="single" w:color="auto" w:sz="4" w:space="0"/>
            </w:tcBorders>
            <w:shd w:val="clear" w:color="000000" w:fill="FFFFFF"/>
            <w:vAlign w:val="center"/>
          </w:tcPr>
          <w:p w14:paraId="764126A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0BEF923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51D48F0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4265B6B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638EFB1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6A87EB7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90A3B8B">
        <w:tblPrEx>
          <w:tblCellMar>
            <w:top w:w="0" w:type="dxa"/>
            <w:left w:w="108" w:type="dxa"/>
            <w:bottom w:w="0" w:type="dxa"/>
            <w:right w:w="108" w:type="dxa"/>
          </w:tblCellMar>
        </w:tblPrEx>
        <w:trPr>
          <w:trHeight w:val="2400" w:hRule="atLeast"/>
        </w:trPr>
        <w:tc>
          <w:tcPr>
            <w:tcW w:w="212" w:type="pct"/>
            <w:vMerge w:val="continue"/>
            <w:tcBorders>
              <w:top w:val="nil"/>
              <w:left w:val="single" w:color="auto" w:sz="4" w:space="0"/>
              <w:bottom w:val="nil"/>
              <w:right w:val="single" w:color="auto" w:sz="4" w:space="0"/>
            </w:tcBorders>
            <w:vAlign w:val="center"/>
          </w:tcPr>
          <w:p w14:paraId="1B8D07AA">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6C6F197B">
            <w:pPr>
              <w:widowControl/>
              <w:jc w:val="left"/>
              <w:rPr>
                <w:rFonts w:ascii="宋体" w:hAnsi="宋体" w:cs="宋体"/>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620F9A53">
            <w:pPr>
              <w:widowControl/>
              <w:jc w:val="left"/>
              <w:rPr>
                <w:rFonts w:ascii="宋体" w:hAnsi="宋体" w:cs="宋体"/>
                <w:color w:val="000000"/>
                <w:kern w:val="0"/>
                <w:sz w:val="20"/>
                <w:szCs w:val="20"/>
              </w:rPr>
            </w:pPr>
          </w:p>
        </w:tc>
        <w:tc>
          <w:tcPr>
            <w:tcW w:w="366" w:type="pct"/>
            <w:tcBorders>
              <w:top w:val="nil"/>
              <w:left w:val="nil"/>
              <w:bottom w:val="single" w:color="auto" w:sz="4" w:space="0"/>
              <w:right w:val="single" w:color="auto" w:sz="4" w:space="0"/>
            </w:tcBorders>
            <w:shd w:val="clear" w:color="000000" w:fill="FFFFFF"/>
            <w:vAlign w:val="center"/>
          </w:tcPr>
          <w:p w14:paraId="4E727038">
            <w:pPr>
              <w:widowControl/>
              <w:jc w:val="center"/>
              <w:rPr>
                <w:rFonts w:ascii="宋体" w:hAnsi="宋体" w:cs="宋体"/>
                <w:color w:val="000000"/>
                <w:kern w:val="0"/>
                <w:sz w:val="20"/>
                <w:szCs w:val="20"/>
              </w:rPr>
            </w:pPr>
            <w:r>
              <w:rPr>
                <w:rFonts w:hint="eastAsia" w:ascii="宋体" w:hAnsi="宋体" w:cs="宋体"/>
                <w:color w:val="000000"/>
                <w:kern w:val="0"/>
                <w:sz w:val="20"/>
                <w:szCs w:val="20"/>
              </w:rPr>
              <w:t>依法行政能力</w:t>
            </w:r>
          </w:p>
        </w:tc>
        <w:tc>
          <w:tcPr>
            <w:tcW w:w="204" w:type="pct"/>
            <w:tcBorders>
              <w:top w:val="nil"/>
              <w:left w:val="nil"/>
              <w:bottom w:val="single" w:color="auto" w:sz="4" w:space="0"/>
              <w:right w:val="single" w:color="auto" w:sz="4" w:space="0"/>
            </w:tcBorders>
            <w:shd w:val="clear" w:color="000000" w:fill="FFFFFF"/>
            <w:vAlign w:val="center"/>
          </w:tcPr>
          <w:p w14:paraId="0A5ECCF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000000" w:fill="FFFFFF"/>
            <w:vAlign w:val="center"/>
          </w:tcPr>
          <w:p w14:paraId="33871ABA">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204" w:type="pct"/>
            <w:tcBorders>
              <w:top w:val="nil"/>
              <w:left w:val="nil"/>
              <w:bottom w:val="single" w:color="auto" w:sz="4" w:space="0"/>
              <w:right w:val="single" w:color="auto" w:sz="4" w:space="0"/>
            </w:tcBorders>
            <w:shd w:val="clear" w:color="000000" w:fill="FFFFFF"/>
            <w:vAlign w:val="center"/>
          </w:tcPr>
          <w:p w14:paraId="4C49F17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shd w:val="clear" w:color="000000" w:fill="FFFFFF"/>
            <w:vAlign w:val="center"/>
          </w:tcPr>
          <w:p w14:paraId="48E340CA">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204" w:type="pct"/>
            <w:tcBorders>
              <w:top w:val="nil"/>
              <w:left w:val="nil"/>
              <w:bottom w:val="single" w:color="auto" w:sz="4" w:space="0"/>
              <w:right w:val="single" w:color="auto" w:sz="4" w:space="0"/>
            </w:tcBorders>
            <w:shd w:val="clear" w:color="000000" w:fill="FFFFFF"/>
            <w:vAlign w:val="center"/>
          </w:tcPr>
          <w:p w14:paraId="1D765C0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74CC1A6B">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05" w:type="pct"/>
            <w:tcBorders>
              <w:top w:val="nil"/>
              <w:left w:val="nil"/>
              <w:bottom w:val="single" w:color="auto" w:sz="4" w:space="0"/>
              <w:right w:val="single" w:color="auto" w:sz="4" w:space="0"/>
            </w:tcBorders>
            <w:shd w:val="clear" w:color="000000" w:fill="FFFFFF"/>
            <w:vAlign w:val="center"/>
          </w:tcPr>
          <w:p w14:paraId="69AC8F05">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70" w:type="pct"/>
            <w:tcBorders>
              <w:top w:val="nil"/>
              <w:left w:val="nil"/>
              <w:bottom w:val="single" w:color="auto" w:sz="4" w:space="0"/>
              <w:right w:val="single" w:color="auto" w:sz="4" w:space="0"/>
            </w:tcBorders>
            <w:shd w:val="clear" w:color="000000" w:fill="FFFFFF"/>
            <w:vAlign w:val="center"/>
          </w:tcPr>
          <w:p w14:paraId="4D404D4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6B72524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03B695A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105B295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7124420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0EFFA69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47F9B85">
        <w:tblPrEx>
          <w:tblCellMar>
            <w:top w:w="0" w:type="dxa"/>
            <w:left w:w="108" w:type="dxa"/>
            <w:bottom w:w="0" w:type="dxa"/>
            <w:right w:w="108" w:type="dxa"/>
          </w:tblCellMar>
        </w:tblPrEx>
        <w:trPr>
          <w:trHeight w:val="285" w:hRule="atLeast"/>
        </w:trPr>
        <w:tc>
          <w:tcPr>
            <w:tcW w:w="212" w:type="pct"/>
            <w:vMerge w:val="continue"/>
            <w:tcBorders>
              <w:top w:val="nil"/>
              <w:left w:val="single" w:color="auto" w:sz="4" w:space="0"/>
              <w:bottom w:val="nil"/>
              <w:right w:val="single" w:color="auto" w:sz="4" w:space="0"/>
            </w:tcBorders>
            <w:vAlign w:val="center"/>
          </w:tcPr>
          <w:p w14:paraId="36EFD2F4">
            <w:pPr>
              <w:widowControl/>
              <w:jc w:val="left"/>
              <w:rPr>
                <w:rFonts w:ascii="宋体" w:hAnsi="宋体" w:cs="宋体"/>
                <w:b/>
                <w:bCs/>
                <w:color w:val="000000"/>
                <w:kern w:val="0"/>
                <w:sz w:val="20"/>
                <w:szCs w:val="20"/>
              </w:rPr>
            </w:pP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14:paraId="32274FE3">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14:paraId="0400FF58">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预算执行效率</w:t>
            </w:r>
          </w:p>
        </w:tc>
        <w:tc>
          <w:tcPr>
            <w:tcW w:w="366" w:type="pct"/>
            <w:tcBorders>
              <w:top w:val="nil"/>
              <w:left w:val="nil"/>
              <w:bottom w:val="single" w:color="auto" w:sz="4" w:space="0"/>
              <w:right w:val="single" w:color="auto" w:sz="4" w:space="0"/>
            </w:tcBorders>
            <w:shd w:val="clear" w:color="000000" w:fill="FFFFFF"/>
            <w:vAlign w:val="center"/>
          </w:tcPr>
          <w:p w14:paraId="55CFCB57">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204" w:type="pct"/>
            <w:tcBorders>
              <w:top w:val="nil"/>
              <w:left w:val="nil"/>
              <w:bottom w:val="single" w:color="auto" w:sz="4" w:space="0"/>
              <w:right w:val="single" w:color="auto" w:sz="4" w:space="0"/>
            </w:tcBorders>
            <w:shd w:val="clear" w:color="000000" w:fill="FFFFFF"/>
            <w:vAlign w:val="center"/>
          </w:tcPr>
          <w:p w14:paraId="5CB1D30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05" w:type="pct"/>
            <w:tcBorders>
              <w:top w:val="nil"/>
              <w:left w:val="nil"/>
              <w:bottom w:val="single" w:color="auto" w:sz="4" w:space="0"/>
              <w:right w:val="single" w:color="auto" w:sz="4" w:space="0"/>
            </w:tcBorders>
            <w:shd w:val="clear" w:color="000000" w:fill="FFFFFF"/>
            <w:vAlign w:val="center"/>
          </w:tcPr>
          <w:p w14:paraId="7357B6E0">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2044AA9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14:paraId="0D1E24F6">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5117107E">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06F43B6B">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05" w:type="pct"/>
            <w:tcBorders>
              <w:top w:val="nil"/>
              <w:left w:val="nil"/>
              <w:bottom w:val="single" w:color="auto" w:sz="4" w:space="0"/>
              <w:right w:val="single" w:color="auto" w:sz="4" w:space="0"/>
            </w:tcBorders>
            <w:shd w:val="clear" w:color="000000" w:fill="FFFFFF"/>
            <w:vAlign w:val="center"/>
          </w:tcPr>
          <w:p w14:paraId="47A310BD">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0" w:type="pct"/>
            <w:tcBorders>
              <w:top w:val="nil"/>
              <w:left w:val="nil"/>
              <w:bottom w:val="single" w:color="auto" w:sz="4" w:space="0"/>
              <w:right w:val="single" w:color="auto" w:sz="4" w:space="0"/>
            </w:tcBorders>
            <w:shd w:val="clear" w:color="000000" w:fill="FFFFFF"/>
            <w:vAlign w:val="center"/>
          </w:tcPr>
          <w:p w14:paraId="72726D8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07686F7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2E4EAC8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44F22B5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185C645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322C21F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BA09F15">
        <w:tblPrEx>
          <w:tblCellMar>
            <w:top w:w="0" w:type="dxa"/>
            <w:left w:w="108" w:type="dxa"/>
            <w:bottom w:w="0" w:type="dxa"/>
            <w:right w:w="108" w:type="dxa"/>
          </w:tblCellMar>
        </w:tblPrEx>
        <w:trPr>
          <w:trHeight w:val="285" w:hRule="atLeast"/>
        </w:trPr>
        <w:tc>
          <w:tcPr>
            <w:tcW w:w="212" w:type="pct"/>
            <w:vMerge w:val="continue"/>
            <w:tcBorders>
              <w:top w:val="nil"/>
              <w:left w:val="single" w:color="auto" w:sz="4" w:space="0"/>
              <w:bottom w:val="nil"/>
              <w:right w:val="single" w:color="auto" w:sz="4" w:space="0"/>
            </w:tcBorders>
            <w:vAlign w:val="center"/>
          </w:tcPr>
          <w:p w14:paraId="07B4BADF">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4BE6E068">
            <w:pPr>
              <w:widowControl/>
              <w:jc w:val="left"/>
              <w:rPr>
                <w:rFonts w:ascii="宋体" w:hAnsi="宋体" w:cs="宋体"/>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626546CE">
            <w:pPr>
              <w:widowControl/>
              <w:jc w:val="left"/>
              <w:rPr>
                <w:rFonts w:ascii="宋体" w:hAnsi="宋体" w:cs="宋体"/>
                <w:color w:val="000000"/>
                <w:kern w:val="0"/>
                <w:sz w:val="20"/>
                <w:szCs w:val="20"/>
              </w:rPr>
            </w:pPr>
          </w:p>
        </w:tc>
        <w:tc>
          <w:tcPr>
            <w:tcW w:w="366" w:type="pct"/>
            <w:tcBorders>
              <w:top w:val="nil"/>
              <w:left w:val="nil"/>
              <w:bottom w:val="single" w:color="auto" w:sz="4" w:space="0"/>
              <w:right w:val="single" w:color="auto" w:sz="4" w:space="0"/>
            </w:tcBorders>
            <w:shd w:val="clear" w:color="000000" w:fill="FFFFFF"/>
            <w:vAlign w:val="center"/>
          </w:tcPr>
          <w:p w14:paraId="5090D6E3">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预算调整率</w:t>
            </w:r>
          </w:p>
        </w:tc>
        <w:tc>
          <w:tcPr>
            <w:tcW w:w="204" w:type="pct"/>
            <w:tcBorders>
              <w:top w:val="nil"/>
              <w:left w:val="nil"/>
              <w:bottom w:val="single" w:color="auto" w:sz="4" w:space="0"/>
              <w:right w:val="single" w:color="auto" w:sz="4" w:space="0"/>
            </w:tcBorders>
            <w:shd w:val="clear" w:color="000000" w:fill="FFFFFF"/>
            <w:vAlign w:val="center"/>
          </w:tcPr>
          <w:p w14:paraId="741A68AC">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205" w:type="pct"/>
            <w:tcBorders>
              <w:top w:val="nil"/>
              <w:left w:val="nil"/>
              <w:bottom w:val="single" w:color="auto" w:sz="4" w:space="0"/>
              <w:right w:val="single" w:color="auto" w:sz="4" w:space="0"/>
            </w:tcBorders>
            <w:shd w:val="clear" w:color="000000" w:fill="FFFFFF"/>
            <w:vAlign w:val="center"/>
          </w:tcPr>
          <w:p w14:paraId="1EA82E24">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04" w:type="pct"/>
            <w:tcBorders>
              <w:top w:val="nil"/>
              <w:left w:val="nil"/>
              <w:bottom w:val="single" w:color="auto" w:sz="4" w:space="0"/>
              <w:right w:val="single" w:color="auto" w:sz="4" w:space="0"/>
            </w:tcBorders>
            <w:shd w:val="clear" w:color="000000" w:fill="FFFFFF"/>
            <w:vAlign w:val="center"/>
          </w:tcPr>
          <w:p w14:paraId="4B61041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14:paraId="744D28E7">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4" w:type="pct"/>
            <w:tcBorders>
              <w:top w:val="nil"/>
              <w:left w:val="nil"/>
              <w:bottom w:val="single" w:color="auto" w:sz="4" w:space="0"/>
              <w:right w:val="single" w:color="auto" w:sz="4" w:space="0"/>
            </w:tcBorders>
            <w:shd w:val="clear" w:color="000000" w:fill="FFFFFF"/>
            <w:vAlign w:val="center"/>
          </w:tcPr>
          <w:p w14:paraId="3973C7C6">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15977FA3">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05" w:type="pct"/>
            <w:tcBorders>
              <w:top w:val="nil"/>
              <w:left w:val="nil"/>
              <w:bottom w:val="single" w:color="auto" w:sz="4" w:space="0"/>
              <w:right w:val="single" w:color="auto" w:sz="4" w:space="0"/>
            </w:tcBorders>
            <w:shd w:val="clear" w:color="000000" w:fill="FFFFFF"/>
            <w:vAlign w:val="center"/>
          </w:tcPr>
          <w:p w14:paraId="2E147730">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0" w:type="pct"/>
            <w:tcBorders>
              <w:top w:val="nil"/>
              <w:left w:val="nil"/>
              <w:bottom w:val="single" w:color="auto" w:sz="4" w:space="0"/>
              <w:right w:val="single" w:color="auto" w:sz="4" w:space="0"/>
            </w:tcBorders>
            <w:shd w:val="clear" w:color="000000" w:fill="FFFFFF"/>
            <w:vAlign w:val="center"/>
          </w:tcPr>
          <w:p w14:paraId="2AD7A6A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574E489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146908A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009A097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7B9D824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50CA027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0BD7B48">
        <w:tblPrEx>
          <w:tblCellMar>
            <w:top w:w="0" w:type="dxa"/>
            <w:left w:w="108" w:type="dxa"/>
            <w:bottom w:w="0" w:type="dxa"/>
            <w:right w:w="108" w:type="dxa"/>
          </w:tblCellMar>
        </w:tblPrEx>
        <w:trPr>
          <w:trHeight w:val="480" w:hRule="atLeast"/>
        </w:trPr>
        <w:tc>
          <w:tcPr>
            <w:tcW w:w="212" w:type="pct"/>
            <w:vMerge w:val="continue"/>
            <w:tcBorders>
              <w:top w:val="nil"/>
              <w:left w:val="single" w:color="auto" w:sz="4" w:space="0"/>
              <w:bottom w:val="nil"/>
              <w:right w:val="single" w:color="auto" w:sz="4" w:space="0"/>
            </w:tcBorders>
            <w:vAlign w:val="center"/>
          </w:tcPr>
          <w:p w14:paraId="5FF31DCA">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49C598CF">
            <w:pPr>
              <w:widowControl/>
              <w:jc w:val="left"/>
              <w:rPr>
                <w:rFonts w:ascii="宋体" w:hAnsi="宋体" w:cs="宋体"/>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4133B92B">
            <w:pPr>
              <w:widowControl/>
              <w:jc w:val="left"/>
              <w:rPr>
                <w:rFonts w:ascii="宋体" w:hAnsi="宋体" w:cs="宋体"/>
                <w:color w:val="000000"/>
                <w:kern w:val="0"/>
                <w:sz w:val="20"/>
                <w:szCs w:val="20"/>
              </w:rPr>
            </w:pPr>
          </w:p>
        </w:tc>
        <w:tc>
          <w:tcPr>
            <w:tcW w:w="366" w:type="pct"/>
            <w:tcBorders>
              <w:top w:val="nil"/>
              <w:left w:val="nil"/>
              <w:bottom w:val="single" w:color="auto" w:sz="4" w:space="0"/>
              <w:right w:val="single" w:color="auto" w:sz="4" w:space="0"/>
            </w:tcBorders>
            <w:shd w:val="clear" w:color="000000" w:fill="FFFFFF"/>
            <w:vAlign w:val="center"/>
          </w:tcPr>
          <w:p w14:paraId="4ECDDD58">
            <w:pPr>
              <w:widowControl/>
              <w:jc w:val="center"/>
              <w:rPr>
                <w:rFonts w:ascii="宋体" w:hAnsi="宋体" w:cs="宋体"/>
                <w:color w:val="000000"/>
                <w:kern w:val="0"/>
                <w:sz w:val="20"/>
                <w:szCs w:val="20"/>
              </w:rPr>
            </w:pPr>
            <w:r>
              <w:rPr>
                <w:rFonts w:hint="eastAsia" w:ascii="宋体" w:hAnsi="宋体" w:cs="宋体"/>
                <w:color w:val="000000"/>
                <w:kern w:val="0"/>
                <w:sz w:val="20"/>
                <w:szCs w:val="20"/>
              </w:rPr>
              <w:t>结转结余变动率</w:t>
            </w:r>
          </w:p>
        </w:tc>
        <w:tc>
          <w:tcPr>
            <w:tcW w:w="204" w:type="pct"/>
            <w:tcBorders>
              <w:top w:val="nil"/>
              <w:left w:val="nil"/>
              <w:bottom w:val="single" w:color="auto" w:sz="4" w:space="0"/>
              <w:right w:val="single" w:color="auto" w:sz="4" w:space="0"/>
            </w:tcBorders>
            <w:shd w:val="clear" w:color="000000" w:fill="FFFFFF"/>
            <w:vAlign w:val="center"/>
          </w:tcPr>
          <w:p w14:paraId="26DD6C25">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205" w:type="pct"/>
            <w:tcBorders>
              <w:top w:val="nil"/>
              <w:left w:val="nil"/>
              <w:bottom w:val="single" w:color="auto" w:sz="4" w:space="0"/>
              <w:right w:val="single" w:color="auto" w:sz="4" w:space="0"/>
            </w:tcBorders>
            <w:shd w:val="clear" w:color="000000" w:fill="FFFFFF"/>
            <w:vAlign w:val="center"/>
          </w:tcPr>
          <w:p w14:paraId="5239C32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04" w:type="pct"/>
            <w:tcBorders>
              <w:top w:val="nil"/>
              <w:left w:val="nil"/>
              <w:bottom w:val="single" w:color="auto" w:sz="4" w:space="0"/>
              <w:right w:val="single" w:color="auto" w:sz="4" w:space="0"/>
            </w:tcBorders>
            <w:shd w:val="clear" w:color="000000" w:fill="FFFFFF"/>
            <w:vAlign w:val="center"/>
          </w:tcPr>
          <w:p w14:paraId="4FE4572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14:paraId="0B3C76C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04" w:type="pct"/>
            <w:tcBorders>
              <w:top w:val="nil"/>
              <w:left w:val="nil"/>
              <w:bottom w:val="single" w:color="auto" w:sz="4" w:space="0"/>
              <w:right w:val="single" w:color="auto" w:sz="4" w:space="0"/>
            </w:tcBorders>
            <w:shd w:val="clear" w:color="000000" w:fill="FFFFFF"/>
            <w:vAlign w:val="center"/>
          </w:tcPr>
          <w:p w14:paraId="74A29E36">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32DAFA46">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05" w:type="pct"/>
            <w:tcBorders>
              <w:top w:val="nil"/>
              <w:left w:val="nil"/>
              <w:bottom w:val="single" w:color="auto" w:sz="4" w:space="0"/>
              <w:right w:val="single" w:color="auto" w:sz="4" w:space="0"/>
            </w:tcBorders>
            <w:shd w:val="clear" w:color="000000" w:fill="FFFFFF"/>
            <w:vAlign w:val="center"/>
          </w:tcPr>
          <w:p w14:paraId="0DAE8EB2">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70" w:type="pct"/>
            <w:tcBorders>
              <w:top w:val="nil"/>
              <w:left w:val="nil"/>
              <w:bottom w:val="single" w:color="auto" w:sz="4" w:space="0"/>
              <w:right w:val="single" w:color="auto" w:sz="4" w:space="0"/>
            </w:tcBorders>
            <w:shd w:val="clear" w:color="000000" w:fill="FFFFFF"/>
            <w:vAlign w:val="center"/>
          </w:tcPr>
          <w:p w14:paraId="7E681A9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58159BE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3326ED9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6C9A50B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0F06BD4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2232CFA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38990D4">
        <w:tblPrEx>
          <w:tblCellMar>
            <w:top w:w="0" w:type="dxa"/>
            <w:left w:w="108" w:type="dxa"/>
            <w:bottom w:w="0" w:type="dxa"/>
            <w:right w:w="108" w:type="dxa"/>
          </w:tblCellMar>
        </w:tblPrEx>
        <w:trPr>
          <w:trHeight w:val="720" w:hRule="atLeast"/>
        </w:trPr>
        <w:tc>
          <w:tcPr>
            <w:tcW w:w="212" w:type="pct"/>
            <w:vMerge w:val="continue"/>
            <w:tcBorders>
              <w:top w:val="nil"/>
              <w:left w:val="single" w:color="auto" w:sz="4" w:space="0"/>
              <w:bottom w:val="nil"/>
              <w:right w:val="single" w:color="auto" w:sz="4" w:space="0"/>
            </w:tcBorders>
            <w:vAlign w:val="center"/>
          </w:tcPr>
          <w:p w14:paraId="360A82D4">
            <w:pPr>
              <w:widowControl/>
              <w:jc w:val="left"/>
              <w:rPr>
                <w:rFonts w:ascii="宋体" w:hAnsi="宋体" w:cs="宋体"/>
                <w:b/>
                <w:bCs/>
                <w:color w:val="000000"/>
                <w:kern w:val="0"/>
                <w:sz w:val="20"/>
                <w:szCs w:val="20"/>
              </w:rPr>
            </w:pP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14:paraId="431DFAE4">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管理效率</w:t>
            </w:r>
          </w:p>
        </w:tc>
        <w:tc>
          <w:tcPr>
            <w:tcW w:w="211" w:type="pct"/>
            <w:tcBorders>
              <w:top w:val="nil"/>
              <w:left w:val="nil"/>
              <w:bottom w:val="single" w:color="auto" w:sz="4" w:space="0"/>
              <w:right w:val="single" w:color="auto" w:sz="4" w:space="0"/>
            </w:tcBorders>
            <w:shd w:val="clear" w:color="000000" w:fill="FFFFFF"/>
            <w:vAlign w:val="center"/>
          </w:tcPr>
          <w:p w14:paraId="051AB132">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预算编制管理</w:t>
            </w:r>
          </w:p>
        </w:tc>
        <w:tc>
          <w:tcPr>
            <w:tcW w:w="366" w:type="pct"/>
            <w:tcBorders>
              <w:top w:val="nil"/>
              <w:left w:val="nil"/>
              <w:bottom w:val="single" w:color="auto" w:sz="4" w:space="0"/>
              <w:right w:val="single" w:color="auto" w:sz="4" w:space="0"/>
            </w:tcBorders>
            <w:shd w:val="clear" w:color="000000" w:fill="FFFFFF"/>
            <w:vAlign w:val="center"/>
          </w:tcPr>
          <w:p w14:paraId="6F8E9D17">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预算绩效目标覆盖率</w:t>
            </w:r>
          </w:p>
        </w:tc>
        <w:tc>
          <w:tcPr>
            <w:tcW w:w="204" w:type="pct"/>
            <w:tcBorders>
              <w:top w:val="nil"/>
              <w:left w:val="nil"/>
              <w:bottom w:val="single" w:color="auto" w:sz="4" w:space="0"/>
              <w:right w:val="single" w:color="auto" w:sz="4" w:space="0"/>
            </w:tcBorders>
            <w:shd w:val="clear" w:color="000000" w:fill="FFFFFF"/>
            <w:vAlign w:val="center"/>
          </w:tcPr>
          <w:p w14:paraId="70C60BF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05" w:type="pct"/>
            <w:tcBorders>
              <w:top w:val="nil"/>
              <w:left w:val="nil"/>
              <w:bottom w:val="single" w:color="auto" w:sz="4" w:space="0"/>
              <w:right w:val="single" w:color="auto" w:sz="4" w:space="0"/>
            </w:tcBorders>
            <w:shd w:val="clear" w:color="000000" w:fill="FFFFFF"/>
            <w:vAlign w:val="center"/>
          </w:tcPr>
          <w:p w14:paraId="0E88DA4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26AAD59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14:paraId="1038A9C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5221F98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29D9FD0D">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05" w:type="pct"/>
            <w:tcBorders>
              <w:top w:val="nil"/>
              <w:left w:val="nil"/>
              <w:bottom w:val="single" w:color="auto" w:sz="4" w:space="0"/>
              <w:right w:val="single" w:color="auto" w:sz="4" w:space="0"/>
            </w:tcBorders>
            <w:shd w:val="clear" w:color="000000" w:fill="FFFFFF"/>
            <w:vAlign w:val="center"/>
          </w:tcPr>
          <w:p w14:paraId="6EE4DA84">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70" w:type="pct"/>
            <w:tcBorders>
              <w:top w:val="nil"/>
              <w:left w:val="nil"/>
              <w:bottom w:val="single" w:color="auto" w:sz="4" w:space="0"/>
              <w:right w:val="single" w:color="auto" w:sz="4" w:space="0"/>
            </w:tcBorders>
            <w:shd w:val="clear" w:color="000000" w:fill="FFFFFF"/>
            <w:vAlign w:val="center"/>
          </w:tcPr>
          <w:p w14:paraId="3410870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59FF0A8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26A49E2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1DA01B8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5BEECDA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4D1913D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B4961C7">
        <w:tblPrEx>
          <w:tblCellMar>
            <w:top w:w="0" w:type="dxa"/>
            <w:left w:w="108" w:type="dxa"/>
            <w:bottom w:w="0" w:type="dxa"/>
            <w:right w:w="108" w:type="dxa"/>
          </w:tblCellMar>
        </w:tblPrEx>
        <w:trPr>
          <w:trHeight w:val="2400" w:hRule="atLeast"/>
        </w:trPr>
        <w:tc>
          <w:tcPr>
            <w:tcW w:w="212" w:type="pct"/>
            <w:vMerge w:val="continue"/>
            <w:tcBorders>
              <w:top w:val="nil"/>
              <w:left w:val="single" w:color="auto" w:sz="4" w:space="0"/>
              <w:bottom w:val="nil"/>
              <w:right w:val="single" w:color="auto" w:sz="4" w:space="0"/>
            </w:tcBorders>
            <w:vAlign w:val="center"/>
          </w:tcPr>
          <w:p w14:paraId="1FC0EC7E">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0017C8B3">
            <w:pPr>
              <w:widowControl/>
              <w:jc w:val="left"/>
              <w:rPr>
                <w:rFonts w:ascii="宋体" w:hAnsi="宋体" w:cs="宋体"/>
                <w:color w:val="000000"/>
                <w:kern w:val="0"/>
                <w:sz w:val="20"/>
                <w:szCs w:val="20"/>
              </w:rPr>
            </w:pPr>
          </w:p>
        </w:tc>
        <w:tc>
          <w:tcPr>
            <w:tcW w:w="211" w:type="pct"/>
            <w:tcBorders>
              <w:top w:val="nil"/>
              <w:left w:val="nil"/>
              <w:bottom w:val="single" w:color="auto" w:sz="4" w:space="0"/>
              <w:right w:val="single" w:color="auto" w:sz="4" w:space="0"/>
            </w:tcBorders>
            <w:shd w:val="clear" w:color="000000" w:fill="FFFFFF"/>
            <w:vAlign w:val="center"/>
          </w:tcPr>
          <w:p w14:paraId="3AF90D96">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预算监督管理</w:t>
            </w:r>
          </w:p>
        </w:tc>
        <w:tc>
          <w:tcPr>
            <w:tcW w:w="366" w:type="pct"/>
            <w:tcBorders>
              <w:top w:val="nil"/>
              <w:left w:val="nil"/>
              <w:bottom w:val="single" w:color="auto" w:sz="4" w:space="0"/>
              <w:right w:val="single" w:color="auto" w:sz="4" w:space="0"/>
            </w:tcBorders>
            <w:shd w:val="clear" w:color="000000" w:fill="FFFFFF"/>
            <w:vAlign w:val="center"/>
          </w:tcPr>
          <w:p w14:paraId="73237C3B">
            <w:pPr>
              <w:widowControl/>
              <w:jc w:val="center"/>
              <w:rPr>
                <w:rFonts w:ascii="宋体" w:hAnsi="宋体" w:cs="宋体"/>
                <w:color w:val="000000"/>
                <w:kern w:val="0"/>
                <w:sz w:val="20"/>
                <w:szCs w:val="20"/>
              </w:rPr>
            </w:pPr>
            <w:r>
              <w:rPr>
                <w:rFonts w:hint="eastAsia" w:ascii="宋体" w:hAnsi="宋体" w:cs="宋体"/>
                <w:color w:val="000000"/>
                <w:kern w:val="0"/>
                <w:sz w:val="20"/>
                <w:szCs w:val="20"/>
              </w:rPr>
              <w:t>预决算公开情况</w:t>
            </w:r>
          </w:p>
        </w:tc>
        <w:tc>
          <w:tcPr>
            <w:tcW w:w="204" w:type="pct"/>
            <w:tcBorders>
              <w:top w:val="nil"/>
              <w:left w:val="nil"/>
              <w:bottom w:val="single" w:color="auto" w:sz="4" w:space="0"/>
              <w:right w:val="single" w:color="auto" w:sz="4" w:space="0"/>
            </w:tcBorders>
            <w:shd w:val="clear" w:color="000000" w:fill="FFFFFF"/>
            <w:vAlign w:val="center"/>
          </w:tcPr>
          <w:p w14:paraId="34221CE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000000" w:fill="FFFFFF"/>
            <w:vAlign w:val="center"/>
          </w:tcPr>
          <w:p w14:paraId="3947C580">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全部公开</w:t>
            </w:r>
          </w:p>
        </w:tc>
        <w:tc>
          <w:tcPr>
            <w:tcW w:w="204" w:type="pct"/>
            <w:tcBorders>
              <w:top w:val="nil"/>
              <w:left w:val="nil"/>
              <w:bottom w:val="single" w:color="auto" w:sz="4" w:space="0"/>
              <w:right w:val="single" w:color="auto" w:sz="4" w:space="0"/>
            </w:tcBorders>
            <w:shd w:val="clear" w:color="000000" w:fill="FFFFFF"/>
            <w:vAlign w:val="center"/>
          </w:tcPr>
          <w:p w14:paraId="3767F75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shd w:val="clear" w:color="000000" w:fill="FFFFFF"/>
            <w:vAlign w:val="center"/>
          </w:tcPr>
          <w:p w14:paraId="67A14442">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204" w:type="pct"/>
            <w:tcBorders>
              <w:top w:val="nil"/>
              <w:left w:val="nil"/>
              <w:bottom w:val="single" w:color="auto" w:sz="4" w:space="0"/>
              <w:right w:val="single" w:color="auto" w:sz="4" w:space="0"/>
            </w:tcBorders>
            <w:shd w:val="clear" w:color="000000" w:fill="FFFFFF"/>
            <w:vAlign w:val="center"/>
          </w:tcPr>
          <w:p w14:paraId="6CF681A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607A5CC3">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05" w:type="pct"/>
            <w:tcBorders>
              <w:top w:val="nil"/>
              <w:left w:val="nil"/>
              <w:bottom w:val="single" w:color="auto" w:sz="4" w:space="0"/>
              <w:right w:val="single" w:color="auto" w:sz="4" w:space="0"/>
            </w:tcBorders>
            <w:shd w:val="clear" w:color="000000" w:fill="FFFFFF"/>
            <w:vAlign w:val="center"/>
          </w:tcPr>
          <w:p w14:paraId="2C4DDA9C">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70" w:type="pct"/>
            <w:tcBorders>
              <w:top w:val="nil"/>
              <w:left w:val="nil"/>
              <w:bottom w:val="single" w:color="auto" w:sz="4" w:space="0"/>
              <w:right w:val="single" w:color="auto" w:sz="4" w:space="0"/>
            </w:tcBorders>
            <w:shd w:val="clear" w:color="000000" w:fill="FFFFFF"/>
            <w:vAlign w:val="center"/>
          </w:tcPr>
          <w:p w14:paraId="151D702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6A8DCDF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4B5E384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0F498A7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585A1B4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3DD3A95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29ED49E">
        <w:tblPrEx>
          <w:tblCellMar>
            <w:top w:w="0" w:type="dxa"/>
            <w:left w:w="108" w:type="dxa"/>
            <w:bottom w:w="0" w:type="dxa"/>
            <w:right w:w="108" w:type="dxa"/>
          </w:tblCellMar>
        </w:tblPrEx>
        <w:trPr>
          <w:trHeight w:val="2400" w:hRule="atLeast"/>
        </w:trPr>
        <w:tc>
          <w:tcPr>
            <w:tcW w:w="212" w:type="pct"/>
            <w:vMerge w:val="continue"/>
            <w:tcBorders>
              <w:top w:val="nil"/>
              <w:left w:val="single" w:color="auto" w:sz="4" w:space="0"/>
              <w:bottom w:val="nil"/>
              <w:right w:val="single" w:color="auto" w:sz="4" w:space="0"/>
            </w:tcBorders>
            <w:vAlign w:val="center"/>
          </w:tcPr>
          <w:p w14:paraId="3D60CBC8">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41BFC2F1">
            <w:pPr>
              <w:widowControl/>
              <w:jc w:val="left"/>
              <w:rPr>
                <w:rFonts w:ascii="宋体" w:hAnsi="宋体" w:cs="宋体"/>
                <w:color w:val="000000"/>
                <w:kern w:val="0"/>
                <w:sz w:val="20"/>
                <w:szCs w:val="20"/>
              </w:rPr>
            </w:pP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14:paraId="57779DB4">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预算收支管理</w:t>
            </w:r>
          </w:p>
        </w:tc>
        <w:tc>
          <w:tcPr>
            <w:tcW w:w="366" w:type="pct"/>
            <w:tcBorders>
              <w:top w:val="nil"/>
              <w:left w:val="nil"/>
              <w:bottom w:val="single" w:color="auto" w:sz="4" w:space="0"/>
              <w:right w:val="single" w:color="auto" w:sz="4" w:space="0"/>
            </w:tcBorders>
            <w:shd w:val="clear" w:color="000000" w:fill="FFFFFF"/>
            <w:vAlign w:val="center"/>
          </w:tcPr>
          <w:p w14:paraId="7C0B74DF">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预算收入管理规范性</w:t>
            </w:r>
          </w:p>
        </w:tc>
        <w:tc>
          <w:tcPr>
            <w:tcW w:w="204" w:type="pct"/>
            <w:tcBorders>
              <w:top w:val="nil"/>
              <w:left w:val="nil"/>
              <w:bottom w:val="single" w:color="auto" w:sz="4" w:space="0"/>
              <w:right w:val="single" w:color="auto" w:sz="4" w:space="0"/>
            </w:tcBorders>
            <w:shd w:val="clear" w:color="000000" w:fill="FFFFFF"/>
            <w:vAlign w:val="center"/>
          </w:tcPr>
          <w:p w14:paraId="5DA2273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000000" w:fill="FFFFFF"/>
            <w:vAlign w:val="center"/>
          </w:tcPr>
          <w:p w14:paraId="3801C4AE">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204" w:type="pct"/>
            <w:tcBorders>
              <w:top w:val="nil"/>
              <w:left w:val="nil"/>
              <w:bottom w:val="single" w:color="auto" w:sz="4" w:space="0"/>
              <w:right w:val="single" w:color="auto" w:sz="4" w:space="0"/>
            </w:tcBorders>
            <w:shd w:val="clear" w:color="000000" w:fill="FFFFFF"/>
            <w:vAlign w:val="center"/>
          </w:tcPr>
          <w:p w14:paraId="68271D7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shd w:val="clear" w:color="000000" w:fill="FFFFFF"/>
            <w:vAlign w:val="center"/>
          </w:tcPr>
          <w:p w14:paraId="7777EC4D">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204" w:type="pct"/>
            <w:tcBorders>
              <w:top w:val="nil"/>
              <w:left w:val="nil"/>
              <w:bottom w:val="single" w:color="auto" w:sz="4" w:space="0"/>
              <w:right w:val="single" w:color="auto" w:sz="4" w:space="0"/>
            </w:tcBorders>
            <w:shd w:val="clear" w:color="000000" w:fill="FFFFFF"/>
            <w:vAlign w:val="center"/>
          </w:tcPr>
          <w:p w14:paraId="32242EE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7A578385">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05" w:type="pct"/>
            <w:tcBorders>
              <w:top w:val="nil"/>
              <w:left w:val="nil"/>
              <w:bottom w:val="single" w:color="auto" w:sz="4" w:space="0"/>
              <w:right w:val="single" w:color="auto" w:sz="4" w:space="0"/>
            </w:tcBorders>
            <w:shd w:val="clear" w:color="000000" w:fill="FFFFFF"/>
            <w:vAlign w:val="center"/>
          </w:tcPr>
          <w:p w14:paraId="5AC7710A">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70" w:type="pct"/>
            <w:tcBorders>
              <w:top w:val="nil"/>
              <w:left w:val="nil"/>
              <w:bottom w:val="single" w:color="auto" w:sz="4" w:space="0"/>
              <w:right w:val="single" w:color="auto" w:sz="4" w:space="0"/>
            </w:tcBorders>
            <w:shd w:val="clear" w:color="000000" w:fill="FFFFFF"/>
            <w:vAlign w:val="center"/>
          </w:tcPr>
          <w:p w14:paraId="31465A1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284968F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22309E9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73F4E2A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4010515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0EE69F7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A83D669">
        <w:tblPrEx>
          <w:tblCellMar>
            <w:top w:w="0" w:type="dxa"/>
            <w:left w:w="108" w:type="dxa"/>
            <w:bottom w:w="0" w:type="dxa"/>
            <w:right w:w="108" w:type="dxa"/>
          </w:tblCellMar>
        </w:tblPrEx>
        <w:trPr>
          <w:trHeight w:val="2400" w:hRule="atLeast"/>
        </w:trPr>
        <w:tc>
          <w:tcPr>
            <w:tcW w:w="212" w:type="pct"/>
            <w:vMerge w:val="continue"/>
            <w:tcBorders>
              <w:top w:val="nil"/>
              <w:left w:val="single" w:color="auto" w:sz="4" w:space="0"/>
              <w:bottom w:val="nil"/>
              <w:right w:val="single" w:color="auto" w:sz="4" w:space="0"/>
            </w:tcBorders>
            <w:vAlign w:val="center"/>
          </w:tcPr>
          <w:p w14:paraId="21117C67">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4185F39A">
            <w:pPr>
              <w:widowControl/>
              <w:jc w:val="left"/>
              <w:rPr>
                <w:rFonts w:ascii="宋体" w:hAnsi="宋体" w:cs="宋体"/>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59AF9F31">
            <w:pPr>
              <w:widowControl/>
              <w:jc w:val="left"/>
              <w:rPr>
                <w:rFonts w:ascii="宋体" w:hAnsi="宋体" w:cs="宋体"/>
                <w:color w:val="000000"/>
                <w:kern w:val="0"/>
                <w:sz w:val="20"/>
                <w:szCs w:val="20"/>
              </w:rPr>
            </w:pPr>
          </w:p>
        </w:tc>
        <w:tc>
          <w:tcPr>
            <w:tcW w:w="366" w:type="pct"/>
            <w:tcBorders>
              <w:top w:val="nil"/>
              <w:left w:val="nil"/>
              <w:bottom w:val="single" w:color="auto" w:sz="4" w:space="0"/>
              <w:right w:val="single" w:color="auto" w:sz="4" w:space="0"/>
            </w:tcBorders>
            <w:shd w:val="clear" w:color="000000" w:fill="FFFFFF"/>
            <w:vAlign w:val="center"/>
          </w:tcPr>
          <w:p w14:paraId="4CA66F1D">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预算支出管理规范性</w:t>
            </w:r>
          </w:p>
        </w:tc>
        <w:tc>
          <w:tcPr>
            <w:tcW w:w="204" w:type="pct"/>
            <w:tcBorders>
              <w:top w:val="nil"/>
              <w:left w:val="nil"/>
              <w:bottom w:val="single" w:color="auto" w:sz="4" w:space="0"/>
              <w:right w:val="single" w:color="auto" w:sz="4" w:space="0"/>
            </w:tcBorders>
            <w:shd w:val="clear" w:color="000000" w:fill="FFFFFF"/>
            <w:vAlign w:val="center"/>
          </w:tcPr>
          <w:p w14:paraId="775DBD9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000000" w:fill="FFFFFF"/>
            <w:vAlign w:val="center"/>
          </w:tcPr>
          <w:p w14:paraId="25B203F9">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204" w:type="pct"/>
            <w:tcBorders>
              <w:top w:val="nil"/>
              <w:left w:val="nil"/>
              <w:bottom w:val="single" w:color="auto" w:sz="4" w:space="0"/>
              <w:right w:val="single" w:color="auto" w:sz="4" w:space="0"/>
            </w:tcBorders>
            <w:shd w:val="clear" w:color="000000" w:fill="FFFFFF"/>
            <w:vAlign w:val="center"/>
          </w:tcPr>
          <w:p w14:paraId="37A3902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shd w:val="clear" w:color="000000" w:fill="FFFFFF"/>
            <w:vAlign w:val="center"/>
          </w:tcPr>
          <w:p w14:paraId="4F3DAE15">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204" w:type="pct"/>
            <w:tcBorders>
              <w:top w:val="nil"/>
              <w:left w:val="nil"/>
              <w:bottom w:val="single" w:color="auto" w:sz="4" w:space="0"/>
              <w:right w:val="single" w:color="auto" w:sz="4" w:space="0"/>
            </w:tcBorders>
            <w:shd w:val="clear" w:color="000000" w:fill="FFFFFF"/>
            <w:vAlign w:val="center"/>
          </w:tcPr>
          <w:p w14:paraId="4838018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288658C3">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05" w:type="pct"/>
            <w:tcBorders>
              <w:top w:val="nil"/>
              <w:left w:val="nil"/>
              <w:bottom w:val="single" w:color="auto" w:sz="4" w:space="0"/>
              <w:right w:val="single" w:color="auto" w:sz="4" w:space="0"/>
            </w:tcBorders>
            <w:shd w:val="clear" w:color="000000" w:fill="FFFFFF"/>
            <w:vAlign w:val="center"/>
          </w:tcPr>
          <w:p w14:paraId="3F9FBF82">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70" w:type="pct"/>
            <w:tcBorders>
              <w:top w:val="nil"/>
              <w:left w:val="nil"/>
              <w:bottom w:val="single" w:color="auto" w:sz="4" w:space="0"/>
              <w:right w:val="single" w:color="auto" w:sz="4" w:space="0"/>
            </w:tcBorders>
            <w:shd w:val="clear" w:color="000000" w:fill="FFFFFF"/>
            <w:vAlign w:val="center"/>
          </w:tcPr>
          <w:p w14:paraId="28C81D4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1C276EF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6F6A1C3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7B9B036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4A0F087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42DD05F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2FD7767">
        <w:tblPrEx>
          <w:tblCellMar>
            <w:top w:w="0" w:type="dxa"/>
            <w:left w:w="108" w:type="dxa"/>
            <w:bottom w:w="0" w:type="dxa"/>
            <w:right w:w="108" w:type="dxa"/>
          </w:tblCellMar>
        </w:tblPrEx>
        <w:trPr>
          <w:trHeight w:val="2400" w:hRule="atLeast"/>
        </w:trPr>
        <w:tc>
          <w:tcPr>
            <w:tcW w:w="212" w:type="pct"/>
            <w:vMerge w:val="continue"/>
            <w:tcBorders>
              <w:top w:val="nil"/>
              <w:left w:val="single" w:color="auto" w:sz="4" w:space="0"/>
              <w:bottom w:val="nil"/>
              <w:right w:val="single" w:color="auto" w:sz="4" w:space="0"/>
            </w:tcBorders>
            <w:vAlign w:val="center"/>
          </w:tcPr>
          <w:p w14:paraId="7C1EBFC4">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34751C2E">
            <w:pPr>
              <w:widowControl/>
              <w:jc w:val="left"/>
              <w:rPr>
                <w:rFonts w:ascii="宋体" w:hAnsi="宋体" w:cs="宋体"/>
                <w:color w:val="000000"/>
                <w:kern w:val="0"/>
                <w:sz w:val="20"/>
                <w:szCs w:val="20"/>
              </w:rPr>
            </w:pPr>
          </w:p>
        </w:tc>
        <w:tc>
          <w:tcPr>
            <w:tcW w:w="211" w:type="pct"/>
            <w:tcBorders>
              <w:top w:val="nil"/>
              <w:left w:val="nil"/>
              <w:bottom w:val="single" w:color="auto" w:sz="4" w:space="0"/>
              <w:right w:val="single" w:color="auto" w:sz="4" w:space="0"/>
            </w:tcBorders>
            <w:shd w:val="clear" w:color="000000" w:fill="FFFFFF"/>
            <w:vAlign w:val="center"/>
          </w:tcPr>
          <w:p w14:paraId="179830FE">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w:t>
            </w:r>
          </w:p>
        </w:tc>
        <w:tc>
          <w:tcPr>
            <w:tcW w:w="366" w:type="pct"/>
            <w:tcBorders>
              <w:top w:val="nil"/>
              <w:left w:val="nil"/>
              <w:bottom w:val="single" w:color="auto" w:sz="4" w:space="0"/>
              <w:right w:val="single" w:color="auto" w:sz="4" w:space="0"/>
            </w:tcBorders>
            <w:shd w:val="clear" w:color="000000" w:fill="FFFFFF"/>
            <w:vAlign w:val="center"/>
          </w:tcPr>
          <w:p w14:paraId="01BBFB76">
            <w:pPr>
              <w:widowControl/>
              <w:jc w:val="center"/>
              <w:rPr>
                <w:rFonts w:ascii="宋体" w:hAnsi="宋体" w:cs="宋体"/>
                <w:color w:val="000000"/>
                <w:kern w:val="0"/>
                <w:sz w:val="20"/>
                <w:szCs w:val="20"/>
              </w:rPr>
            </w:pPr>
            <w:r>
              <w:rPr>
                <w:rFonts w:hint="eastAsia" w:ascii="宋体" w:hAnsi="宋体" w:cs="宋体"/>
                <w:color w:val="000000"/>
                <w:kern w:val="0"/>
                <w:sz w:val="20"/>
                <w:szCs w:val="20"/>
              </w:rPr>
              <w:t>内控制度有效性</w:t>
            </w:r>
          </w:p>
        </w:tc>
        <w:tc>
          <w:tcPr>
            <w:tcW w:w="204" w:type="pct"/>
            <w:tcBorders>
              <w:top w:val="nil"/>
              <w:left w:val="nil"/>
              <w:bottom w:val="single" w:color="auto" w:sz="4" w:space="0"/>
              <w:right w:val="single" w:color="auto" w:sz="4" w:space="0"/>
            </w:tcBorders>
            <w:shd w:val="clear" w:color="000000" w:fill="FFFFFF"/>
            <w:vAlign w:val="center"/>
          </w:tcPr>
          <w:p w14:paraId="700435E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000000" w:fill="FFFFFF"/>
            <w:vAlign w:val="center"/>
          </w:tcPr>
          <w:p w14:paraId="401CF6B2">
            <w:pPr>
              <w:widowControl/>
              <w:jc w:val="center"/>
              <w:rPr>
                <w:rFonts w:ascii="宋体" w:hAnsi="宋体" w:cs="宋体"/>
                <w:color w:val="000000"/>
                <w:kern w:val="0"/>
                <w:sz w:val="20"/>
                <w:szCs w:val="20"/>
              </w:rPr>
            </w:pPr>
            <w:r>
              <w:rPr>
                <w:rFonts w:hint="eastAsia" w:ascii="宋体" w:hAnsi="宋体" w:cs="宋体"/>
                <w:color w:val="000000"/>
                <w:kern w:val="0"/>
                <w:sz w:val="20"/>
                <w:szCs w:val="20"/>
              </w:rPr>
              <w:t>制度有效</w:t>
            </w:r>
          </w:p>
        </w:tc>
        <w:tc>
          <w:tcPr>
            <w:tcW w:w="204" w:type="pct"/>
            <w:tcBorders>
              <w:top w:val="nil"/>
              <w:left w:val="nil"/>
              <w:bottom w:val="single" w:color="auto" w:sz="4" w:space="0"/>
              <w:right w:val="single" w:color="auto" w:sz="4" w:space="0"/>
            </w:tcBorders>
            <w:shd w:val="clear" w:color="000000" w:fill="FFFFFF"/>
            <w:vAlign w:val="center"/>
          </w:tcPr>
          <w:p w14:paraId="40043AA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shd w:val="clear" w:color="000000" w:fill="FFFFFF"/>
            <w:vAlign w:val="center"/>
          </w:tcPr>
          <w:p w14:paraId="27429CDE">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204" w:type="pct"/>
            <w:tcBorders>
              <w:top w:val="nil"/>
              <w:left w:val="nil"/>
              <w:bottom w:val="single" w:color="auto" w:sz="4" w:space="0"/>
              <w:right w:val="single" w:color="auto" w:sz="4" w:space="0"/>
            </w:tcBorders>
            <w:shd w:val="clear" w:color="000000" w:fill="FFFFFF"/>
            <w:vAlign w:val="center"/>
          </w:tcPr>
          <w:p w14:paraId="484F151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4A67DBEA">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05" w:type="pct"/>
            <w:tcBorders>
              <w:top w:val="nil"/>
              <w:left w:val="nil"/>
              <w:bottom w:val="single" w:color="auto" w:sz="4" w:space="0"/>
              <w:right w:val="single" w:color="auto" w:sz="4" w:space="0"/>
            </w:tcBorders>
            <w:shd w:val="clear" w:color="000000" w:fill="FFFFFF"/>
            <w:vAlign w:val="center"/>
          </w:tcPr>
          <w:p w14:paraId="28DDC989">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70" w:type="pct"/>
            <w:tcBorders>
              <w:top w:val="nil"/>
              <w:left w:val="nil"/>
              <w:bottom w:val="single" w:color="auto" w:sz="4" w:space="0"/>
              <w:right w:val="single" w:color="auto" w:sz="4" w:space="0"/>
            </w:tcBorders>
            <w:shd w:val="clear" w:color="000000" w:fill="FFFFFF"/>
            <w:vAlign w:val="center"/>
          </w:tcPr>
          <w:p w14:paraId="5002553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57BF972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0E29B8A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3569C3A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126158E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32307B7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E6A1DA0">
        <w:tblPrEx>
          <w:tblCellMar>
            <w:top w:w="0" w:type="dxa"/>
            <w:left w:w="108" w:type="dxa"/>
            <w:bottom w:w="0" w:type="dxa"/>
            <w:right w:w="108" w:type="dxa"/>
          </w:tblCellMar>
        </w:tblPrEx>
        <w:trPr>
          <w:trHeight w:val="480" w:hRule="atLeast"/>
        </w:trPr>
        <w:tc>
          <w:tcPr>
            <w:tcW w:w="212" w:type="pct"/>
            <w:vMerge w:val="continue"/>
            <w:tcBorders>
              <w:top w:val="nil"/>
              <w:left w:val="single" w:color="auto" w:sz="4" w:space="0"/>
              <w:bottom w:val="nil"/>
              <w:right w:val="single" w:color="auto" w:sz="4" w:space="0"/>
            </w:tcBorders>
            <w:vAlign w:val="center"/>
          </w:tcPr>
          <w:p w14:paraId="2BE01DDD">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427B1B81">
            <w:pPr>
              <w:widowControl/>
              <w:jc w:val="left"/>
              <w:rPr>
                <w:rFonts w:ascii="宋体" w:hAnsi="宋体" w:cs="宋体"/>
                <w:color w:val="000000"/>
                <w:kern w:val="0"/>
                <w:sz w:val="20"/>
                <w:szCs w:val="20"/>
              </w:rPr>
            </w:pPr>
          </w:p>
        </w:tc>
        <w:tc>
          <w:tcPr>
            <w:tcW w:w="211" w:type="pct"/>
            <w:tcBorders>
              <w:top w:val="nil"/>
              <w:left w:val="nil"/>
              <w:bottom w:val="single" w:color="auto" w:sz="4" w:space="0"/>
              <w:right w:val="single" w:color="auto" w:sz="4" w:space="0"/>
            </w:tcBorders>
            <w:shd w:val="clear" w:color="000000" w:fill="FFFFFF"/>
            <w:vAlign w:val="center"/>
          </w:tcPr>
          <w:p w14:paraId="21207E73">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w:t>
            </w:r>
          </w:p>
        </w:tc>
        <w:tc>
          <w:tcPr>
            <w:tcW w:w="366" w:type="pct"/>
            <w:tcBorders>
              <w:top w:val="nil"/>
              <w:left w:val="nil"/>
              <w:bottom w:val="single" w:color="auto" w:sz="4" w:space="0"/>
              <w:right w:val="single" w:color="auto" w:sz="4" w:space="0"/>
            </w:tcBorders>
            <w:shd w:val="clear" w:color="000000" w:fill="FFFFFF"/>
            <w:vAlign w:val="center"/>
          </w:tcPr>
          <w:p w14:paraId="084A14C2">
            <w:pPr>
              <w:widowControl/>
              <w:jc w:val="center"/>
              <w:rPr>
                <w:rFonts w:ascii="宋体" w:hAnsi="宋体" w:cs="宋体"/>
                <w:color w:val="000000"/>
                <w:kern w:val="0"/>
                <w:sz w:val="20"/>
                <w:szCs w:val="20"/>
              </w:rPr>
            </w:pPr>
            <w:r>
              <w:rPr>
                <w:rFonts w:hint="eastAsia" w:ascii="宋体" w:hAnsi="宋体" w:cs="宋体"/>
                <w:color w:val="000000"/>
                <w:kern w:val="0"/>
                <w:sz w:val="20"/>
                <w:szCs w:val="20"/>
              </w:rPr>
              <w:t>固定资产利用率</w:t>
            </w:r>
          </w:p>
        </w:tc>
        <w:tc>
          <w:tcPr>
            <w:tcW w:w="204" w:type="pct"/>
            <w:tcBorders>
              <w:top w:val="nil"/>
              <w:left w:val="nil"/>
              <w:bottom w:val="single" w:color="auto" w:sz="4" w:space="0"/>
              <w:right w:val="single" w:color="auto" w:sz="4" w:space="0"/>
            </w:tcBorders>
            <w:shd w:val="clear" w:color="000000" w:fill="FFFFFF"/>
            <w:vAlign w:val="center"/>
          </w:tcPr>
          <w:p w14:paraId="321E576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05" w:type="pct"/>
            <w:tcBorders>
              <w:top w:val="nil"/>
              <w:left w:val="nil"/>
              <w:bottom w:val="single" w:color="auto" w:sz="4" w:space="0"/>
              <w:right w:val="single" w:color="auto" w:sz="4" w:space="0"/>
            </w:tcBorders>
            <w:shd w:val="clear" w:color="000000" w:fill="FFFFFF"/>
            <w:vAlign w:val="center"/>
          </w:tcPr>
          <w:p w14:paraId="33E4BB87">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268CDCB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14:paraId="659F4EB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3A0BD76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02243B08">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205" w:type="pct"/>
            <w:tcBorders>
              <w:top w:val="nil"/>
              <w:left w:val="nil"/>
              <w:bottom w:val="single" w:color="auto" w:sz="4" w:space="0"/>
              <w:right w:val="single" w:color="auto" w:sz="4" w:space="0"/>
            </w:tcBorders>
            <w:shd w:val="clear" w:color="000000" w:fill="FFFFFF"/>
            <w:vAlign w:val="center"/>
          </w:tcPr>
          <w:p w14:paraId="0938A989">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270" w:type="pct"/>
            <w:tcBorders>
              <w:top w:val="nil"/>
              <w:left w:val="nil"/>
              <w:bottom w:val="single" w:color="auto" w:sz="4" w:space="0"/>
              <w:right w:val="single" w:color="auto" w:sz="4" w:space="0"/>
            </w:tcBorders>
            <w:shd w:val="clear" w:color="000000" w:fill="FFFFFF"/>
            <w:vAlign w:val="center"/>
          </w:tcPr>
          <w:p w14:paraId="192A232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1DFAA2F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7ABC3B2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69AE2A0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0181429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296A00A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4E8C2D3">
        <w:tblPrEx>
          <w:tblCellMar>
            <w:top w:w="0" w:type="dxa"/>
            <w:left w:w="108" w:type="dxa"/>
            <w:bottom w:w="0" w:type="dxa"/>
            <w:right w:w="108" w:type="dxa"/>
          </w:tblCellMar>
        </w:tblPrEx>
        <w:trPr>
          <w:trHeight w:val="720" w:hRule="atLeast"/>
        </w:trPr>
        <w:tc>
          <w:tcPr>
            <w:tcW w:w="212" w:type="pct"/>
            <w:vMerge w:val="continue"/>
            <w:tcBorders>
              <w:top w:val="nil"/>
              <w:left w:val="single" w:color="auto" w:sz="4" w:space="0"/>
              <w:bottom w:val="nil"/>
              <w:right w:val="single" w:color="auto" w:sz="4" w:space="0"/>
            </w:tcBorders>
            <w:vAlign w:val="center"/>
          </w:tcPr>
          <w:p w14:paraId="5DE46794">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4FF53BF0">
            <w:pPr>
              <w:widowControl/>
              <w:jc w:val="left"/>
              <w:rPr>
                <w:rFonts w:ascii="宋体" w:hAnsi="宋体" w:cs="宋体"/>
                <w:color w:val="000000"/>
                <w:kern w:val="0"/>
                <w:sz w:val="20"/>
                <w:szCs w:val="20"/>
              </w:rPr>
            </w:pPr>
          </w:p>
        </w:tc>
        <w:tc>
          <w:tcPr>
            <w:tcW w:w="211" w:type="pct"/>
            <w:tcBorders>
              <w:top w:val="nil"/>
              <w:left w:val="nil"/>
              <w:bottom w:val="single" w:color="auto" w:sz="4" w:space="0"/>
              <w:right w:val="single" w:color="auto" w:sz="4" w:space="0"/>
            </w:tcBorders>
            <w:shd w:val="clear" w:color="000000" w:fill="FFFFFF"/>
            <w:vAlign w:val="center"/>
          </w:tcPr>
          <w:p w14:paraId="15104050">
            <w:pPr>
              <w:widowControl/>
              <w:jc w:val="center"/>
              <w:rPr>
                <w:rFonts w:ascii="宋体" w:hAnsi="宋体" w:cs="宋体"/>
                <w:color w:val="000000"/>
                <w:kern w:val="0"/>
                <w:sz w:val="20"/>
                <w:szCs w:val="20"/>
              </w:rPr>
            </w:pPr>
            <w:r>
              <w:rPr>
                <w:rFonts w:hint="eastAsia" w:ascii="宋体" w:hAnsi="宋体" w:cs="宋体"/>
                <w:color w:val="000000"/>
                <w:kern w:val="0"/>
                <w:sz w:val="20"/>
                <w:szCs w:val="20"/>
              </w:rPr>
              <w:t>业务管理</w:t>
            </w:r>
          </w:p>
        </w:tc>
        <w:tc>
          <w:tcPr>
            <w:tcW w:w="366" w:type="pct"/>
            <w:tcBorders>
              <w:top w:val="nil"/>
              <w:left w:val="nil"/>
              <w:bottom w:val="single" w:color="auto" w:sz="4" w:space="0"/>
              <w:right w:val="single" w:color="auto" w:sz="4" w:space="0"/>
            </w:tcBorders>
            <w:shd w:val="clear" w:color="000000" w:fill="FFFFFF"/>
            <w:vAlign w:val="center"/>
          </w:tcPr>
          <w:p w14:paraId="0FB194BC">
            <w:pPr>
              <w:widowControl/>
              <w:jc w:val="center"/>
              <w:rPr>
                <w:rFonts w:ascii="宋体" w:hAnsi="宋体" w:cs="宋体"/>
                <w:color w:val="000000"/>
                <w:kern w:val="0"/>
                <w:sz w:val="20"/>
                <w:szCs w:val="20"/>
              </w:rPr>
            </w:pPr>
            <w:r>
              <w:rPr>
                <w:rFonts w:hint="eastAsia" w:ascii="宋体" w:hAnsi="宋体" w:cs="宋体"/>
                <w:color w:val="000000"/>
                <w:kern w:val="0"/>
                <w:sz w:val="20"/>
                <w:szCs w:val="20"/>
              </w:rPr>
              <w:t>政府采购管理违法违规行为发生次数</w:t>
            </w:r>
          </w:p>
        </w:tc>
        <w:tc>
          <w:tcPr>
            <w:tcW w:w="204" w:type="pct"/>
            <w:tcBorders>
              <w:top w:val="nil"/>
              <w:left w:val="nil"/>
              <w:bottom w:val="single" w:color="auto" w:sz="4" w:space="0"/>
              <w:right w:val="single" w:color="auto" w:sz="4" w:space="0"/>
            </w:tcBorders>
            <w:shd w:val="clear" w:color="000000" w:fill="FFFFFF"/>
            <w:vAlign w:val="center"/>
          </w:tcPr>
          <w:p w14:paraId="752D9C7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05" w:type="pct"/>
            <w:tcBorders>
              <w:top w:val="nil"/>
              <w:left w:val="nil"/>
              <w:bottom w:val="single" w:color="auto" w:sz="4" w:space="0"/>
              <w:right w:val="single" w:color="auto" w:sz="4" w:space="0"/>
            </w:tcBorders>
            <w:shd w:val="clear" w:color="000000" w:fill="FFFFFF"/>
            <w:vAlign w:val="center"/>
          </w:tcPr>
          <w:p w14:paraId="7313A5A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04" w:type="pct"/>
            <w:tcBorders>
              <w:top w:val="nil"/>
              <w:left w:val="nil"/>
              <w:bottom w:val="single" w:color="auto" w:sz="4" w:space="0"/>
              <w:right w:val="single" w:color="auto" w:sz="4" w:space="0"/>
            </w:tcBorders>
            <w:shd w:val="clear" w:color="000000" w:fill="FFFFFF"/>
            <w:vAlign w:val="center"/>
          </w:tcPr>
          <w:p w14:paraId="5EBA6E52">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340" w:type="pct"/>
            <w:tcBorders>
              <w:top w:val="nil"/>
              <w:left w:val="nil"/>
              <w:bottom w:val="single" w:color="auto" w:sz="4" w:space="0"/>
              <w:right w:val="single" w:color="auto" w:sz="4" w:space="0"/>
            </w:tcBorders>
            <w:shd w:val="clear" w:color="000000" w:fill="FFFFFF"/>
            <w:vAlign w:val="center"/>
          </w:tcPr>
          <w:p w14:paraId="2400C73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576A7B4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60F884E5">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05" w:type="pct"/>
            <w:tcBorders>
              <w:top w:val="nil"/>
              <w:left w:val="nil"/>
              <w:bottom w:val="single" w:color="auto" w:sz="4" w:space="0"/>
              <w:right w:val="single" w:color="auto" w:sz="4" w:space="0"/>
            </w:tcBorders>
            <w:shd w:val="clear" w:color="000000" w:fill="FFFFFF"/>
            <w:vAlign w:val="center"/>
          </w:tcPr>
          <w:p w14:paraId="284B6129">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70" w:type="pct"/>
            <w:tcBorders>
              <w:top w:val="nil"/>
              <w:left w:val="nil"/>
              <w:bottom w:val="single" w:color="auto" w:sz="4" w:space="0"/>
              <w:right w:val="single" w:color="auto" w:sz="4" w:space="0"/>
            </w:tcBorders>
            <w:shd w:val="clear" w:color="000000" w:fill="FFFFFF"/>
            <w:vAlign w:val="center"/>
          </w:tcPr>
          <w:p w14:paraId="3CDE0B3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73FF3B8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757AB15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5AD0F86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39EE7C7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738B25D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0670499">
        <w:tblPrEx>
          <w:tblCellMar>
            <w:top w:w="0" w:type="dxa"/>
            <w:left w:w="108" w:type="dxa"/>
            <w:bottom w:w="0" w:type="dxa"/>
            <w:right w:w="108" w:type="dxa"/>
          </w:tblCellMar>
        </w:tblPrEx>
        <w:trPr>
          <w:trHeight w:val="480" w:hRule="atLeast"/>
        </w:trPr>
        <w:tc>
          <w:tcPr>
            <w:tcW w:w="212" w:type="pct"/>
            <w:vMerge w:val="continue"/>
            <w:tcBorders>
              <w:top w:val="nil"/>
              <w:left w:val="single" w:color="auto" w:sz="4" w:space="0"/>
              <w:bottom w:val="nil"/>
              <w:right w:val="single" w:color="auto" w:sz="4" w:space="0"/>
            </w:tcBorders>
            <w:vAlign w:val="center"/>
          </w:tcPr>
          <w:p w14:paraId="2B30130A">
            <w:pPr>
              <w:widowControl/>
              <w:jc w:val="left"/>
              <w:rPr>
                <w:rFonts w:ascii="宋体" w:hAnsi="宋体" w:cs="宋体"/>
                <w:b/>
                <w:bCs/>
                <w:color w:val="000000"/>
                <w:kern w:val="0"/>
                <w:sz w:val="20"/>
                <w:szCs w:val="20"/>
              </w:rPr>
            </w:pP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14:paraId="0A505B36">
            <w:pPr>
              <w:widowControl/>
              <w:jc w:val="center"/>
              <w:rPr>
                <w:rFonts w:ascii="宋体" w:hAnsi="宋体" w:cs="宋体"/>
                <w:color w:val="000000"/>
                <w:kern w:val="0"/>
                <w:sz w:val="20"/>
                <w:szCs w:val="20"/>
              </w:rPr>
            </w:pPr>
            <w:r>
              <w:rPr>
                <w:rFonts w:hint="eastAsia" w:ascii="宋体" w:hAnsi="宋体" w:cs="宋体"/>
                <w:color w:val="000000"/>
                <w:kern w:val="0"/>
                <w:sz w:val="20"/>
                <w:szCs w:val="20"/>
              </w:rPr>
              <w:t>运行成本</w:t>
            </w: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14:paraId="62B1341F">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成本控制成效</w:t>
            </w:r>
          </w:p>
        </w:tc>
        <w:tc>
          <w:tcPr>
            <w:tcW w:w="366" w:type="pct"/>
            <w:tcBorders>
              <w:top w:val="nil"/>
              <w:left w:val="nil"/>
              <w:bottom w:val="single" w:color="auto" w:sz="4" w:space="0"/>
              <w:right w:val="single" w:color="auto" w:sz="4" w:space="0"/>
            </w:tcBorders>
            <w:shd w:val="clear" w:color="000000" w:fill="FFFFFF"/>
            <w:vAlign w:val="center"/>
          </w:tcPr>
          <w:p w14:paraId="00B28575">
            <w:pPr>
              <w:widowControl/>
              <w:jc w:val="center"/>
              <w:rPr>
                <w:rFonts w:ascii="宋体" w:hAnsi="宋体" w:cs="宋体"/>
                <w:color w:val="000000"/>
                <w:kern w:val="0"/>
                <w:sz w:val="20"/>
                <w:szCs w:val="20"/>
              </w:rPr>
            </w:pPr>
            <w:r>
              <w:rPr>
                <w:rFonts w:hint="eastAsia" w:ascii="宋体" w:hAnsi="宋体" w:cs="宋体"/>
                <w:color w:val="000000"/>
                <w:kern w:val="0"/>
                <w:sz w:val="20"/>
                <w:szCs w:val="20"/>
              </w:rPr>
              <w:t>“三公”经费变动率</w:t>
            </w:r>
          </w:p>
        </w:tc>
        <w:tc>
          <w:tcPr>
            <w:tcW w:w="204" w:type="pct"/>
            <w:tcBorders>
              <w:top w:val="nil"/>
              <w:left w:val="nil"/>
              <w:bottom w:val="single" w:color="auto" w:sz="4" w:space="0"/>
              <w:right w:val="single" w:color="auto" w:sz="4" w:space="0"/>
            </w:tcBorders>
            <w:shd w:val="clear" w:color="000000" w:fill="FFFFFF"/>
            <w:vAlign w:val="center"/>
          </w:tcPr>
          <w:p w14:paraId="76C8CF2F">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205" w:type="pct"/>
            <w:tcBorders>
              <w:top w:val="nil"/>
              <w:left w:val="nil"/>
              <w:bottom w:val="single" w:color="auto" w:sz="4" w:space="0"/>
              <w:right w:val="single" w:color="auto" w:sz="4" w:space="0"/>
            </w:tcBorders>
            <w:shd w:val="clear" w:color="000000" w:fill="FFFFFF"/>
            <w:vAlign w:val="center"/>
          </w:tcPr>
          <w:p w14:paraId="5D19153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04" w:type="pct"/>
            <w:tcBorders>
              <w:top w:val="nil"/>
              <w:left w:val="nil"/>
              <w:bottom w:val="single" w:color="auto" w:sz="4" w:space="0"/>
              <w:right w:val="single" w:color="auto" w:sz="4" w:space="0"/>
            </w:tcBorders>
            <w:shd w:val="clear" w:color="000000" w:fill="FFFFFF"/>
            <w:vAlign w:val="center"/>
          </w:tcPr>
          <w:p w14:paraId="28398D7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14:paraId="657B364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04" w:type="pct"/>
            <w:tcBorders>
              <w:top w:val="nil"/>
              <w:left w:val="nil"/>
              <w:bottom w:val="single" w:color="auto" w:sz="4" w:space="0"/>
              <w:right w:val="single" w:color="auto" w:sz="4" w:space="0"/>
            </w:tcBorders>
            <w:shd w:val="clear" w:color="000000" w:fill="FFFFFF"/>
            <w:vAlign w:val="center"/>
          </w:tcPr>
          <w:p w14:paraId="0D1EB1E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384B375B">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05" w:type="pct"/>
            <w:tcBorders>
              <w:top w:val="nil"/>
              <w:left w:val="nil"/>
              <w:bottom w:val="single" w:color="auto" w:sz="4" w:space="0"/>
              <w:right w:val="single" w:color="auto" w:sz="4" w:space="0"/>
            </w:tcBorders>
            <w:shd w:val="clear" w:color="000000" w:fill="FFFFFF"/>
            <w:vAlign w:val="center"/>
          </w:tcPr>
          <w:p w14:paraId="3A446E80">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70" w:type="pct"/>
            <w:tcBorders>
              <w:top w:val="nil"/>
              <w:left w:val="nil"/>
              <w:bottom w:val="single" w:color="auto" w:sz="4" w:space="0"/>
              <w:right w:val="single" w:color="auto" w:sz="4" w:space="0"/>
            </w:tcBorders>
            <w:shd w:val="clear" w:color="000000" w:fill="FFFFFF"/>
            <w:vAlign w:val="center"/>
          </w:tcPr>
          <w:p w14:paraId="471347E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1BE2999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01973DE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469CD26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3B75882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4C9C81D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E19A764">
        <w:tblPrEx>
          <w:tblCellMar>
            <w:top w:w="0" w:type="dxa"/>
            <w:left w:w="108" w:type="dxa"/>
            <w:bottom w:w="0" w:type="dxa"/>
            <w:right w:w="108" w:type="dxa"/>
          </w:tblCellMar>
        </w:tblPrEx>
        <w:trPr>
          <w:trHeight w:val="480" w:hRule="atLeast"/>
        </w:trPr>
        <w:tc>
          <w:tcPr>
            <w:tcW w:w="212" w:type="pct"/>
            <w:vMerge w:val="continue"/>
            <w:tcBorders>
              <w:top w:val="nil"/>
              <w:left w:val="single" w:color="auto" w:sz="4" w:space="0"/>
              <w:bottom w:val="nil"/>
              <w:right w:val="single" w:color="auto" w:sz="4" w:space="0"/>
            </w:tcBorders>
            <w:vAlign w:val="center"/>
          </w:tcPr>
          <w:p w14:paraId="304087F3">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025E51F9">
            <w:pPr>
              <w:widowControl/>
              <w:jc w:val="left"/>
              <w:rPr>
                <w:rFonts w:ascii="宋体" w:hAnsi="宋体" w:cs="宋体"/>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233A69AD">
            <w:pPr>
              <w:widowControl/>
              <w:jc w:val="left"/>
              <w:rPr>
                <w:rFonts w:ascii="宋体" w:hAnsi="宋体" w:cs="宋体"/>
                <w:color w:val="000000"/>
                <w:kern w:val="0"/>
                <w:sz w:val="20"/>
                <w:szCs w:val="20"/>
              </w:rPr>
            </w:pPr>
          </w:p>
        </w:tc>
        <w:tc>
          <w:tcPr>
            <w:tcW w:w="366" w:type="pct"/>
            <w:tcBorders>
              <w:top w:val="nil"/>
              <w:left w:val="nil"/>
              <w:bottom w:val="single" w:color="auto" w:sz="4" w:space="0"/>
              <w:right w:val="single" w:color="auto" w:sz="4" w:space="0"/>
            </w:tcBorders>
            <w:shd w:val="clear" w:color="000000" w:fill="FFFFFF"/>
            <w:vAlign w:val="center"/>
          </w:tcPr>
          <w:p w14:paraId="0937806F">
            <w:pPr>
              <w:widowControl/>
              <w:jc w:val="center"/>
              <w:rPr>
                <w:rFonts w:ascii="宋体" w:hAnsi="宋体" w:cs="宋体"/>
                <w:color w:val="000000"/>
                <w:kern w:val="0"/>
                <w:sz w:val="20"/>
                <w:szCs w:val="20"/>
              </w:rPr>
            </w:pPr>
            <w:r>
              <w:rPr>
                <w:rFonts w:hint="eastAsia" w:ascii="宋体" w:hAnsi="宋体" w:cs="宋体"/>
                <w:color w:val="000000"/>
                <w:kern w:val="0"/>
                <w:sz w:val="20"/>
                <w:szCs w:val="20"/>
              </w:rPr>
              <w:t>在职人员控制率</w:t>
            </w:r>
          </w:p>
        </w:tc>
        <w:tc>
          <w:tcPr>
            <w:tcW w:w="204" w:type="pct"/>
            <w:tcBorders>
              <w:top w:val="nil"/>
              <w:left w:val="nil"/>
              <w:bottom w:val="single" w:color="auto" w:sz="4" w:space="0"/>
              <w:right w:val="single" w:color="auto" w:sz="4" w:space="0"/>
            </w:tcBorders>
            <w:shd w:val="clear" w:color="000000" w:fill="FFFFFF"/>
            <w:vAlign w:val="center"/>
          </w:tcPr>
          <w:p w14:paraId="4AAB0FD1">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205" w:type="pct"/>
            <w:tcBorders>
              <w:top w:val="nil"/>
              <w:left w:val="nil"/>
              <w:bottom w:val="single" w:color="auto" w:sz="4" w:space="0"/>
              <w:right w:val="single" w:color="auto" w:sz="4" w:space="0"/>
            </w:tcBorders>
            <w:shd w:val="clear" w:color="000000" w:fill="FFFFFF"/>
            <w:vAlign w:val="center"/>
          </w:tcPr>
          <w:p w14:paraId="3A4F8EC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592C8B8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14:paraId="4284F97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04" w:type="pct"/>
            <w:tcBorders>
              <w:top w:val="nil"/>
              <w:left w:val="nil"/>
              <w:bottom w:val="single" w:color="auto" w:sz="4" w:space="0"/>
              <w:right w:val="single" w:color="auto" w:sz="4" w:space="0"/>
            </w:tcBorders>
            <w:shd w:val="clear" w:color="000000" w:fill="FFFFFF"/>
            <w:vAlign w:val="center"/>
          </w:tcPr>
          <w:p w14:paraId="7D846C7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5DA223C3">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05" w:type="pct"/>
            <w:tcBorders>
              <w:top w:val="nil"/>
              <w:left w:val="nil"/>
              <w:bottom w:val="single" w:color="auto" w:sz="4" w:space="0"/>
              <w:right w:val="single" w:color="auto" w:sz="4" w:space="0"/>
            </w:tcBorders>
            <w:shd w:val="clear" w:color="000000" w:fill="FFFFFF"/>
            <w:vAlign w:val="center"/>
          </w:tcPr>
          <w:p w14:paraId="2EDEF216">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70" w:type="pct"/>
            <w:tcBorders>
              <w:top w:val="nil"/>
              <w:left w:val="nil"/>
              <w:bottom w:val="single" w:color="auto" w:sz="4" w:space="0"/>
              <w:right w:val="single" w:color="auto" w:sz="4" w:space="0"/>
            </w:tcBorders>
            <w:shd w:val="clear" w:color="000000" w:fill="FFFFFF"/>
            <w:vAlign w:val="center"/>
          </w:tcPr>
          <w:p w14:paraId="13D477F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6403E02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558E317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16B7527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3BCEAA2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7E931E7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4DDDB0C">
        <w:tblPrEx>
          <w:tblCellMar>
            <w:top w:w="0" w:type="dxa"/>
            <w:left w:w="108" w:type="dxa"/>
            <w:bottom w:w="0" w:type="dxa"/>
            <w:right w:w="108" w:type="dxa"/>
          </w:tblCellMar>
        </w:tblPrEx>
        <w:trPr>
          <w:trHeight w:val="2400" w:hRule="atLeast"/>
        </w:trPr>
        <w:tc>
          <w:tcPr>
            <w:tcW w:w="212" w:type="pct"/>
            <w:vMerge w:val="continue"/>
            <w:tcBorders>
              <w:top w:val="nil"/>
              <w:left w:val="single" w:color="auto" w:sz="4" w:space="0"/>
              <w:bottom w:val="nil"/>
              <w:right w:val="single" w:color="auto" w:sz="4" w:space="0"/>
            </w:tcBorders>
            <w:vAlign w:val="center"/>
          </w:tcPr>
          <w:p w14:paraId="797CF69B">
            <w:pPr>
              <w:widowControl/>
              <w:jc w:val="left"/>
              <w:rPr>
                <w:rFonts w:ascii="宋体" w:hAnsi="宋体" w:cs="宋体"/>
                <w:b/>
                <w:bCs/>
                <w:color w:val="000000"/>
                <w:kern w:val="0"/>
                <w:sz w:val="20"/>
                <w:szCs w:val="20"/>
              </w:rPr>
            </w:pPr>
          </w:p>
        </w:tc>
        <w:tc>
          <w:tcPr>
            <w:tcW w:w="211" w:type="pct"/>
            <w:vMerge w:val="restart"/>
            <w:tcBorders>
              <w:top w:val="nil"/>
              <w:left w:val="single" w:color="auto" w:sz="4" w:space="0"/>
              <w:bottom w:val="single" w:color="auto" w:sz="4" w:space="0"/>
              <w:right w:val="single" w:color="auto" w:sz="4" w:space="0"/>
            </w:tcBorders>
            <w:shd w:val="clear" w:color="000000" w:fill="FFFFFF"/>
            <w:vAlign w:val="center"/>
          </w:tcPr>
          <w:p w14:paraId="1BDA600B">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社会效应</w:t>
            </w:r>
          </w:p>
        </w:tc>
        <w:tc>
          <w:tcPr>
            <w:tcW w:w="211" w:type="pct"/>
            <w:tcBorders>
              <w:top w:val="nil"/>
              <w:left w:val="nil"/>
              <w:bottom w:val="single" w:color="auto" w:sz="4" w:space="0"/>
              <w:right w:val="single" w:color="auto" w:sz="4" w:space="0"/>
            </w:tcBorders>
            <w:shd w:val="clear" w:color="000000" w:fill="FFFFFF"/>
            <w:vAlign w:val="center"/>
          </w:tcPr>
          <w:p w14:paraId="2198FBAB">
            <w:pPr>
              <w:widowControl/>
              <w:jc w:val="center"/>
              <w:rPr>
                <w:rFonts w:ascii="宋体" w:hAnsi="宋体" w:cs="宋体"/>
                <w:color w:val="000000"/>
                <w:kern w:val="0"/>
                <w:sz w:val="20"/>
                <w:szCs w:val="20"/>
              </w:rPr>
            </w:pPr>
            <w:r>
              <w:rPr>
                <w:rFonts w:hint="eastAsia" w:ascii="宋体" w:hAnsi="宋体" w:cs="宋体"/>
                <w:color w:val="000000"/>
                <w:kern w:val="0"/>
                <w:sz w:val="20"/>
                <w:szCs w:val="20"/>
              </w:rPr>
              <w:t>政治效益</w:t>
            </w:r>
          </w:p>
        </w:tc>
        <w:tc>
          <w:tcPr>
            <w:tcW w:w="366" w:type="pct"/>
            <w:tcBorders>
              <w:top w:val="nil"/>
              <w:left w:val="nil"/>
              <w:bottom w:val="single" w:color="auto" w:sz="4" w:space="0"/>
              <w:right w:val="single" w:color="auto" w:sz="4" w:space="0"/>
            </w:tcBorders>
            <w:shd w:val="clear" w:color="000000" w:fill="FFFFFF"/>
            <w:vAlign w:val="center"/>
          </w:tcPr>
          <w:p w14:paraId="7E4EF2DB">
            <w:pPr>
              <w:widowControl/>
              <w:jc w:val="center"/>
              <w:rPr>
                <w:rFonts w:ascii="宋体" w:hAnsi="宋体" w:cs="宋体"/>
                <w:color w:val="000000"/>
                <w:kern w:val="0"/>
                <w:sz w:val="20"/>
                <w:szCs w:val="20"/>
              </w:rPr>
            </w:pPr>
            <w:r>
              <w:rPr>
                <w:rFonts w:hint="eastAsia" w:ascii="宋体" w:hAnsi="宋体" w:cs="宋体"/>
                <w:color w:val="000000"/>
                <w:kern w:val="0"/>
                <w:sz w:val="20"/>
                <w:szCs w:val="20"/>
              </w:rPr>
              <w:t>全面实现</w:t>
            </w:r>
            <w:bookmarkStart w:id="5" w:name="_GoBack"/>
            <w:bookmarkEnd w:id="5"/>
            <w:r>
              <w:rPr>
                <w:rFonts w:hint="eastAsia" w:ascii="宋体" w:hAnsi="宋体" w:cs="宋体"/>
                <w:color w:val="000000"/>
                <w:kern w:val="0"/>
                <w:sz w:val="20"/>
                <w:szCs w:val="20"/>
              </w:rPr>
              <w:t>小康社会</w:t>
            </w:r>
          </w:p>
        </w:tc>
        <w:tc>
          <w:tcPr>
            <w:tcW w:w="204" w:type="pct"/>
            <w:tcBorders>
              <w:top w:val="nil"/>
              <w:left w:val="nil"/>
              <w:bottom w:val="single" w:color="auto" w:sz="4" w:space="0"/>
              <w:right w:val="single" w:color="auto" w:sz="4" w:space="0"/>
            </w:tcBorders>
            <w:shd w:val="clear" w:color="000000" w:fill="FFFFFF"/>
            <w:vAlign w:val="center"/>
          </w:tcPr>
          <w:p w14:paraId="6912D5F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000000" w:fill="FFFFFF"/>
            <w:vAlign w:val="center"/>
          </w:tcPr>
          <w:p w14:paraId="224AF95D">
            <w:pPr>
              <w:widowControl/>
              <w:jc w:val="center"/>
              <w:rPr>
                <w:rFonts w:ascii="宋体" w:hAnsi="宋体" w:cs="宋体"/>
                <w:color w:val="000000"/>
                <w:kern w:val="0"/>
                <w:sz w:val="20"/>
                <w:szCs w:val="20"/>
              </w:rPr>
            </w:pPr>
            <w:r>
              <w:rPr>
                <w:rFonts w:hint="eastAsia" w:ascii="宋体" w:hAnsi="宋体" w:cs="宋体"/>
                <w:color w:val="000000"/>
                <w:kern w:val="0"/>
                <w:sz w:val="20"/>
                <w:szCs w:val="20"/>
              </w:rPr>
              <w:t>制度有效</w:t>
            </w:r>
          </w:p>
        </w:tc>
        <w:tc>
          <w:tcPr>
            <w:tcW w:w="204" w:type="pct"/>
            <w:tcBorders>
              <w:top w:val="nil"/>
              <w:left w:val="nil"/>
              <w:bottom w:val="single" w:color="auto" w:sz="4" w:space="0"/>
              <w:right w:val="single" w:color="auto" w:sz="4" w:space="0"/>
            </w:tcBorders>
            <w:shd w:val="clear" w:color="000000" w:fill="FFFFFF"/>
            <w:vAlign w:val="center"/>
          </w:tcPr>
          <w:p w14:paraId="2BB59E1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shd w:val="clear" w:color="000000" w:fill="FFFFFF"/>
            <w:vAlign w:val="center"/>
          </w:tcPr>
          <w:p w14:paraId="703133ED">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204" w:type="pct"/>
            <w:tcBorders>
              <w:top w:val="nil"/>
              <w:left w:val="nil"/>
              <w:bottom w:val="single" w:color="auto" w:sz="4" w:space="0"/>
              <w:right w:val="single" w:color="auto" w:sz="4" w:space="0"/>
            </w:tcBorders>
            <w:shd w:val="clear" w:color="000000" w:fill="FFFFFF"/>
            <w:vAlign w:val="center"/>
          </w:tcPr>
          <w:p w14:paraId="7BBEFC7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05E72744">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205" w:type="pct"/>
            <w:tcBorders>
              <w:top w:val="nil"/>
              <w:left w:val="nil"/>
              <w:bottom w:val="single" w:color="auto" w:sz="4" w:space="0"/>
              <w:right w:val="single" w:color="auto" w:sz="4" w:space="0"/>
            </w:tcBorders>
            <w:shd w:val="clear" w:color="000000" w:fill="FFFFFF"/>
            <w:vAlign w:val="center"/>
          </w:tcPr>
          <w:p w14:paraId="4389DA49">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270" w:type="pct"/>
            <w:tcBorders>
              <w:top w:val="nil"/>
              <w:left w:val="nil"/>
              <w:bottom w:val="single" w:color="auto" w:sz="4" w:space="0"/>
              <w:right w:val="single" w:color="auto" w:sz="4" w:space="0"/>
            </w:tcBorders>
            <w:shd w:val="clear" w:color="000000" w:fill="FFFFFF"/>
            <w:vAlign w:val="center"/>
          </w:tcPr>
          <w:p w14:paraId="340CF49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68019DD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32FF99A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4C87C18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7C516EF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0FB9E71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5BD02B7">
        <w:tblPrEx>
          <w:tblCellMar>
            <w:top w:w="0" w:type="dxa"/>
            <w:left w:w="108" w:type="dxa"/>
            <w:bottom w:w="0" w:type="dxa"/>
            <w:right w:w="108" w:type="dxa"/>
          </w:tblCellMar>
        </w:tblPrEx>
        <w:trPr>
          <w:trHeight w:val="480" w:hRule="atLeast"/>
        </w:trPr>
        <w:tc>
          <w:tcPr>
            <w:tcW w:w="212" w:type="pct"/>
            <w:vMerge w:val="continue"/>
            <w:tcBorders>
              <w:top w:val="nil"/>
              <w:left w:val="single" w:color="auto" w:sz="4" w:space="0"/>
              <w:bottom w:val="nil"/>
              <w:right w:val="single" w:color="auto" w:sz="4" w:space="0"/>
            </w:tcBorders>
            <w:vAlign w:val="center"/>
          </w:tcPr>
          <w:p w14:paraId="42D29CB2">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1298A642">
            <w:pPr>
              <w:widowControl/>
              <w:jc w:val="left"/>
              <w:rPr>
                <w:rFonts w:ascii="宋体" w:hAnsi="宋体" w:cs="宋体"/>
                <w:color w:val="000000"/>
                <w:kern w:val="0"/>
                <w:sz w:val="20"/>
                <w:szCs w:val="20"/>
              </w:rPr>
            </w:pPr>
          </w:p>
        </w:tc>
        <w:tc>
          <w:tcPr>
            <w:tcW w:w="211" w:type="pct"/>
            <w:tcBorders>
              <w:top w:val="nil"/>
              <w:left w:val="nil"/>
              <w:bottom w:val="single" w:color="auto" w:sz="4" w:space="0"/>
              <w:right w:val="single" w:color="auto" w:sz="4" w:space="0"/>
            </w:tcBorders>
            <w:shd w:val="clear" w:color="000000" w:fill="FFFFFF"/>
            <w:vAlign w:val="center"/>
          </w:tcPr>
          <w:p w14:paraId="34FB2629">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366" w:type="pct"/>
            <w:tcBorders>
              <w:top w:val="nil"/>
              <w:left w:val="nil"/>
              <w:bottom w:val="single" w:color="auto" w:sz="4" w:space="0"/>
              <w:right w:val="single" w:color="auto" w:sz="4" w:space="0"/>
            </w:tcBorders>
            <w:shd w:val="clear" w:color="000000" w:fill="FFFFFF"/>
            <w:vAlign w:val="center"/>
          </w:tcPr>
          <w:p w14:paraId="7A7632B0">
            <w:pPr>
              <w:widowControl/>
              <w:jc w:val="center"/>
              <w:rPr>
                <w:rFonts w:ascii="宋体" w:hAnsi="宋体" w:cs="宋体"/>
                <w:color w:val="000000"/>
                <w:kern w:val="0"/>
                <w:sz w:val="20"/>
                <w:szCs w:val="20"/>
              </w:rPr>
            </w:pPr>
            <w:r>
              <w:rPr>
                <w:rFonts w:hint="eastAsia" w:ascii="宋体" w:hAnsi="宋体" w:cs="宋体"/>
                <w:color w:val="000000"/>
                <w:kern w:val="0"/>
                <w:sz w:val="20"/>
                <w:szCs w:val="20"/>
              </w:rPr>
              <w:t>参加3次以上文化活动占比</w:t>
            </w:r>
          </w:p>
        </w:tc>
        <w:tc>
          <w:tcPr>
            <w:tcW w:w="204" w:type="pct"/>
            <w:tcBorders>
              <w:top w:val="nil"/>
              <w:left w:val="nil"/>
              <w:bottom w:val="single" w:color="auto" w:sz="4" w:space="0"/>
              <w:right w:val="single" w:color="auto" w:sz="4" w:space="0"/>
            </w:tcBorders>
            <w:shd w:val="clear" w:color="000000" w:fill="FFFFFF"/>
            <w:vAlign w:val="center"/>
          </w:tcPr>
          <w:p w14:paraId="5E9F5AF6">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205" w:type="pct"/>
            <w:tcBorders>
              <w:top w:val="nil"/>
              <w:left w:val="nil"/>
              <w:bottom w:val="single" w:color="auto" w:sz="4" w:space="0"/>
              <w:right w:val="single" w:color="auto" w:sz="4" w:space="0"/>
            </w:tcBorders>
            <w:shd w:val="clear" w:color="000000" w:fill="FFFFFF"/>
            <w:vAlign w:val="center"/>
          </w:tcPr>
          <w:p w14:paraId="5181703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7C8FCBF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14:paraId="603A336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4629055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6BC7D983">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205" w:type="pct"/>
            <w:tcBorders>
              <w:top w:val="nil"/>
              <w:left w:val="nil"/>
              <w:bottom w:val="single" w:color="auto" w:sz="4" w:space="0"/>
              <w:right w:val="single" w:color="auto" w:sz="4" w:space="0"/>
            </w:tcBorders>
            <w:shd w:val="clear" w:color="000000" w:fill="FFFFFF"/>
            <w:vAlign w:val="center"/>
          </w:tcPr>
          <w:p w14:paraId="398EC5FC">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270" w:type="pct"/>
            <w:tcBorders>
              <w:top w:val="nil"/>
              <w:left w:val="nil"/>
              <w:bottom w:val="single" w:color="auto" w:sz="4" w:space="0"/>
              <w:right w:val="single" w:color="auto" w:sz="4" w:space="0"/>
            </w:tcBorders>
            <w:shd w:val="clear" w:color="000000" w:fill="FFFFFF"/>
            <w:vAlign w:val="center"/>
          </w:tcPr>
          <w:p w14:paraId="0610230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20F286B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1448D5C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46494CD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46D7499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720FF78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8FA8B65">
        <w:tblPrEx>
          <w:tblCellMar>
            <w:top w:w="0" w:type="dxa"/>
            <w:left w:w="108" w:type="dxa"/>
            <w:bottom w:w="0" w:type="dxa"/>
            <w:right w:w="108" w:type="dxa"/>
          </w:tblCellMar>
        </w:tblPrEx>
        <w:trPr>
          <w:trHeight w:val="960" w:hRule="atLeast"/>
        </w:trPr>
        <w:tc>
          <w:tcPr>
            <w:tcW w:w="212" w:type="pct"/>
            <w:vMerge w:val="continue"/>
            <w:tcBorders>
              <w:top w:val="nil"/>
              <w:left w:val="single" w:color="auto" w:sz="4" w:space="0"/>
              <w:bottom w:val="nil"/>
              <w:right w:val="single" w:color="auto" w:sz="4" w:space="0"/>
            </w:tcBorders>
            <w:vAlign w:val="center"/>
          </w:tcPr>
          <w:p w14:paraId="049B1FA8">
            <w:pPr>
              <w:widowControl/>
              <w:jc w:val="left"/>
              <w:rPr>
                <w:rFonts w:ascii="宋体" w:hAnsi="宋体" w:cs="宋体"/>
                <w:b/>
                <w:bCs/>
                <w:color w:val="000000"/>
                <w:kern w:val="0"/>
                <w:sz w:val="20"/>
                <w:szCs w:val="20"/>
              </w:rPr>
            </w:pPr>
          </w:p>
        </w:tc>
        <w:tc>
          <w:tcPr>
            <w:tcW w:w="211" w:type="pct"/>
            <w:vMerge w:val="continue"/>
            <w:tcBorders>
              <w:top w:val="nil"/>
              <w:left w:val="single" w:color="auto" w:sz="4" w:space="0"/>
              <w:bottom w:val="single" w:color="auto" w:sz="4" w:space="0"/>
              <w:right w:val="single" w:color="auto" w:sz="4" w:space="0"/>
            </w:tcBorders>
            <w:vAlign w:val="center"/>
          </w:tcPr>
          <w:p w14:paraId="02199235">
            <w:pPr>
              <w:widowControl/>
              <w:jc w:val="left"/>
              <w:rPr>
                <w:rFonts w:ascii="宋体" w:hAnsi="宋体" w:cs="宋体"/>
                <w:color w:val="000000"/>
                <w:kern w:val="0"/>
                <w:sz w:val="20"/>
                <w:szCs w:val="20"/>
              </w:rPr>
            </w:pPr>
          </w:p>
        </w:tc>
        <w:tc>
          <w:tcPr>
            <w:tcW w:w="211" w:type="pct"/>
            <w:tcBorders>
              <w:top w:val="nil"/>
              <w:left w:val="nil"/>
              <w:bottom w:val="single" w:color="auto" w:sz="4" w:space="0"/>
              <w:right w:val="single" w:color="auto" w:sz="4" w:space="0"/>
            </w:tcBorders>
            <w:shd w:val="clear" w:color="000000" w:fill="FFFFFF"/>
            <w:vAlign w:val="center"/>
          </w:tcPr>
          <w:p w14:paraId="16EDE081">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社会公众满意度</w:t>
            </w:r>
          </w:p>
        </w:tc>
        <w:tc>
          <w:tcPr>
            <w:tcW w:w="366" w:type="pct"/>
            <w:tcBorders>
              <w:top w:val="nil"/>
              <w:left w:val="nil"/>
              <w:bottom w:val="single" w:color="auto" w:sz="4" w:space="0"/>
              <w:right w:val="single" w:color="auto" w:sz="4" w:space="0"/>
            </w:tcBorders>
            <w:shd w:val="clear" w:color="000000" w:fill="FFFFFF"/>
            <w:vAlign w:val="center"/>
          </w:tcPr>
          <w:p w14:paraId="6C19D3E8">
            <w:pPr>
              <w:widowControl/>
              <w:jc w:val="center"/>
              <w:rPr>
                <w:rFonts w:ascii="宋体" w:hAnsi="宋体" w:cs="宋体"/>
                <w:color w:val="000000"/>
                <w:kern w:val="0"/>
                <w:sz w:val="20"/>
                <w:szCs w:val="20"/>
              </w:rPr>
            </w:pPr>
            <w:r>
              <w:rPr>
                <w:rFonts w:hint="eastAsia" w:ascii="宋体" w:hAnsi="宋体" w:cs="宋体"/>
                <w:color w:val="000000"/>
                <w:kern w:val="0"/>
                <w:sz w:val="20"/>
                <w:szCs w:val="20"/>
              </w:rPr>
              <w:t>当地群众满意度</w:t>
            </w:r>
          </w:p>
        </w:tc>
        <w:tc>
          <w:tcPr>
            <w:tcW w:w="204" w:type="pct"/>
            <w:tcBorders>
              <w:top w:val="nil"/>
              <w:left w:val="nil"/>
              <w:bottom w:val="single" w:color="auto" w:sz="4" w:space="0"/>
              <w:right w:val="single" w:color="auto" w:sz="4" w:space="0"/>
            </w:tcBorders>
            <w:shd w:val="clear" w:color="000000" w:fill="FFFFFF"/>
            <w:vAlign w:val="center"/>
          </w:tcPr>
          <w:p w14:paraId="26FDDF1B">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205" w:type="pct"/>
            <w:tcBorders>
              <w:top w:val="nil"/>
              <w:left w:val="nil"/>
              <w:bottom w:val="single" w:color="auto" w:sz="4" w:space="0"/>
              <w:right w:val="single" w:color="auto" w:sz="4" w:space="0"/>
            </w:tcBorders>
            <w:shd w:val="clear" w:color="000000" w:fill="FFFFFF"/>
            <w:vAlign w:val="center"/>
          </w:tcPr>
          <w:p w14:paraId="29CB512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67F744F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nil"/>
              <w:bottom w:val="single" w:color="auto" w:sz="4" w:space="0"/>
              <w:right w:val="single" w:color="auto" w:sz="4" w:space="0"/>
            </w:tcBorders>
            <w:shd w:val="clear" w:color="000000" w:fill="FFFFFF"/>
            <w:vAlign w:val="center"/>
          </w:tcPr>
          <w:p w14:paraId="6B492ED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4" w:type="pct"/>
            <w:tcBorders>
              <w:top w:val="nil"/>
              <w:left w:val="nil"/>
              <w:bottom w:val="single" w:color="auto" w:sz="4" w:space="0"/>
              <w:right w:val="single" w:color="auto" w:sz="4" w:space="0"/>
            </w:tcBorders>
            <w:shd w:val="clear" w:color="000000" w:fill="FFFFFF"/>
            <w:vAlign w:val="center"/>
          </w:tcPr>
          <w:p w14:paraId="4BB5645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2ED59A07">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205" w:type="pct"/>
            <w:tcBorders>
              <w:top w:val="nil"/>
              <w:left w:val="nil"/>
              <w:bottom w:val="single" w:color="auto" w:sz="4" w:space="0"/>
              <w:right w:val="single" w:color="auto" w:sz="4" w:space="0"/>
            </w:tcBorders>
            <w:shd w:val="clear" w:color="000000" w:fill="FFFFFF"/>
            <w:vAlign w:val="center"/>
          </w:tcPr>
          <w:p w14:paraId="2D032D18">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270" w:type="pct"/>
            <w:tcBorders>
              <w:top w:val="nil"/>
              <w:left w:val="nil"/>
              <w:bottom w:val="single" w:color="auto" w:sz="4" w:space="0"/>
              <w:right w:val="single" w:color="auto" w:sz="4" w:space="0"/>
            </w:tcBorders>
            <w:shd w:val="clear" w:color="000000" w:fill="FFFFFF"/>
            <w:vAlign w:val="center"/>
          </w:tcPr>
          <w:p w14:paraId="5CE9351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691E109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6289110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5B7FF4F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67D278B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51EE84E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EE67D7F">
        <w:tblPrEx>
          <w:tblCellMar>
            <w:top w:w="0" w:type="dxa"/>
            <w:left w:w="108" w:type="dxa"/>
            <w:bottom w:w="0" w:type="dxa"/>
            <w:right w:w="108" w:type="dxa"/>
          </w:tblCellMar>
        </w:tblPrEx>
        <w:trPr>
          <w:trHeight w:val="2400" w:hRule="atLeast"/>
        </w:trPr>
        <w:tc>
          <w:tcPr>
            <w:tcW w:w="212" w:type="pct"/>
            <w:vMerge w:val="continue"/>
            <w:tcBorders>
              <w:top w:val="nil"/>
              <w:left w:val="single" w:color="auto" w:sz="4" w:space="0"/>
              <w:bottom w:val="nil"/>
              <w:right w:val="single" w:color="auto" w:sz="4" w:space="0"/>
            </w:tcBorders>
            <w:vAlign w:val="center"/>
          </w:tcPr>
          <w:p w14:paraId="64F9DD6C">
            <w:pPr>
              <w:widowControl/>
              <w:jc w:val="left"/>
              <w:rPr>
                <w:rFonts w:ascii="宋体" w:hAnsi="宋体" w:cs="宋体"/>
                <w:b/>
                <w:bCs/>
                <w:color w:val="000000"/>
                <w:kern w:val="0"/>
                <w:sz w:val="20"/>
                <w:szCs w:val="20"/>
              </w:rPr>
            </w:pPr>
          </w:p>
        </w:tc>
        <w:tc>
          <w:tcPr>
            <w:tcW w:w="211" w:type="pct"/>
            <w:tcBorders>
              <w:top w:val="nil"/>
              <w:left w:val="nil"/>
              <w:bottom w:val="single" w:color="auto" w:sz="4" w:space="0"/>
              <w:right w:val="single" w:color="auto" w:sz="4" w:space="0"/>
            </w:tcBorders>
            <w:shd w:val="clear" w:color="000000" w:fill="FFFFFF"/>
            <w:vAlign w:val="center"/>
          </w:tcPr>
          <w:p w14:paraId="1167D775">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可持续性</w:t>
            </w:r>
          </w:p>
        </w:tc>
        <w:tc>
          <w:tcPr>
            <w:tcW w:w="211" w:type="pct"/>
            <w:tcBorders>
              <w:top w:val="nil"/>
              <w:left w:val="nil"/>
              <w:bottom w:val="single" w:color="auto" w:sz="4" w:space="0"/>
              <w:right w:val="single" w:color="auto" w:sz="4" w:space="0"/>
            </w:tcBorders>
            <w:shd w:val="clear" w:color="000000" w:fill="FFFFFF"/>
            <w:vAlign w:val="center"/>
          </w:tcPr>
          <w:p w14:paraId="615FA98A">
            <w:pPr>
              <w:widowControl/>
              <w:jc w:val="center"/>
              <w:rPr>
                <w:rFonts w:ascii="宋体" w:hAnsi="宋体" w:cs="宋体"/>
                <w:color w:val="000000"/>
                <w:kern w:val="0"/>
                <w:sz w:val="20"/>
                <w:szCs w:val="20"/>
              </w:rPr>
            </w:pPr>
            <w:r>
              <w:rPr>
                <w:rFonts w:hint="eastAsia" w:ascii="宋体" w:hAnsi="宋体" w:cs="宋体"/>
                <w:color w:val="000000"/>
                <w:kern w:val="0"/>
                <w:sz w:val="20"/>
                <w:szCs w:val="20"/>
              </w:rPr>
              <w:t>体制机制改革</w:t>
            </w:r>
          </w:p>
        </w:tc>
        <w:tc>
          <w:tcPr>
            <w:tcW w:w="366" w:type="pct"/>
            <w:tcBorders>
              <w:top w:val="nil"/>
              <w:left w:val="nil"/>
              <w:bottom w:val="single" w:color="auto" w:sz="4" w:space="0"/>
              <w:right w:val="single" w:color="auto" w:sz="4" w:space="0"/>
            </w:tcBorders>
            <w:shd w:val="clear" w:color="000000" w:fill="FFFFFF"/>
            <w:vAlign w:val="center"/>
          </w:tcPr>
          <w:p w14:paraId="6A7FDD13">
            <w:pPr>
              <w:widowControl/>
              <w:jc w:val="center"/>
              <w:rPr>
                <w:rFonts w:ascii="宋体" w:hAnsi="宋体" w:cs="宋体"/>
                <w:color w:val="000000"/>
                <w:kern w:val="0"/>
                <w:sz w:val="20"/>
                <w:szCs w:val="20"/>
              </w:rPr>
            </w:pPr>
            <w:r>
              <w:rPr>
                <w:rFonts w:hint="eastAsia" w:ascii="宋体" w:hAnsi="宋体" w:cs="宋体"/>
                <w:color w:val="000000"/>
                <w:kern w:val="0"/>
                <w:sz w:val="20"/>
                <w:szCs w:val="20"/>
              </w:rPr>
              <w:t>人才培养机制健全性</w:t>
            </w:r>
          </w:p>
        </w:tc>
        <w:tc>
          <w:tcPr>
            <w:tcW w:w="204" w:type="pct"/>
            <w:tcBorders>
              <w:top w:val="nil"/>
              <w:left w:val="nil"/>
              <w:bottom w:val="single" w:color="auto" w:sz="4" w:space="0"/>
              <w:right w:val="single" w:color="auto" w:sz="4" w:space="0"/>
            </w:tcBorders>
            <w:shd w:val="clear" w:color="000000" w:fill="FFFFFF"/>
            <w:vAlign w:val="center"/>
          </w:tcPr>
          <w:p w14:paraId="008A351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000000" w:fill="FFFFFF"/>
            <w:vAlign w:val="center"/>
          </w:tcPr>
          <w:p w14:paraId="0396F32B">
            <w:pPr>
              <w:widowControl/>
              <w:jc w:val="center"/>
              <w:rPr>
                <w:rFonts w:ascii="宋体" w:hAnsi="宋体" w:cs="宋体"/>
                <w:color w:val="000000"/>
                <w:kern w:val="0"/>
                <w:sz w:val="20"/>
                <w:szCs w:val="20"/>
              </w:rPr>
            </w:pPr>
            <w:r>
              <w:rPr>
                <w:rFonts w:hint="eastAsia" w:ascii="宋体" w:hAnsi="宋体" w:cs="宋体"/>
                <w:color w:val="000000"/>
                <w:kern w:val="0"/>
                <w:sz w:val="20"/>
                <w:szCs w:val="20"/>
              </w:rPr>
              <w:t>全面培训</w:t>
            </w:r>
          </w:p>
        </w:tc>
        <w:tc>
          <w:tcPr>
            <w:tcW w:w="204" w:type="pct"/>
            <w:tcBorders>
              <w:top w:val="nil"/>
              <w:left w:val="nil"/>
              <w:bottom w:val="single" w:color="auto" w:sz="4" w:space="0"/>
              <w:right w:val="single" w:color="auto" w:sz="4" w:space="0"/>
            </w:tcBorders>
            <w:shd w:val="clear" w:color="000000" w:fill="FFFFFF"/>
            <w:vAlign w:val="center"/>
          </w:tcPr>
          <w:p w14:paraId="165B99E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shd w:val="clear" w:color="000000" w:fill="FFFFFF"/>
            <w:vAlign w:val="center"/>
          </w:tcPr>
          <w:p w14:paraId="1D4EB50A">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204" w:type="pct"/>
            <w:tcBorders>
              <w:top w:val="nil"/>
              <w:left w:val="nil"/>
              <w:bottom w:val="single" w:color="auto" w:sz="4" w:space="0"/>
              <w:right w:val="single" w:color="auto" w:sz="4" w:space="0"/>
            </w:tcBorders>
            <w:shd w:val="clear" w:color="000000" w:fill="FFFFFF"/>
            <w:vAlign w:val="center"/>
          </w:tcPr>
          <w:p w14:paraId="3B8E8FE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5" w:type="pct"/>
            <w:tcBorders>
              <w:top w:val="nil"/>
              <w:left w:val="nil"/>
              <w:bottom w:val="single" w:color="auto" w:sz="4" w:space="0"/>
              <w:right w:val="single" w:color="auto" w:sz="4" w:space="0"/>
            </w:tcBorders>
            <w:shd w:val="clear" w:color="000000" w:fill="FFFFFF"/>
            <w:vAlign w:val="center"/>
          </w:tcPr>
          <w:p w14:paraId="0AC86F3B">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05" w:type="pct"/>
            <w:tcBorders>
              <w:top w:val="nil"/>
              <w:left w:val="nil"/>
              <w:bottom w:val="single" w:color="auto" w:sz="4" w:space="0"/>
              <w:right w:val="single" w:color="auto" w:sz="4" w:space="0"/>
            </w:tcBorders>
            <w:shd w:val="clear" w:color="000000" w:fill="FFFFFF"/>
            <w:vAlign w:val="center"/>
          </w:tcPr>
          <w:p w14:paraId="36B79E44">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70" w:type="pct"/>
            <w:tcBorders>
              <w:top w:val="nil"/>
              <w:left w:val="nil"/>
              <w:bottom w:val="single" w:color="auto" w:sz="4" w:space="0"/>
              <w:right w:val="single" w:color="auto" w:sz="4" w:space="0"/>
            </w:tcBorders>
            <w:shd w:val="clear" w:color="000000" w:fill="FFFFFF"/>
            <w:vAlign w:val="center"/>
          </w:tcPr>
          <w:p w14:paraId="4600EBE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2BDC783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48C5A10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000000" w:fill="FFFFFF"/>
            <w:vAlign w:val="center"/>
          </w:tcPr>
          <w:p w14:paraId="1888144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000000" w:fill="FFFFFF"/>
            <w:vAlign w:val="center"/>
          </w:tcPr>
          <w:p w14:paraId="1216456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78" w:type="pct"/>
            <w:gridSpan w:val="2"/>
            <w:tcBorders>
              <w:top w:val="single" w:color="auto" w:sz="4" w:space="0"/>
              <w:left w:val="nil"/>
              <w:bottom w:val="single" w:color="auto" w:sz="4" w:space="0"/>
              <w:right w:val="single" w:color="000000" w:sz="4" w:space="0"/>
            </w:tcBorders>
            <w:shd w:val="clear" w:color="000000" w:fill="FFFFFF"/>
            <w:vAlign w:val="center"/>
          </w:tcPr>
          <w:p w14:paraId="43067EA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5339825">
        <w:tblPrEx>
          <w:tblCellMar>
            <w:top w:w="0" w:type="dxa"/>
            <w:left w:w="108" w:type="dxa"/>
            <w:bottom w:w="0" w:type="dxa"/>
            <w:right w:w="108" w:type="dxa"/>
          </w:tblCellMar>
        </w:tblPrEx>
        <w:trPr>
          <w:trHeight w:val="285" w:hRule="atLeast"/>
        </w:trPr>
        <w:tc>
          <w:tcPr>
            <w:tcW w:w="2569" w:type="pct"/>
            <w:gridSpan w:val="11"/>
            <w:tcBorders>
              <w:top w:val="single" w:color="auto" w:sz="4" w:space="0"/>
              <w:left w:val="single" w:color="auto" w:sz="4" w:space="0"/>
              <w:bottom w:val="single" w:color="auto" w:sz="4" w:space="0"/>
              <w:right w:val="single" w:color="auto" w:sz="4" w:space="0"/>
            </w:tcBorders>
            <w:shd w:val="clear" w:color="000000" w:fill="FFFFFF"/>
            <w:noWrap/>
            <w:vAlign w:val="bottom"/>
          </w:tcPr>
          <w:p w14:paraId="0C82D19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总评价得分</w:t>
            </w:r>
          </w:p>
        </w:tc>
        <w:tc>
          <w:tcPr>
            <w:tcW w:w="2431" w:type="pct"/>
            <w:gridSpan w:val="7"/>
            <w:tcBorders>
              <w:top w:val="single" w:color="auto" w:sz="4" w:space="0"/>
              <w:left w:val="nil"/>
              <w:bottom w:val="single" w:color="auto" w:sz="4" w:space="0"/>
              <w:right w:val="single" w:color="000000" w:sz="4" w:space="0"/>
            </w:tcBorders>
            <w:shd w:val="clear" w:color="000000" w:fill="FFFFFF"/>
            <w:noWrap/>
            <w:vAlign w:val="bottom"/>
          </w:tcPr>
          <w:p w14:paraId="0F2CB8D3">
            <w:pPr>
              <w:widowControl/>
              <w:jc w:val="center"/>
              <w:rPr>
                <w:rFonts w:ascii="宋体" w:hAnsi="宋体" w:cs="宋体"/>
                <w:color w:val="000000"/>
                <w:kern w:val="0"/>
                <w:sz w:val="22"/>
                <w:szCs w:val="22"/>
              </w:rPr>
            </w:pPr>
            <w:r>
              <w:rPr>
                <w:rFonts w:hint="eastAsia" w:ascii="宋体" w:hAnsi="宋体" w:cs="宋体"/>
                <w:color w:val="000000"/>
                <w:kern w:val="0"/>
                <w:sz w:val="22"/>
                <w:szCs w:val="22"/>
              </w:rPr>
              <w:t>77.39</w:t>
            </w:r>
          </w:p>
        </w:tc>
      </w:tr>
    </w:tbl>
    <w:p w14:paraId="7EDC4CF8">
      <w:pPr>
        <w:autoSpaceDE w:val="0"/>
        <w:autoSpaceDN w:val="0"/>
        <w:adjustRightInd w:val="0"/>
        <w:spacing w:line="540" w:lineRule="exact"/>
        <w:ind w:left="1971" w:leftChars="250" w:hanging="1446" w:hangingChars="400"/>
        <w:jc w:val="left"/>
        <w:rPr>
          <w:rFonts w:ascii="仿宋_GB2312" w:eastAsia="仿宋_GB2312" w:cs="黑体"/>
          <w:b/>
          <w:sz w:val="36"/>
          <w:szCs w:val="36"/>
        </w:rPr>
      </w:pPr>
    </w:p>
    <w:p w14:paraId="24C4F57A">
      <w:pPr>
        <w:autoSpaceDE w:val="0"/>
        <w:autoSpaceDN w:val="0"/>
        <w:adjustRightInd w:val="0"/>
        <w:spacing w:line="540" w:lineRule="exact"/>
        <w:ind w:left="1971" w:leftChars="250" w:hanging="1446" w:hangingChars="400"/>
        <w:jc w:val="left"/>
        <w:rPr>
          <w:rFonts w:ascii="仿宋_GB2312" w:eastAsia="仿宋_GB2312" w:cs="黑体"/>
          <w:b/>
          <w:sz w:val="36"/>
          <w:szCs w:val="36"/>
        </w:rPr>
      </w:pPr>
    </w:p>
    <w:p w14:paraId="090387F9">
      <w:pPr>
        <w:spacing w:line="540" w:lineRule="exact"/>
        <w:ind w:firstLine="640" w:firstLineChars="200"/>
        <w:jc w:val="left"/>
        <w:rPr>
          <w:rFonts w:ascii="仿宋" w:hAnsi="仿宋" w:eastAsia="仿宋"/>
          <w:sz w:val="32"/>
          <w:szCs w:val="32"/>
        </w:rPr>
      </w:pPr>
    </w:p>
    <w:p w14:paraId="18B32042">
      <w:pPr>
        <w:spacing w:line="540" w:lineRule="exact"/>
        <w:ind w:firstLine="640" w:firstLineChars="200"/>
        <w:jc w:val="left"/>
        <w:rPr>
          <w:rFonts w:ascii="仿宋" w:hAnsi="仿宋" w:eastAsia="仿宋"/>
          <w:sz w:val="32"/>
          <w:szCs w:val="32"/>
        </w:rPr>
      </w:pPr>
    </w:p>
    <w:p w14:paraId="48803CE9">
      <w:pPr>
        <w:autoSpaceDE w:val="0"/>
        <w:autoSpaceDN w:val="0"/>
        <w:adjustRightInd w:val="0"/>
        <w:spacing w:line="540" w:lineRule="exact"/>
        <w:ind w:left="1971" w:leftChars="250" w:hanging="1446" w:hangingChars="400"/>
        <w:jc w:val="left"/>
        <w:rPr>
          <w:rFonts w:ascii="仿宋_GB2312" w:eastAsia="仿宋_GB2312" w:cs="黑体"/>
          <w:b/>
          <w:sz w:val="36"/>
          <w:szCs w:val="36"/>
        </w:rPr>
      </w:pPr>
    </w:p>
    <w:sectPr>
      <w:footerReference r:id="rId5"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E2D05">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13</w:t>
    </w:r>
    <w:r>
      <w:fldChar w:fldCharType="end"/>
    </w:r>
  </w:p>
  <w:p w14:paraId="30FFDC7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E1C2">
    <w:pPr>
      <w:pStyle w:val="3"/>
      <w:framePr w:wrap="around" w:vAnchor="text" w:hAnchor="margin" w:xAlign="center" w:y="1"/>
      <w:rPr>
        <w:rStyle w:val="7"/>
      </w:rPr>
    </w:pPr>
    <w:r>
      <w:fldChar w:fldCharType="begin"/>
    </w:r>
    <w:r>
      <w:rPr>
        <w:rStyle w:val="7"/>
      </w:rPr>
      <w:instrText xml:space="preserve">PAGE  </w:instrText>
    </w:r>
    <w:r>
      <w:fldChar w:fldCharType="end"/>
    </w:r>
  </w:p>
  <w:p w14:paraId="4A863AE1">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F4577">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18</w:t>
    </w:r>
    <w:r>
      <w:fldChar w:fldCharType="end"/>
    </w:r>
  </w:p>
  <w:p w14:paraId="0D0641A6">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28DA9"/>
    <w:multiLevelType w:val="singleLevel"/>
    <w:tmpl w:val="D6228DA9"/>
    <w:lvl w:ilvl="0" w:tentative="0">
      <w:start w:val="2"/>
      <w:numFmt w:val="chineseCounting"/>
      <w:suff w:val="space"/>
      <w:lvlText w:val="第%1部分"/>
      <w:lvlJc w:val="left"/>
      <w:rPr>
        <w:rFonts w:hint="eastAsia"/>
      </w:r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Y5MTk2MzYzZTMxZDQwNzA4ZWZjOWY3YjZjZDg0MWUifQ=="/>
  </w:docVars>
  <w:rsids>
    <w:rsidRoot w:val="00BE62AD"/>
    <w:rsid w:val="00032E9E"/>
    <w:rsid w:val="00041540"/>
    <w:rsid w:val="00060115"/>
    <w:rsid w:val="000658A3"/>
    <w:rsid w:val="00072D02"/>
    <w:rsid w:val="000B3DEA"/>
    <w:rsid w:val="000B6122"/>
    <w:rsid w:val="000D0E89"/>
    <w:rsid w:val="000D22BA"/>
    <w:rsid w:val="000D240A"/>
    <w:rsid w:val="000D2D6D"/>
    <w:rsid w:val="000F765E"/>
    <w:rsid w:val="001032C2"/>
    <w:rsid w:val="00127166"/>
    <w:rsid w:val="00154EA5"/>
    <w:rsid w:val="00163B6F"/>
    <w:rsid w:val="001758D9"/>
    <w:rsid w:val="00180B70"/>
    <w:rsid w:val="00191DC1"/>
    <w:rsid w:val="00197AF9"/>
    <w:rsid w:val="001C1C90"/>
    <w:rsid w:val="001C1CA6"/>
    <w:rsid w:val="001C6024"/>
    <w:rsid w:val="001C6690"/>
    <w:rsid w:val="001D2A6F"/>
    <w:rsid w:val="001E08A3"/>
    <w:rsid w:val="001E7CEF"/>
    <w:rsid w:val="001F06E5"/>
    <w:rsid w:val="001F4827"/>
    <w:rsid w:val="001F4D56"/>
    <w:rsid w:val="00207D64"/>
    <w:rsid w:val="0022212D"/>
    <w:rsid w:val="00227656"/>
    <w:rsid w:val="002377E0"/>
    <w:rsid w:val="00247C3E"/>
    <w:rsid w:val="00282D77"/>
    <w:rsid w:val="00290AFF"/>
    <w:rsid w:val="002B55FD"/>
    <w:rsid w:val="002C4B1E"/>
    <w:rsid w:val="003203A0"/>
    <w:rsid w:val="003203C6"/>
    <w:rsid w:val="00321141"/>
    <w:rsid w:val="00323084"/>
    <w:rsid w:val="00323610"/>
    <w:rsid w:val="003240F6"/>
    <w:rsid w:val="00332D2F"/>
    <w:rsid w:val="00336596"/>
    <w:rsid w:val="00353F59"/>
    <w:rsid w:val="0035450D"/>
    <w:rsid w:val="00354967"/>
    <w:rsid w:val="00360D68"/>
    <w:rsid w:val="00367CAA"/>
    <w:rsid w:val="00387D22"/>
    <w:rsid w:val="0039358F"/>
    <w:rsid w:val="00393A92"/>
    <w:rsid w:val="003B6717"/>
    <w:rsid w:val="003D1122"/>
    <w:rsid w:val="003F6668"/>
    <w:rsid w:val="003F6BEE"/>
    <w:rsid w:val="004041E3"/>
    <w:rsid w:val="00411F62"/>
    <w:rsid w:val="00434F09"/>
    <w:rsid w:val="00437C71"/>
    <w:rsid w:val="00456D37"/>
    <w:rsid w:val="00460C62"/>
    <w:rsid w:val="004732D7"/>
    <w:rsid w:val="004A182A"/>
    <w:rsid w:val="004A23C9"/>
    <w:rsid w:val="004A7EFD"/>
    <w:rsid w:val="004B0299"/>
    <w:rsid w:val="004B3142"/>
    <w:rsid w:val="004D61EA"/>
    <w:rsid w:val="004F2A87"/>
    <w:rsid w:val="0050710B"/>
    <w:rsid w:val="005116A6"/>
    <w:rsid w:val="00524803"/>
    <w:rsid w:val="00534C2B"/>
    <w:rsid w:val="00564067"/>
    <w:rsid w:val="0057295F"/>
    <w:rsid w:val="00580004"/>
    <w:rsid w:val="005948B6"/>
    <w:rsid w:val="005C02AB"/>
    <w:rsid w:val="005D033B"/>
    <w:rsid w:val="005D57A0"/>
    <w:rsid w:val="00604DF5"/>
    <w:rsid w:val="00631CB0"/>
    <w:rsid w:val="00662644"/>
    <w:rsid w:val="006644B5"/>
    <w:rsid w:val="0066716F"/>
    <w:rsid w:val="00671A28"/>
    <w:rsid w:val="00674A64"/>
    <w:rsid w:val="00691121"/>
    <w:rsid w:val="006929EB"/>
    <w:rsid w:val="00697685"/>
    <w:rsid w:val="006A09C5"/>
    <w:rsid w:val="006A684B"/>
    <w:rsid w:val="006C40CE"/>
    <w:rsid w:val="006E587F"/>
    <w:rsid w:val="007121E9"/>
    <w:rsid w:val="00726A72"/>
    <w:rsid w:val="00733E6D"/>
    <w:rsid w:val="00750153"/>
    <w:rsid w:val="0075586B"/>
    <w:rsid w:val="00780DF3"/>
    <w:rsid w:val="007B04F4"/>
    <w:rsid w:val="007B6B61"/>
    <w:rsid w:val="007C52D7"/>
    <w:rsid w:val="007D2BBC"/>
    <w:rsid w:val="007D6F23"/>
    <w:rsid w:val="007E3A56"/>
    <w:rsid w:val="007F2DFA"/>
    <w:rsid w:val="007F4AF8"/>
    <w:rsid w:val="008137CD"/>
    <w:rsid w:val="00822085"/>
    <w:rsid w:val="00822199"/>
    <w:rsid w:val="008339AA"/>
    <w:rsid w:val="00864F46"/>
    <w:rsid w:val="00881DD9"/>
    <w:rsid w:val="00884AC9"/>
    <w:rsid w:val="0089145A"/>
    <w:rsid w:val="00894620"/>
    <w:rsid w:val="008B3CCB"/>
    <w:rsid w:val="008D1604"/>
    <w:rsid w:val="008F7276"/>
    <w:rsid w:val="00913A16"/>
    <w:rsid w:val="0095503C"/>
    <w:rsid w:val="00985733"/>
    <w:rsid w:val="009A5A55"/>
    <w:rsid w:val="009B4D1E"/>
    <w:rsid w:val="009B79E2"/>
    <w:rsid w:val="009C4811"/>
    <w:rsid w:val="009C703B"/>
    <w:rsid w:val="009E4E30"/>
    <w:rsid w:val="009E76BC"/>
    <w:rsid w:val="009F0A40"/>
    <w:rsid w:val="009F2380"/>
    <w:rsid w:val="00A0483E"/>
    <w:rsid w:val="00A7262F"/>
    <w:rsid w:val="00A80804"/>
    <w:rsid w:val="00AB4DD1"/>
    <w:rsid w:val="00AC6B16"/>
    <w:rsid w:val="00AF3E3D"/>
    <w:rsid w:val="00AF5725"/>
    <w:rsid w:val="00B13FB0"/>
    <w:rsid w:val="00B515A4"/>
    <w:rsid w:val="00B70A86"/>
    <w:rsid w:val="00B869C4"/>
    <w:rsid w:val="00BA1D62"/>
    <w:rsid w:val="00BB3AF8"/>
    <w:rsid w:val="00BD0675"/>
    <w:rsid w:val="00BD2181"/>
    <w:rsid w:val="00BD6E50"/>
    <w:rsid w:val="00BE4E88"/>
    <w:rsid w:val="00BE62AD"/>
    <w:rsid w:val="00BF04D3"/>
    <w:rsid w:val="00C0683D"/>
    <w:rsid w:val="00C102DC"/>
    <w:rsid w:val="00C169BD"/>
    <w:rsid w:val="00C23429"/>
    <w:rsid w:val="00C24AD8"/>
    <w:rsid w:val="00C30DAE"/>
    <w:rsid w:val="00C524CB"/>
    <w:rsid w:val="00C52BC7"/>
    <w:rsid w:val="00C63AF4"/>
    <w:rsid w:val="00C9510A"/>
    <w:rsid w:val="00CB5AB6"/>
    <w:rsid w:val="00CD5373"/>
    <w:rsid w:val="00CD6864"/>
    <w:rsid w:val="00CD6878"/>
    <w:rsid w:val="00CD6DCF"/>
    <w:rsid w:val="00CE6EE4"/>
    <w:rsid w:val="00CF12E5"/>
    <w:rsid w:val="00D02076"/>
    <w:rsid w:val="00D152C5"/>
    <w:rsid w:val="00D60970"/>
    <w:rsid w:val="00D67601"/>
    <w:rsid w:val="00D7682F"/>
    <w:rsid w:val="00D93016"/>
    <w:rsid w:val="00DB5F6B"/>
    <w:rsid w:val="00DC6895"/>
    <w:rsid w:val="00DE7312"/>
    <w:rsid w:val="00DE7633"/>
    <w:rsid w:val="00DF7B39"/>
    <w:rsid w:val="00E029F0"/>
    <w:rsid w:val="00E02DDB"/>
    <w:rsid w:val="00E20F61"/>
    <w:rsid w:val="00E30744"/>
    <w:rsid w:val="00E36863"/>
    <w:rsid w:val="00E51358"/>
    <w:rsid w:val="00E632F0"/>
    <w:rsid w:val="00E93FAF"/>
    <w:rsid w:val="00EA177D"/>
    <w:rsid w:val="00EE1982"/>
    <w:rsid w:val="00F12957"/>
    <w:rsid w:val="00F130D6"/>
    <w:rsid w:val="00F14907"/>
    <w:rsid w:val="00F2234A"/>
    <w:rsid w:val="00F24450"/>
    <w:rsid w:val="00F43A56"/>
    <w:rsid w:val="00F54C5F"/>
    <w:rsid w:val="00F622B4"/>
    <w:rsid w:val="00F65298"/>
    <w:rsid w:val="00F67195"/>
    <w:rsid w:val="00F72460"/>
    <w:rsid w:val="00F77836"/>
    <w:rsid w:val="00F932BE"/>
    <w:rsid w:val="00FB5F7B"/>
    <w:rsid w:val="00FE3E9D"/>
    <w:rsid w:val="00FF48EB"/>
    <w:rsid w:val="02C75003"/>
    <w:rsid w:val="066C23CB"/>
    <w:rsid w:val="07407016"/>
    <w:rsid w:val="088A3942"/>
    <w:rsid w:val="096C2C1D"/>
    <w:rsid w:val="096F3472"/>
    <w:rsid w:val="0BA20273"/>
    <w:rsid w:val="0DB57A75"/>
    <w:rsid w:val="0F937648"/>
    <w:rsid w:val="11CE7718"/>
    <w:rsid w:val="11F149FF"/>
    <w:rsid w:val="12AC17DA"/>
    <w:rsid w:val="13F064CE"/>
    <w:rsid w:val="14780A91"/>
    <w:rsid w:val="15A915E6"/>
    <w:rsid w:val="17F90BDE"/>
    <w:rsid w:val="19FA6C9B"/>
    <w:rsid w:val="1B041CDE"/>
    <w:rsid w:val="1CEB449F"/>
    <w:rsid w:val="1D825E0F"/>
    <w:rsid w:val="1DEF0A8E"/>
    <w:rsid w:val="21774F32"/>
    <w:rsid w:val="24605429"/>
    <w:rsid w:val="24E52DB0"/>
    <w:rsid w:val="252952BA"/>
    <w:rsid w:val="25F724B7"/>
    <w:rsid w:val="27876F3B"/>
    <w:rsid w:val="2A2930B1"/>
    <w:rsid w:val="2B765885"/>
    <w:rsid w:val="2F975391"/>
    <w:rsid w:val="31C821FE"/>
    <w:rsid w:val="3486733E"/>
    <w:rsid w:val="359D3694"/>
    <w:rsid w:val="36470779"/>
    <w:rsid w:val="38287260"/>
    <w:rsid w:val="395F040F"/>
    <w:rsid w:val="3D6A74B5"/>
    <w:rsid w:val="418412E2"/>
    <w:rsid w:val="41C03018"/>
    <w:rsid w:val="43397CB0"/>
    <w:rsid w:val="44985ED4"/>
    <w:rsid w:val="4ACF5564"/>
    <w:rsid w:val="4B8F3D00"/>
    <w:rsid w:val="4CD51494"/>
    <w:rsid w:val="4D6E1B30"/>
    <w:rsid w:val="4F041B97"/>
    <w:rsid w:val="4F071FD7"/>
    <w:rsid w:val="4FDB754F"/>
    <w:rsid w:val="51813663"/>
    <w:rsid w:val="54515AA1"/>
    <w:rsid w:val="55505A3F"/>
    <w:rsid w:val="5AB0711C"/>
    <w:rsid w:val="5C711389"/>
    <w:rsid w:val="5CD53C3A"/>
    <w:rsid w:val="5F061713"/>
    <w:rsid w:val="6032320B"/>
    <w:rsid w:val="61AF2525"/>
    <w:rsid w:val="61E079D7"/>
    <w:rsid w:val="621D774B"/>
    <w:rsid w:val="63644522"/>
    <w:rsid w:val="66A01205"/>
    <w:rsid w:val="68332603"/>
    <w:rsid w:val="698C40C1"/>
    <w:rsid w:val="6BBC13E5"/>
    <w:rsid w:val="6D0D0F9D"/>
    <w:rsid w:val="6F297F8F"/>
    <w:rsid w:val="70E31A8F"/>
    <w:rsid w:val="730E7DB0"/>
    <w:rsid w:val="75A81F82"/>
    <w:rsid w:val="789917D0"/>
    <w:rsid w:val="7C675B94"/>
    <w:rsid w:val="7CDA7356"/>
    <w:rsid w:val="7D742106"/>
    <w:rsid w:val="7F966E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2D289F-8D62-4A43-9ED6-D272934D5C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9168</Words>
  <Characters>2018</Characters>
  <Lines>16</Lines>
  <Paragraphs>22</Paragraphs>
  <TotalTime>0</TotalTime>
  <ScaleCrop>false</ScaleCrop>
  <LinksUpToDate>false</LinksUpToDate>
  <CharactersWithSpaces>11164</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2023-09-03T06:16:00Z</dcterms:created>
  <dc:creator>lenovo</dc:creator>
  <cp:lastModifiedBy>CZJ-H</cp:lastModifiedBy>
  <cp:lastPrinted>2023-09-03T04:04:00Z</cp:lastPrinted>
  <dcterms:modified xsi:type="dcterms:W3CDTF">2025-04-09T07:41:10Z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42CD7AB28EE64F68BA725611E7B29D63</vt:lpwstr>
  </property>
</Properties>
</file>