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eastAsia="宋体"/>
          <w:b/>
          <w:sz w:val="52"/>
          <w:szCs w:val="52"/>
          <w:lang w:eastAsia="zh-CN"/>
        </w:rPr>
      </w:pPr>
      <w:r>
        <w:rPr>
          <w:rFonts w:hint="eastAsia" w:ascii="宋体" w:hAnsi="宋体"/>
          <w:b/>
          <w:sz w:val="52"/>
          <w:szCs w:val="52"/>
          <w:lang w:val="en-US" w:eastAsia="zh-CN"/>
        </w:rPr>
        <w:t>盘山县统计局</w:t>
      </w:r>
      <w:r>
        <w:rPr>
          <w:rFonts w:hint="eastAsia" w:ascii="宋体" w:hAnsi="宋体"/>
          <w:b/>
          <w:sz w:val="52"/>
          <w:szCs w:val="52"/>
          <w:lang w:eastAsia="zh-CN"/>
        </w:rPr>
        <w:t>2022</w:t>
      </w:r>
      <w:r>
        <w:rPr>
          <w:rFonts w:hint="eastAsia" w:ascii="宋体" w:hAnsi="宋体"/>
          <w:b/>
          <w:sz w:val="52"/>
          <w:szCs w:val="52"/>
        </w:rPr>
        <w:t>年度部门决算</w:t>
      </w:r>
      <w:r>
        <w:rPr>
          <w:rFonts w:hint="eastAsia" w:ascii="宋体" w:hAnsi="宋体"/>
          <w:b/>
          <w:sz w:val="52"/>
          <w:szCs w:val="52"/>
          <w:lang w:eastAsia="zh-CN"/>
        </w:rPr>
        <w:t>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盘山县统计局</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盘山县统计局2022</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盘山县统计局2022</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盘山县统计局部门</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部门主要职责：</w:t>
      </w:r>
    </w:p>
    <w:p>
      <w:pPr>
        <w:spacing w:line="540" w:lineRule="exact"/>
        <w:ind w:firstLine="640" w:firstLineChars="200"/>
        <w:jc w:val="left"/>
        <w:rPr>
          <w:rFonts w:eastAsia="Times New Roman"/>
          <w:sz w:val="32"/>
          <w:szCs w:val="32"/>
        </w:rPr>
      </w:pPr>
      <w:r>
        <w:rPr>
          <w:rFonts w:hint="eastAsia" w:ascii="仿宋_GB2312" w:hAnsi="宋体" w:eastAsia="仿宋_GB2312"/>
          <w:kern w:val="0"/>
          <w:sz w:val="32"/>
          <w:szCs w:val="32"/>
        </w:rPr>
        <w:t>盘山县统计局主要</w:t>
      </w:r>
      <w:r>
        <w:rPr>
          <w:rFonts w:hint="eastAsia" w:ascii="仿宋_GB2312" w:hAnsi="宋体" w:eastAsia="仿宋_GB2312"/>
          <w:color w:val="000000"/>
          <w:kern w:val="0"/>
          <w:sz w:val="32"/>
          <w:szCs w:val="32"/>
        </w:rPr>
        <w:t>贯彻执行国家、省、市的基本统计制度、统计标准和统计指标体系，承担组织领导和协调全县统计工作，确保统计数据真实、准确、及时。对全县统计方面进行报表指导和执法检查。对全县各项经济指标进行统计，汇编《盘山县国民经济统计资料》等。</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承担组织领导和协调全县统计工作、确保统计数据真实准确的责任，贯彻执行国家基本统计制度、统计标准，建立完善新经济统计调查制度，制定统计政策、规划，依法开展统计执法检查，查处统计违法行为，加强统计系统诚信体系建设。</w:t>
      </w:r>
    </w:p>
    <w:p>
      <w:pPr>
        <w:adjustRightInd w:val="0"/>
        <w:snapToGrid w:val="0"/>
        <w:spacing w:line="322" w:lineRule="auto"/>
        <w:ind w:firstLine="640" w:firstLineChars="200"/>
        <w:rPr>
          <w:rFonts w:ascii="仿宋_GB2312" w:hAnsi="仿宋_GB2312" w:eastAsia="仿宋_GB2312" w:cs="仿宋_GB2312"/>
          <w:sz w:val="34"/>
          <w:szCs w:val="34"/>
        </w:rPr>
      </w:pPr>
      <w:r>
        <w:rPr>
          <w:rFonts w:hint="eastAsia" w:ascii="仿宋_GB2312" w:hAnsi="仿宋_GB2312" w:eastAsia="仿宋_GB2312" w:cs="仿宋_GB2312"/>
          <w:sz w:val="32"/>
          <w:szCs w:val="32"/>
        </w:rPr>
        <w:t>（二）建立健全全县国民经济核算体系，组织实施全县国民经济核算制度和全县投入产出调查制度，核算全县生产总值，汇编提供国民经济核算资料，监督、管理和指导全县国民经济核算工作，检查评估全县各地区国民经济核算数据</w:t>
      </w:r>
      <w:r>
        <w:rPr>
          <w:rFonts w:hint="eastAsia" w:ascii="仿宋_GB2312" w:hAnsi="仿宋_GB2312" w:eastAsia="仿宋_GB2312" w:cs="仿宋_GB2312"/>
          <w:sz w:val="34"/>
          <w:szCs w:val="34"/>
        </w:rPr>
        <w:t>质量。</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（三）组织实施全县人口、经济、农业等国情国力普查和重大专项调查，收集、汇总、整理和提供有关国情国力、县情县力方面的统计数据。</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组织实施国民经济和社会发展各行业统计调查，收集、汇总、整理和提供有关调查的统计数据，综合整理和提供地质勘查、旅游、交通运输、邮政、教育、卫生、社会保障、公用事业等全县性基本统计数据。</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实施能源、投资、消费、科技、人口、劳动力、社会发展基本情况、环境基本状况、新经济情况等统计调查，收集、汇总、整理和提供有关统计数据，综合整理和提供资源、房屋、对外贸易、对外经济等全县性基本统计数据，统一核定、管理、公布全县性基本统计资料，定期发布全县国民经济和社会发展情况的统计信息，对全县国民经济、社会发展、科技进步和资源环境情况进行统计分析、统计监测和统计监督，向县委、县政府及有关部门提供统计信息和咨询建议。</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（六）管理全县各地区、各部门的统计调查项目，监督检查统计制度、统计标准的贯彻执行情况，建立健全统计数据质量审核、监控和评估制度并组织实施，组织和协调全县基层统计业务基础建设。</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（七）加强对镇（街）、园区统计人员协调管理，指导全县统计专业人才队伍建设，不定期开展教育培训和业务指导。</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建立并管理全县统计数据库系统，制定全县统计信息化建设规划并组织实施，建立统计信息系统运行规则及管理制度，负责全县统计信息系统的运行维护及信息安全，指导大数据在全县统计工作中的运用。负责统计经费相关监督管理工作。</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（九）收集和整理县外统计数据，组织实施县际间统计资料交换和统计交流合作项目。</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（十）完成县委、县政府交办的其他任务。</w:t>
      </w:r>
    </w:p>
    <w:p>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机构设置：</w:t>
      </w:r>
    </w:p>
    <w:p>
      <w:pPr>
        <w:autoSpaceDE w:val="0"/>
        <w:autoSpaceDN w:val="0"/>
        <w:adjustRightInd w:val="0"/>
        <w:spacing w:line="54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盘山县统计局一个部室：</w:t>
      </w:r>
    </w:p>
    <w:p>
      <w:pPr>
        <w:adjustRightInd w:val="0"/>
        <w:snapToGrid w:val="0"/>
        <w:spacing w:line="322" w:lineRule="auto"/>
        <w:ind w:firstLine="640" w:firstLineChars="200"/>
        <w:rPr>
          <w:rFonts w:ascii="仿宋_GB2312" w:hAnsi="仿宋_GB2312" w:eastAsia="仿宋_GB2312" w:cs="仿宋_GB2312"/>
          <w:sz w:val="32"/>
          <w:szCs w:val="32"/>
        </w:rPr>
      </w:pPr>
      <w:r>
        <w:rPr>
          <w:rFonts w:hint="eastAsia" w:ascii="仿宋_GB2312" w:eastAsia="仿宋_GB2312" w:cs="仿宋_GB2312"/>
          <w:sz w:val="32"/>
          <w:szCs w:val="32"/>
        </w:rPr>
        <w:t>内设四个股室：1、</w:t>
      </w:r>
      <w:r>
        <w:rPr>
          <w:rFonts w:hint="eastAsia" w:ascii="仿宋_GB2312" w:hAnsi="仿宋_GB2312" w:eastAsia="仿宋_GB2312" w:cs="仿宋_GB2312"/>
          <w:sz w:val="32"/>
          <w:szCs w:val="32"/>
        </w:rPr>
        <w:t>综合办公室2、执法监督股3、综合统计一股4、综合统计二股</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_GB2312" w:eastAsia="仿宋_GB2312"/>
          <w:b w:val="0"/>
          <w:bCs/>
          <w:sz w:val="32"/>
          <w:szCs w:val="32"/>
          <w:lang w:eastAsia="zh-CN"/>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盘锦市盘山县统计局2022</w:t>
      </w:r>
      <w:r>
        <w:rPr>
          <w:rFonts w:hint="eastAsia" w:ascii="仿宋_GB2312" w:eastAsia="仿宋_GB2312"/>
          <w:b w:val="0"/>
          <w:bCs/>
          <w:sz w:val="32"/>
          <w:szCs w:val="32"/>
        </w:rPr>
        <w:t>年部门决算编制范围</w:t>
      </w:r>
      <w:r>
        <w:rPr>
          <w:rFonts w:hint="eastAsia" w:ascii="仿宋_GB2312" w:eastAsia="仿宋_GB2312"/>
          <w:b w:val="0"/>
          <w:bCs/>
          <w:sz w:val="32"/>
          <w:szCs w:val="32"/>
          <w:lang w:eastAsia="zh-CN"/>
        </w:rPr>
        <w:t>为</w:t>
      </w:r>
    </w:p>
    <w:p>
      <w:pPr>
        <w:spacing w:line="540" w:lineRule="exact"/>
        <w:ind w:firstLine="640" w:firstLineChars="200"/>
        <w:jc w:val="left"/>
        <w:rPr>
          <w:rFonts w:hint="eastAsia" w:ascii="仿宋_GB2312" w:eastAsia="仿宋_GB2312"/>
          <w:b w:val="0"/>
          <w:bCs/>
          <w:sz w:val="32"/>
          <w:szCs w:val="32"/>
          <w:lang w:eastAsia="zh-CN"/>
        </w:rPr>
      </w:pPr>
      <w:r>
        <w:rPr>
          <w:rFonts w:hint="eastAsia" w:ascii="仿宋_GB2312" w:eastAsia="仿宋_GB2312"/>
          <w:b w:val="0"/>
          <w:bCs/>
          <w:sz w:val="32"/>
          <w:szCs w:val="32"/>
          <w:lang w:eastAsia="zh-CN"/>
        </w:rPr>
        <w:t>盘锦市盘山县统计局一户。</w:t>
      </w:r>
    </w:p>
    <w:p>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盘山县统计局2022</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170.87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170.87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170.87</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172.22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50.20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项目减少</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170.87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162.67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95.20</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145.25</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4.91</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11.73</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0.79</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8.20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4.80</w:t>
      </w:r>
      <w:r>
        <w:rPr>
          <w:rFonts w:hint="eastAsia" w:ascii="仿宋_GB2312" w:hAnsi="宋体" w:eastAsia="仿宋_GB2312"/>
          <w:sz w:val="32"/>
          <w:szCs w:val="32"/>
        </w:rPr>
        <w:t>%。主要包括统计年鉴经费</w:t>
      </w:r>
      <w:r>
        <w:rPr>
          <w:rFonts w:hint="eastAsia" w:ascii="仿宋_GB2312" w:hAnsi="宋体" w:eastAsia="仿宋_GB2312"/>
          <w:sz w:val="32"/>
          <w:szCs w:val="32"/>
          <w:lang w:eastAsia="zh-CN"/>
        </w:rPr>
        <w:t>、统计公报、月报、定期报表、企业一套表</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172.22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50.20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项目减少</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0</w:t>
      </w:r>
      <w:r>
        <w:rPr>
          <w:rFonts w:hint="eastAsia" w:ascii="仿宋_GB2312" w:hAnsi="宋体" w:eastAsia="仿宋_GB2312"/>
          <w:sz w:val="32"/>
          <w:szCs w:val="32"/>
        </w:rPr>
        <w:t>与上年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170.87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162.67</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8.20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172.22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50.20</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项目减少</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117.39</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124.59</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54.67</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170.87</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137.45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80.44</w:t>
      </w:r>
      <w:r>
        <w:rPr>
          <w:rFonts w:ascii="仿宋_GB2312" w:hAnsi="宋体" w:eastAsia="仿宋_GB2312"/>
          <w:sz w:val="32"/>
          <w:szCs w:val="32"/>
        </w:rPr>
        <w:t>%</w:t>
      </w:r>
      <w:r>
        <w:rPr>
          <w:rFonts w:hint="eastAsia" w:ascii="仿宋_GB2312" w:hAnsi="宋体" w:eastAsia="仿宋_GB2312"/>
          <w:sz w:val="32"/>
          <w:szCs w:val="32"/>
        </w:rPr>
        <w:t>；教育支出</w:t>
      </w:r>
      <w:r>
        <w:rPr>
          <w:rFonts w:hint="eastAsia" w:ascii="仿宋_GB2312" w:hAnsi="宋体" w:eastAsia="仿宋_GB2312"/>
          <w:sz w:val="32"/>
          <w:szCs w:val="32"/>
          <w:lang w:val="en-US" w:eastAsia="zh-CN"/>
        </w:rPr>
        <w:t>0.15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0.09</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18.49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10.82</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5.24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3.07</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9.54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5.58</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137.45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类）统计信息事务（款）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项）129.25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133.29</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类）统计信息事务（款）一般行政管理事务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项）8.20</w:t>
      </w:r>
      <w:r>
        <w:rPr>
          <w:rFonts w:hint="eastAsia" w:ascii="仿宋_GB2312" w:hAnsi="宋体" w:eastAsia="仿宋_GB2312"/>
          <w:sz w:val="32"/>
          <w:szCs w:val="32"/>
        </w:rPr>
        <w:t>万元，主要是统计年鉴经费</w:t>
      </w:r>
      <w:r>
        <w:rPr>
          <w:rFonts w:hint="eastAsia" w:ascii="仿宋_GB2312" w:hAnsi="宋体" w:eastAsia="仿宋_GB2312"/>
          <w:sz w:val="32"/>
          <w:szCs w:val="32"/>
          <w:lang w:eastAsia="zh-CN"/>
        </w:rPr>
        <w:t>、统计公报、月报、定期报表、企业一套表</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54.67</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项目支出减少</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val="en-US" w:eastAsia="zh-CN"/>
        </w:rPr>
        <w:t>0.15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类）进修及培训（款）干部教育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项）0.15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18.49</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类）行政事业单位养老支出（款）行政单位离退休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项）4.91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88.63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项）13.58</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110.41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5.24</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项）5.24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92.74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9.54</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项）9.54</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94.46</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 w:hAnsi="仿宋" w:eastAsia="仿宋"/>
          <w:sz w:val="32"/>
          <w:szCs w:val="32"/>
        </w:rPr>
        <w:t>本部门20</w:t>
      </w:r>
      <w:r>
        <w:rPr>
          <w:rFonts w:hint="eastAsia" w:ascii="仿宋" w:hAnsi="仿宋" w:eastAsia="仿宋"/>
          <w:sz w:val="32"/>
          <w:szCs w:val="32"/>
          <w:lang w:val="en-US" w:eastAsia="zh-CN"/>
        </w:rPr>
        <w:t>22</w:t>
      </w:r>
      <w:r>
        <w:rPr>
          <w:rFonts w:hint="eastAsia" w:ascii="仿宋" w:hAnsi="仿宋" w:eastAsia="仿宋"/>
          <w:sz w:val="32"/>
          <w:szCs w:val="32"/>
        </w:rPr>
        <w:t>年度无政府性基金预算财政拨款支出，无此类资金收支。</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 w:hAnsi="仿宋" w:eastAsia="仿宋"/>
          <w:sz w:val="32"/>
          <w:szCs w:val="32"/>
        </w:rPr>
        <w:t>本部门202</w:t>
      </w:r>
      <w:r>
        <w:rPr>
          <w:rFonts w:hint="eastAsia" w:ascii="仿宋" w:hAnsi="仿宋" w:eastAsia="仿宋"/>
          <w:sz w:val="32"/>
          <w:szCs w:val="32"/>
          <w:lang w:val="en-US" w:eastAsia="zh-CN"/>
        </w:rPr>
        <w:t>2</w:t>
      </w:r>
      <w:r>
        <w:rPr>
          <w:rFonts w:hint="eastAsia" w:ascii="仿宋" w:hAnsi="仿宋" w:eastAsia="仿宋"/>
          <w:sz w:val="32"/>
          <w:szCs w:val="32"/>
        </w:rPr>
        <w:t>年度无国有资本经营预算财政拨款支出，无此类资金收支</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162.67</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150.15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12.52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2022年机关运行经费支出</w:t>
      </w:r>
      <w:r>
        <w:rPr>
          <w:rFonts w:hint="eastAsia" w:ascii="仿宋_GB2312" w:hAnsi="黑体" w:eastAsia="仿宋_GB2312"/>
          <w:sz w:val="32"/>
          <w:szCs w:val="32"/>
          <w:lang w:val="en-US" w:eastAsia="zh-CN"/>
        </w:rPr>
        <w:t>12.52</w:t>
      </w:r>
      <w:r>
        <w:rPr>
          <w:rFonts w:hint="eastAsia" w:ascii="仿宋_GB2312" w:hAnsi="黑体" w:eastAsia="仿宋_GB2312"/>
          <w:sz w:val="32"/>
          <w:szCs w:val="32"/>
          <w:lang w:eastAsia="zh-CN"/>
        </w:rPr>
        <w:t>万元（与部门决算中行政单位和参照公务员法管理事业单位财政拨款基本支出中公用经费之和一致），</w:t>
      </w:r>
      <w:r>
        <w:rPr>
          <w:rFonts w:hint="eastAsia" w:ascii="仿宋_GB2312" w:hAnsi="黑体" w:eastAsia="仿宋_GB2312"/>
          <w:sz w:val="32"/>
          <w:szCs w:val="32"/>
        </w:rPr>
        <w:t>比上年减少</w:t>
      </w:r>
      <w:r>
        <w:rPr>
          <w:rFonts w:hint="eastAsia" w:ascii="仿宋_GB2312" w:hAnsi="黑体" w:eastAsia="仿宋_GB2312"/>
          <w:sz w:val="32"/>
          <w:szCs w:val="32"/>
          <w:lang w:val="en-US" w:eastAsia="zh-CN"/>
        </w:rPr>
        <w:t>2.31</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15.58</w:t>
      </w:r>
      <w:r>
        <w:rPr>
          <w:rFonts w:hint="eastAsia" w:ascii="仿宋_GB2312" w:hAnsi="黑体" w:eastAsia="仿宋_GB2312"/>
          <w:sz w:val="32"/>
          <w:szCs w:val="32"/>
        </w:rPr>
        <w:t>%，主要原因是</w:t>
      </w:r>
      <w:r>
        <w:rPr>
          <w:rFonts w:hint="eastAsia" w:ascii="仿宋_GB2312" w:hAnsi="宋体" w:eastAsia="仿宋_GB2312"/>
          <w:sz w:val="32"/>
          <w:szCs w:val="32"/>
        </w:rPr>
        <w:t>严格</w:t>
      </w:r>
      <w:r>
        <w:rPr>
          <w:rFonts w:hint="eastAsia" w:ascii="仿宋_GB2312" w:hAnsi="宋体" w:eastAsia="仿宋_GB2312"/>
          <w:sz w:val="32"/>
          <w:szCs w:val="32"/>
          <w:lang w:val="en-US" w:eastAsia="zh-CN"/>
        </w:rPr>
        <w:t>控制日常公用</w:t>
      </w:r>
      <w:r>
        <w:rPr>
          <w:rFonts w:hint="eastAsia" w:ascii="仿宋_GB2312" w:hAnsi="宋体" w:eastAsia="仿宋_GB2312"/>
          <w:sz w:val="32"/>
          <w:szCs w:val="32"/>
        </w:rPr>
        <w:t>经费</w:t>
      </w:r>
      <w:r>
        <w:rPr>
          <w:rFonts w:hint="eastAsia" w:ascii="仿宋_GB2312" w:hAnsi="宋体" w:eastAsia="仿宋_GB2312"/>
          <w:sz w:val="32"/>
          <w:szCs w:val="32"/>
          <w:lang w:val="en-US" w:eastAsia="zh-CN"/>
        </w:rPr>
        <w:t>支出</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145.56</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89.37</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本部门未</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widowControl/>
        <w:numPr>
          <w:ilvl w:val="0"/>
          <w:numId w:val="2"/>
        </w:numPr>
        <w:spacing w:line="520" w:lineRule="exact"/>
        <w:ind w:firstLine="643" w:firstLineChars="200"/>
        <w:jc w:val="left"/>
        <w:rPr>
          <w:rFonts w:hint="eastAsia" w:ascii="Times New Roman"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en-AU"/>
        </w:rPr>
        <w:t>部门评价结果。</w:t>
      </w:r>
    </w:p>
    <w:p>
      <w:pPr>
        <w:widowControl/>
        <w:numPr>
          <w:ilvl w:val="0"/>
          <w:numId w:val="0"/>
        </w:numPr>
        <w:spacing w:line="520" w:lineRule="exact"/>
        <w:ind w:firstLine="640" w:firstLineChars="200"/>
        <w:jc w:val="left"/>
        <w:rPr>
          <w:rFonts w:hint="eastAsia" w:ascii="Times New Roman" w:hAnsi="宋体" w:eastAsia="仿宋_GB2312" w:cs="仿宋_GB2312"/>
          <w:color w:val="auto"/>
          <w:kern w:val="2"/>
          <w:sz w:val="32"/>
          <w:szCs w:val="32"/>
          <w:highlight w:val="none"/>
          <w:shd w:val="clear" w:color="auto" w:fill="auto"/>
          <w:lang w:val="en-US" w:eastAsia="zh-CN" w:bidi="ar"/>
        </w:rPr>
      </w:pPr>
      <w:r>
        <w:rPr>
          <w:rFonts w:hint="eastAsia" w:ascii="Times New Roman" w:hAnsi="宋体" w:eastAsia="仿宋_GB2312" w:cs="仿宋_GB2312"/>
          <w:color w:val="auto"/>
          <w:kern w:val="2"/>
          <w:sz w:val="32"/>
          <w:szCs w:val="32"/>
          <w:highlight w:val="none"/>
          <w:shd w:val="clear" w:color="auto" w:fill="auto"/>
          <w:lang w:val="en-US" w:eastAsia="zh-CN" w:bidi="ar"/>
        </w:rPr>
        <w:t>本单位整体运行良好，通过开展部门整体绩效自评</w:t>
      </w:r>
      <w:r>
        <w:rPr>
          <w:rFonts w:hint="eastAsia" w:hAnsi="宋体" w:eastAsia="仿宋_GB2312" w:cs="仿宋_GB2312"/>
          <w:color w:val="auto"/>
          <w:kern w:val="2"/>
          <w:sz w:val="32"/>
          <w:szCs w:val="32"/>
          <w:highlight w:val="none"/>
          <w:shd w:val="clear" w:color="auto" w:fill="auto"/>
          <w:lang w:val="en-US" w:eastAsia="zh-CN" w:bidi="ar"/>
        </w:rPr>
        <w:t>，在</w:t>
      </w:r>
      <w:r>
        <w:rPr>
          <w:rFonts w:hint="eastAsia" w:ascii="仿宋_GB2312" w:hAnsi="宋体" w:eastAsia="仿宋_GB2312"/>
          <w:color w:val="000000"/>
          <w:kern w:val="0"/>
          <w:sz w:val="32"/>
          <w:szCs w:val="32"/>
        </w:rPr>
        <w:t>统计工作</w:t>
      </w:r>
      <w:r>
        <w:rPr>
          <w:rFonts w:hint="eastAsia" w:ascii="仿宋_GB2312" w:hAnsi="宋体" w:eastAsia="仿宋_GB2312"/>
          <w:color w:val="000000"/>
          <w:kern w:val="0"/>
          <w:sz w:val="32"/>
          <w:szCs w:val="32"/>
          <w:lang w:eastAsia="zh-CN"/>
        </w:rPr>
        <w:t>上</w:t>
      </w:r>
      <w:r>
        <w:rPr>
          <w:rFonts w:hint="eastAsia" w:ascii="仿宋_GB2312" w:hAnsi="宋体" w:eastAsia="仿宋_GB2312"/>
          <w:color w:val="000000"/>
          <w:kern w:val="0"/>
          <w:sz w:val="32"/>
          <w:szCs w:val="32"/>
        </w:rPr>
        <w:t>，确保统计数据真实、准确、及时。对全县统计方面进行报表指导和执法检查。对全县各项经济指标进行统计</w:t>
      </w:r>
      <w:r>
        <w:rPr>
          <w:rFonts w:hint="eastAsia" w:ascii="Times New Roman" w:hAnsi="宋体" w:eastAsia="仿宋_GB2312" w:cs="仿宋_GB2312"/>
          <w:color w:val="auto"/>
          <w:kern w:val="2"/>
          <w:sz w:val="32"/>
          <w:szCs w:val="32"/>
          <w:highlight w:val="none"/>
          <w:shd w:val="clear" w:color="auto" w:fill="auto"/>
          <w:lang w:val="en-US" w:eastAsia="zh-CN" w:bidi="ar"/>
        </w:rPr>
        <w:t>业务等方面工作成效都有所提高。通过开展部门整体绩效评价</w:t>
      </w:r>
      <w:r>
        <w:rPr>
          <w:rFonts w:hint="eastAsia" w:hAnsi="宋体" w:eastAsia="仿宋_GB2312" w:cs="仿宋_GB2312"/>
          <w:color w:val="auto"/>
          <w:kern w:val="2"/>
          <w:sz w:val="32"/>
          <w:szCs w:val="32"/>
          <w:highlight w:val="none"/>
          <w:shd w:val="clear" w:color="auto" w:fill="auto"/>
          <w:lang w:val="en-US" w:eastAsia="zh-CN" w:bidi="ar"/>
        </w:rPr>
        <w:t>发现主要存在以下问</w:t>
      </w:r>
      <w:r>
        <w:rPr>
          <w:rFonts w:hint="eastAsia" w:ascii="Times New Roman" w:hAnsi="宋体" w:eastAsia="仿宋_GB2312" w:cs="仿宋_GB2312"/>
          <w:color w:val="auto"/>
          <w:kern w:val="2"/>
          <w:sz w:val="32"/>
          <w:szCs w:val="32"/>
          <w:highlight w:val="none"/>
          <w:shd w:val="clear" w:color="auto" w:fill="auto"/>
          <w:lang w:val="en-US" w:eastAsia="zh-CN" w:bidi="ar"/>
        </w:rPr>
        <w:t>题：预算项目支出绩效管理工作制度还不够完善，操作性不强。改进措施：进一步完善绩效管理工作制度和方法。合理合规使用财政资金。</w:t>
      </w:r>
    </w:p>
    <w:p>
      <w:pPr>
        <w:widowControl/>
        <w:spacing w:line="520" w:lineRule="exact"/>
        <w:ind w:firstLine="643" w:firstLineChars="200"/>
        <w:jc w:val="left"/>
        <w:rPr>
          <w:sz w:val="32"/>
          <w:szCs w:val="32"/>
        </w:rPr>
      </w:pPr>
      <w:r>
        <w:rPr>
          <w:rFonts w:hint="eastAsia" w:ascii="仿宋_GB2312" w:hAnsi="宋体" w:eastAsia="仿宋_GB2312" w:cs="仿宋_GB2312"/>
          <w:b/>
          <w:bCs/>
          <w:sz w:val="32"/>
          <w:szCs w:val="32"/>
          <w:lang w:bidi="ar"/>
        </w:rPr>
        <w:t>4.财政评价结果。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Times New Roman" w:hAnsi="宋体" w:eastAsia="仿宋_GB2312" w:cs="仿宋_GB2312"/>
          <w:color w:val="auto"/>
          <w:kern w:val="2"/>
          <w:sz w:val="32"/>
          <w:szCs w:val="32"/>
          <w:highlight w:val="none"/>
          <w:shd w:val="clear" w:color="auto" w:fill="auto"/>
          <w:lang w:val="en-US" w:eastAsia="zh-CN" w:bidi="ar"/>
        </w:rPr>
        <w:t>加强资金管理，提高资金使用效率。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.一般公共服务支出（类）统计信息事务（款）行政运行（项）：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.一般公共服务支出（类）统计信息事务（款）一般行政管理事务（项）：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项目</w:t>
      </w:r>
      <w:r>
        <w:rPr>
          <w:rFonts w:hint="eastAsia" w:ascii="仿宋_GB2312" w:eastAsia="仿宋_GB2312"/>
          <w:sz w:val="32"/>
          <w:szCs w:val="32"/>
        </w:rPr>
        <w:t>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.教育支出（类）进修及培训（款）干部教育（项）：</w:t>
      </w:r>
      <w:r>
        <w:rPr>
          <w:rFonts w:hint="eastAsia" w:ascii="仿宋_GB2312" w:eastAsia="仿宋_GB2312"/>
          <w:sz w:val="32"/>
          <w:szCs w:val="32"/>
        </w:rPr>
        <w:t>反映行政单位（包括实行公务员管理的事业单位）的基本支出。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反映行政单位（包括实行公务员管理的事业单位）的医疗保险缴费支出。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numPr>
          <w:ilvl w:val="0"/>
          <w:numId w:val="3"/>
        </w:numPr>
        <w:spacing w:line="540" w:lineRule="exact"/>
        <w:jc w:val="center"/>
        <w:rPr>
          <w:rFonts w:hint="eastAsia"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lang w:eastAsia="zh-CN"/>
        </w:rPr>
        <w:t>盘山县统计局2022</w:t>
      </w:r>
      <w:r>
        <w:rPr>
          <w:rFonts w:hint="eastAsia" w:ascii="宋体" w:hAnsi="宋体"/>
          <w:b/>
          <w:sz w:val="36"/>
          <w:szCs w:val="36"/>
        </w:rPr>
        <w:t>年度部门决算表</w:t>
      </w:r>
    </w:p>
    <w:p>
      <w:pPr>
        <w:widowControl w:val="0"/>
        <w:numPr>
          <w:ilvl w:val="0"/>
          <w:numId w:val="0"/>
        </w:numPr>
        <w:spacing w:line="540" w:lineRule="exact"/>
        <w:jc w:val="center"/>
        <w:rPr>
          <w:rFonts w:hint="eastAsia" w:ascii="宋体" w:hAnsi="宋体"/>
          <w:b/>
          <w:sz w:val="52"/>
          <w:szCs w:val="52"/>
        </w:rPr>
      </w:pPr>
    </w:p>
    <w:p>
      <w:pPr>
        <w:widowControl w:val="0"/>
        <w:numPr>
          <w:ilvl w:val="0"/>
          <w:numId w:val="0"/>
        </w:numPr>
        <w:spacing w:line="540" w:lineRule="exact"/>
        <w:jc w:val="center"/>
        <w:rPr>
          <w:rFonts w:hint="eastAsia" w:ascii="宋体" w:hAnsi="宋体"/>
          <w:b/>
          <w:sz w:val="52"/>
          <w:szCs w:val="52"/>
        </w:rPr>
      </w:pPr>
    </w:p>
    <w:p>
      <w:pPr>
        <w:spacing w:line="540" w:lineRule="exact"/>
        <w:ind w:firstLine="960" w:firstLineChars="3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ind w:firstLine="960" w:firstLineChars="300"/>
        <w:rPr>
          <w:rFonts w:hint="eastAsia" w:ascii="仿宋_GB2312" w:eastAsia="仿宋_GB2312"/>
          <w:sz w:val="32"/>
          <w:szCs w:val="32"/>
        </w:rPr>
      </w:pPr>
      <w:r>
        <w:rPr>
          <w:rFonts w:hint="eastAsia" w:ascii="仿宋_GB2312" w:eastAsia="仿宋_GB2312"/>
          <w:sz w:val="32"/>
          <w:szCs w:val="32"/>
        </w:rPr>
        <w:t>二、收入决算表</w:t>
      </w:r>
    </w:p>
    <w:p>
      <w:pPr>
        <w:spacing w:line="540" w:lineRule="exact"/>
        <w:ind w:firstLine="960" w:firstLineChars="300"/>
        <w:rPr>
          <w:rFonts w:hint="eastAsia" w:ascii="仿宋_GB2312" w:eastAsia="仿宋_GB2312"/>
          <w:sz w:val="32"/>
          <w:szCs w:val="32"/>
        </w:rPr>
      </w:pPr>
      <w:r>
        <w:rPr>
          <w:rFonts w:hint="eastAsia" w:ascii="仿宋_GB2312" w:eastAsia="仿宋_GB2312"/>
          <w:sz w:val="32"/>
          <w:szCs w:val="32"/>
        </w:rPr>
        <w:t>三、支出决算表</w:t>
      </w:r>
    </w:p>
    <w:p>
      <w:pPr>
        <w:spacing w:line="540" w:lineRule="exact"/>
        <w:ind w:firstLine="960" w:firstLineChars="300"/>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ind w:firstLine="960" w:firstLineChars="300"/>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ind w:firstLine="960" w:firstLineChars="300"/>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firstLine="960" w:firstLineChars="300"/>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38" w:leftChars="304" w:firstLine="320" w:firstLineChars="1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38" w:leftChars="304" w:firstLine="320" w:firstLineChars="1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widowControl w:val="0"/>
        <w:numPr>
          <w:ilvl w:val="0"/>
          <w:numId w:val="0"/>
        </w:numPr>
        <w:spacing w:line="540" w:lineRule="exact"/>
        <w:jc w:val="center"/>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numPr>
          <w:ilvl w:val="0"/>
          <w:numId w:val="3"/>
        </w:numPr>
        <w:spacing w:line="540" w:lineRule="exact"/>
        <w:ind w:left="0" w:leftChars="0" w:firstLine="0" w:firstLineChars="0"/>
        <w:jc w:val="center"/>
        <w:rPr>
          <w:rFonts w:hint="eastAsia" w:ascii="宋体" w:hAnsi="宋体"/>
          <w:b/>
          <w:sz w:val="52"/>
          <w:szCs w:val="52"/>
          <w:lang w:eastAsia="zh-CN"/>
        </w:rPr>
      </w:pP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pPr>
        <w:numPr>
          <w:ilvl w:val="0"/>
          <w:numId w:val="0"/>
        </w:numPr>
        <w:spacing w:line="540" w:lineRule="exact"/>
        <w:ind w:leftChars="0"/>
        <w:jc w:val="both"/>
        <w:rPr>
          <w:rFonts w:hint="eastAsia" w:ascii="宋体" w:hAnsi="宋体"/>
          <w:b/>
          <w:sz w:val="52"/>
          <w:szCs w:val="52"/>
          <w:lang w:eastAsia="zh-CN"/>
        </w:rPr>
      </w:pPr>
    </w:p>
    <w:p>
      <w:pPr>
        <w:spacing w:line="540" w:lineRule="exact"/>
        <w:jc w:val="both"/>
        <w:rPr>
          <w:rFonts w:hint="eastAsia" w:ascii="仿宋_GB2312" w:eastAsia="仿宋_GB2312"/>
          <w:sz w:val="52"/>
          <w:szCs w:val="52"/>
        </w:rPr>
      </w:pPr>
    </w:p>
    <w:p>
      <w:pPr>
        <w:spacing w:line="540" w:lineRule="exact"/>
        <w:jc w:val="lef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tbl>
      <w:tblPr>
        <w:tblStyle w:val="2"/>
        <w:tblW w:w="13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5"/>
        <w:gridCol w:w="625"/>
        <w:gridCol w:w="625"/>
        <w:gridCol w:w="1227"/>
        <w:gridCol w:w="593"/>
        <w:gridCol w:w="602"/>
        <w:gridCol w:w="593"/>
        <w:gridCol w:w="1016"/>
        <w:gridCol w:w="593"/>
        <w:gridCol w:w="602"/>
        <w:gridCol w:w="602"/>
        <w:gridCol w:w="624"/>
        <w:gridCol w:w="788"/>
        <w:gridCol w:w="528"/>
        <w:gridCol w:w="794"/>
        <w:gridCol w:w="558"/>
        <w:gridCol w:w="1047"/>
        <w:gridCol w:w="1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396"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部门（单位）整体绩效自评表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5"/>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96"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96"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16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009001盘山县统计局本级-211122000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16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16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企业一套表</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62.70%</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统计公报、月报、定期报表</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46.87%</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3.74933333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160.21</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160.21</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统计年鉴</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57.50%</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8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各项统计年报、定期报表、民营小册按规定审计系统常规工作</w:t>
            </w:r>
          </w:p>
        </w:tc>
        <w:tc>
          <w:tcPr>
            <w:tcW w:w="588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409"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47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47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统计信息公开及时性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上级主管部门满意度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开展信息调研</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调研</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47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89.37</w:t>
            </w:r>
          </w:p>
        </w:tc>
      </w:tr>
    </w:tbl>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r>
        <w:drawing>
          <wp:anchor distT="0" distB="0" distL="114300" distR="114300" simplePos="0" relativeHeight="251659264" behindDoc="0" locked="0" layoutInCell="1" allowOverlap="1">
            <wp:simplePos x="0" y="0"/>
            <wp:positionH relativeFrom="column">
              <wp:posOffset>-462280</wp:posOffset>
            </wp:positionH>
            <wp:positionV relativeFrom="paragraph">
              <wp:posOffset>-262890</wp:posOffset>
            </wp:positionV>
            <wp:extent cx="9457055" cy="6118225"/>
            <wp:effectExtent l="0" t="0" r="10795" b="15875"/>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15920"/>
    <w:multiLevelType w:val="singleLevel"/>
    <w:tmpl w:val="99415920"/>
    <w:lvl w:ilvl="0" w:tentative="0">
      <w:start w:val="4"/>
      <w:numFmt w:val="chineseCounting"/>
      <w:suff w:val="space"/>
      <w:lvlText w:val="第%1部分"/>
      <w:lvlJc w:val="left"/>
      <w:rPr>
        <w:rFonts w:hint="eastAsia"/>
      </w:rPr>
    </w:lvl>
  </w:abstractNum>
  <w:abstractNum w:abstractNumId="1">
    <w:nsid w:val="B19795FD"/>
    <w:multiLevelType w:val="singleLevel"/>
    <w:tmpl w:val="B19795FD"/>
    <w:lvl w:ilvl="0" w:tentative="0">
      <w:start w:val="3"/>
      <w:numFmt w:val="decimal"/>
      <w:lvlText w:val="%1."/>
      <w:lvlJc w:val="left"/>
      <w:pPr>
        <w:tabs>
          <w:tab w:val="left" w:pos="312"/>
        </w:tabs>
      </w:pPr>
    </w:lvl>
  </w:abstractNum>
  <w:abstractNum w:abstractNumId="2">
    <w:nsid w:val="0053208E"/>
    <w:multiLevelType w:val="multilevel"/>
    <w:tmpl w:val="0053208E"/>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BEE0F57"/>
    <w:rsid w:val="17FE5D44"/>
    <w:rsid w:val="1CD31377"/>
    <w:rsid w:val="23103A2A"/>
    <w:rsid w:val="315E5A28"/>
    <w:rsid w:val="31E977E2"/>
    <w:rsid w:val="399F508F"/>
    <w:rsid w:val="3AB9356B"/>
    <w:rsid w:val="4A9A64E6"/>
    <w:rsid w:val="526A0DDF"/>
    <w:rsid w:val="775F2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9312859e-50d7-4052-b3b2-a536fa488fe5}">
  <ds:schemaRefs/>
</ds:datastoreItem>
</file>

<file path=customXml/itemProps2.xml><?xml version="1.0" encoding="utf-8"?>
<ds:datastoreItem xmlns:ds="http://schemas.openxmlformats.org/officeDocument/2006/customXml" ds:itemID="{f81b0f6d-73dc-46a5-bb96-1fde03248097}">
  <ds:schemaRefs/>
</ds:datastoreItem>
</file>

<file path=customXml/itemProps3.xml><?xml version="1.0" encoding="utf-8"?>
<ds:datastoreItem xmlns:ds="http://schemas.openxmlformats.org/officeDocument/2006/customXml" ds:itemID="{fff2561d-6c92-48b9-801d-9c9fb85048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6619</Words>
  <Characters>7302</Characters>
  <Lines>37</Lines>
  <Paragraphs>10</Paragraphs>
  <TotalTime>3</TotalTime>
  <ScaleCrop>false</ScaleCrop>
  <LinksUpToDate>false</LinksUpToDate>
  <CharactersWithSpaces>7335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2023-08-31T08:15:25Z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0A9A664DEB6A463E923FB9219AC4695A_13</vt:lpwstr>
  </property>
</Properties>
</file>