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600" w:lineRule="exact"/>
        <w:ind w:firstLine="964" w:firstLineChars="200"/>
        <w:rPr>
          <w:rFonts w:hint="eastAsia" w:ascii="黑体" w:hAnsi="黑体" w:eastAsia="黑体" w:cs="黑体"/>
          <w:bCs/>
          <w:sz w:val="21"/>
          <w:szCs w:val="21"/>
          <w:lang w:val="en-US" w:eastAsia="zh-CN"/>
        </w:rPr>
      </w:pPr>
      <w:r>
        <w:rPr>
          <w:rFonts w:hint="eastAsia" w:ascii="宋体" w:hAnsi="宋体" w:eastAsia="宋体" w:cs="宋体"/>
          <w:b/>
          <w:bCs/>
          <w:color w:val="333333"/>
          <w:kern w:val="0"/>
          <w:sz w:val="48"/>
          <w:szCs w:val="48"/>
        </w:rPr>
        <w:t>20</w:t>
      </w:r>
      <w:r>
        <w:rPr>
          <w:rFonts w:hint="eastAsia" w:ascii="宋体" w:hAnsi="宋体" w:eastAsia="宋体" w:cs="宋体"/>
          <w:b/>
          <w:bCs/>
          <w:color w:val="333333"/>
          <w:kern w:val="0"/>
          <w:sz w:val="48"/>
          <w:szCs w:val="48"/>
          <w:lang w:val="en-US" w:eastAsia="zh-CN"/>
        </w:rPr>
        <w:t>22</w:t>
      </w:r>
      <w:r>
        <w:rPr>
          <w:rFonts w:hint="eastAsia" w:ascii="宋体" w:hAnsi="宋体" w:eastAsia="宋体" w:cs="宋体"/>
          <w:b/>
          <w:bCs/>
          <w:color w:val="333333"/>
          <w:kern w:val="0"/>
          <w:sz w:val="48"/>
          <w:szCs w:val="48"/>
        </w:rPr>
        <w:t>年预算绩效管理工作总结</w:t>
      </w:r>
      <w:r>
        <w:rPr>
          <w:rFonts w:hint="eastAsia" w:ascii="黑体" w:hAnsi="黑体" w:eastAsia="黑体" w:cs="黑体"/>
          <w:bCs/>
          <w:sz w:val="21"/>
          <w:szCs w:val="21"/>
          <w:lang w:val="en-US" w:eastAsia="zh-CN"/>
        </w:rPr>
        <w:t xml:space="preserve">           </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bookmarkStart w:id="0" w:name="_GoBack"/>
      <w:bookmarkEnd w:id="0"/>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2022年,我区按照全方位、全过程、全覆盖预算绩效管理的工作理念，积极推进预算绩效管理各项工作，进一步把绩效理念融入到预算编制、执行、监督管理全过程，现将有关工作推进情况总结如下： </w:t>
      </w:r>
    </w:p>
    <w:p>
      <w:pPr>
        <w:numPr>
          <w:ilvl w:val="0"/>
          <w:numId w:val="0"/>
        </w:numPr>
        <w:tabs>
          <w:tab w:val="left" w:pos="494"/>
        </w:tabs>
        <w:spacing w:line="600" w:lineRule="exact"/>
        <w:ind w:firstLine="640" w:firstLineChars="200"/>
        <w:rPr>
          <w:rFonts w:hint="eastAsia" w:ascii="楷体" w:hAnsi="楷体" w:eastAsia="楷体" w:cs="楷体"/>
          <w:b w:val="0"/>
          <w:bCs/>
          <w:szCs w:val="32"/>
          <w:lang w:val="en-US" w:eastAsia="zh-CN"/>
        </w:rPr>
      </w:pPr>
      <w:r>
        <w:rPr>
          <w:rFonts w:hint="eastAsia" w:ascii="楷体" w:hAnsi="楷体" w:eastAsia="楷体" w:cs="楷体"/>
          <w:b w:val="0"/>
          <w:bCs/>
          <w:szCs w:val="32"/>
          <w:lang w:val="en-US" w:eastAsia="zh-CN"/>
        </w:rPr>
        <w:t>一、工作推进情况</w:t>
      </w:r>
    </w:p>
    <w:p>
      <w:pPr>
        <w:numPr>
          <w:ilvl w:val="0"/>
          <w:numId w:val="0"/>
        </w:numPr>
        <w:tabs>
          <w:tab w:val="left" w:pos="494"/>
        </w:tabs>
        <w:spacing w:line="60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（一）制度建设情况</w:t>
      </w:r>
    </w:p>
    <w:p>
      <w:pPr>
        <w:numPr>
          <w:ilvl w:val="0"/>
          <w:numId w:val="0"/>
        </w:numPr>
        <w:tabs>
          <w:tab w:val="left" w:pos="494"/>
        </w:tabs>
        <w:spacing w:line="600" w:lineRule="exact"/>
        <w:ind w:firstLine="640" w:firstLineChars="200"/>
        <w:rPr>
          <w:rFonts w:hint="eastAsia"/>
          <w:lang w:val="en-US" w:eastAsia="zh-CN"/>
        </w:rPr>
      </w:pPr>
      <w:r>
        <w:rPr>
          <w:rFonts w:hint="default"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将全面实施预算绩效管理纳入20</w:t>
      </w:r>
      <w:r>
        <w:rPr>
          <w:rFonts w:hint="eastAsia" w:ascii="仿宋_GB2312" w:hAnsi="仿宋_GB2312" w:eastAsia="仿宋_GB2312" w:cs="仿宋_GB2312"/>
          <w:sz w:val="32"/>
          <w:szCs w:val="32"/>
          <w:lang w:val="en-US" w:eastAsia="zh-CN"/>
        </w:rPr>
        <w:t>22</w:t>
      </w:r>
      <w:r>
        <w:rPr>
          <w:rFonts w:hint="default" w:ascii="仿宋_GB2312" w:hAnsi="仿宋_GB2312" w:eastAsia="仿宋_GB2312" w:cs="仿宋_GB2312"/>
          <w:sz w:val="32"/>
          <w:szCs w:val="32"/>
          <w:lang w:val="en-US" w:eastAsia="zh-CN"/>
        </w:rPr>
        <w:t>年重点工作任务，</w:t>
      </w:r>
      <w:r>
        <w:rPr>
          <w:rFonts w:hint="eastAsia" w:ascii="仿宋_GB2312" w:hAnsi="仿宋_GB2312" w:eastAsia="仿宋_GB2312" w:cs="仿宋_GB2312"/>
          <w:sz w:val="32"/>
          <w:szCs w:val="32"/>
          <w:lang w:val="en-US" w:eastAsia="zh-CN"/>
        </w:rPr>
        <w:t>由预算股牵头并配备专职工作人员负责此项工作。</w:t>
      </w:r>
      <w:r>
        <w:rPr>
          <w:rFonts w:hint="eastAsia" w:ascii="仿宋_GB2312" w:hAnsi="仿宋_GB2312" w:eastAsia="仿宋_GB2312" w:cs="仿宋_GB2312"/>
          <w:b w:val="0"/>
          <w:bCs w:val="0"/>
          <w:sz w:val="32"/>
          <w:szCs w:val="32"/>
          <w:lang w:val="en-US" w:eastAsia="zh-CN"/>
        </w:rPr>
        <w:t>同时结</w:t>
      </w:r>
      <w:r>
        <w:rPr>
          <w:rFonts w:hint="eastAsia" w:ascii="仿宋_GB2312" w:hAnsi="仿宋_GB2312" w:eastAsia="仿宋_GB2312" w:cs="仿宋_GB2312"/>
          <w:sz w:val="32"/>
          <w:szCs w:val="32"/>
          <w:lang w:val="en-US" w:eastAsia="zh-CN"/>
        </w:rPr>
        <w:t>合我区实际，制定了《盘锦市双台子区区本级预算绩效管理实施细则（试行）》（双区财字〔2020〕44号），进一步规范和优化预算绩效管理流程，积极推进我区预算绩效管理工作的稳步运行。</w:t>
      </w:r>
    </w:p>
    <w:p>
      <w:pPr>
        <w:numPr>
          <w:ilvl w:val="0"/>
          <w:numId w:val="0"/>
        </w:numPr>
        <w:tabs>
          <w:tab w:val="left" w:pos="494"/>
        </w:tabs>
        <w:spacing w:line="60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（二）主要做法及取得的成效</w:t>
      </w:r>
    </w:p>
    <w:p>
      <w:pPr>
        <w:numPr>
          <w:ilvl w:val="0"/>
          <w:numId w:val="0"/>
        </w:numPr>
        <w:tabs>
          <w:tab w:val="left" w:pos="494"/>
        </w:tabs>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1.强化绩效目标管理。</w:t>
      </w:r>
      <w:r>
        <w:rPr>
          <w:rFonts w:hint="eastAsia" w:ascii="仿宋_GB2312" w:hAnsi="仿宋_GB2312" w:eastAsia="仿宋_GB2312" w:cs="仿宋_GB2312"/>
          <w:sz w:val="32"/>
          <w:szCs w:val="32"/>
          <w:lang w:val="en-US" w:eastAsia="zh-CN"/>
        </w:rPr>
        <w:t>我区将绩效目标设置作为预算安排的前置条件，下发《关于启动2022年预算编制做好各项基础性工作的通知》（双区财字〔2021〕42号），全面应用预算管理一体化系统编制预算，实施项目全过程绩效目标管理，启动部门整体绩效目标管理。其中，</w:t>
      </w:r>
      <w:r>
        <w:rPr>
          <w:rFonts w:hint="eastAsia" w:ascii="仿宋_GB2312" w:hAnsi="仿宋_GB2312" w:eastAsia="仿宋_GB2312" w:cs="仿宋_GB2312"/>
          <w:color w:val="auto"/>
          <w:sz w:val="32"/>
          <w:szCs w:val="32"/>
          <w:highlight w:val="none"/>
          <w:lang w:val="en-US" w:eastAsia="zh-CN"/>
        </w:rPr>
        <w:t>编制本级部门整体绩效目标户数91户，涉及资金5.88亿元，特定目标类项目30个，涉及资金3.63亿元。</w:t>
      </w:r>
    </w:p>
    <w:p>
      <w:pPr>
        <w:numPr>
          <w:ilvl w:val="0"/>
          <w:numId w:val="0"/>
        </w:num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楷体" w:eastAsia="仿宋_GB2312" w:cs="楷体"/>
          <w:b/>
          <w:szCs w:val="32"/>
          <w:highlight w:val="none"/>
          <w:lang w:val="en-US" w:eastAsia="zh-CN"/>
        </w:rPr>
        <w:t>2.</w:t>
      </w:r>
      <w:r>
        <w:rPr>
          <w:rFonts w:hint="eastAsia" w:ascii="仿宋_GB2312" w:hAnsi="楷体" w:eastAsia="仿宋_GB2312" w:cs="楷体"/>
          <w:b/>
          <w:szCs w:val="32"/>
          <w:highlight w:val="none"/>
        </w:rPr>
        <w:t>开展</w:t>
      </w:r>
      <w:r>
        <w:rPr>
          <w:rFonts w:hint="eastAsia" w:ascii="仿宋_GB2312" w:hAnsi="楷体" w:eastAsia="仿宋_GB2312" w:cs="楷体"/>
          <w:b/>
          <w:szCs w:val="32"/>
          <w:highlight w:val="none"/>
          <w:lang w:eastAsia="zh-CN"/>
        </w:rPr>
        <w:t>项目</w:t>
      </w:r>
      <w:r>
        <w:rPr>
          <w:rFonts w:hint="eastAsia" w:ascii="仿宋_GB2312" w:hAnsi="楷体" w:eastAsia="仿宋_GB2312" w:cs="楷体"/>
          <w:b/>
          <w:szCs w:val="32"/>
          <w:highlight w:val="none"/>
        </w:rPr>
        <w:t>绩效</w:t>
      </w:r>
      <w:r>
        <w:rPr>
          <w:rFonts w:hint="eastAsia" w:ascii="仿宋_GB2312" w:hAnsi="楷体" w:eastAsia="仿宋_GB2312" w:cs="楷体"/>
          <w:b/>
          <w:szCs w:val="32"/>
          <w:highlight w:val="none"/>
          <w:lang w:eastAsia="zh-CN"/>
        </w:rPr>
        <w:t>评价。</w:t>
      </w:r>
      <w:r>
        <w:rPr>
          <w:rFonts w:hint="eastAsia" w:ascii="仿宋_GB2312" w:hAnsi="仿宋_GB2312" w:eastAsia="仿宋_GB2312" w:cs="仿宋_GB2312"/>
          <w:sz w:val="32"/>
          <w:szCs w:val="32"/>
          <w:lang w:val="en-US" w:eastAsia="zh-CN"/>
        </w:rPr>
        <w:t>我区下发《关于开展2021年度双台子区区本级预算绩效自评工作的通知》（双区财字〔2022〕22号），对2021年初所有财政预算批复的“项目支出类”、“基本支出类（人员经费、公用经费）”资金均纳入预算绩效评价管理范围，实现绩效自评全覆盖，48个预算部门全部开展了部门绩效自评，涉及金额11.8亿元，并对289个年初预算项目进行了绩效自评，涉及金额5.9亿元。同时，下发《关于开展2021年度区本级重点项目支出绩效评价工作的通知》（双区财字〔2022〕59号），开展重点项目绩效评价，对</w:t>
      </w:r>
      <w:r>
        <w:rPr>
          <w:rFonts w:hint="eastAsia" w:ascii="仿宋_GB2312" w:hAnsi="仿宋_GB2312" w:eastAsia="仿宋_GB2312" w:cs="仿宋_GB2312"/>
          <w:color w:val="auto"/>
          <w:sz w:val="32"/>
          <w:szCs w:val="32"/>
          <w:highlight w:val="none"/>
          <w:lang w:val="en-US" w:eastAsia="zh-CN"/>
        </w:rPr>
        <w:t>5个重点项目进行了评价，涉及资金0.53亿元。</w:t>
      </w:r>
    </w:p>
    <w:p>
      <w:pPr>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 w:hAnsi="仿宋" w:cs="仿宋"/>
          <w:b/>
          <w:szCs w:val="32"/>
          <w:highlight w:val="none"/>
          <w:lang w:val="en-US" w:eastAsia="zh-CN"/>
        </w:rPr>
        <w:t>3.推进预算</w:t>
      </w:r>
      <w:r>
        <w:rPr>
          <w:rFonts w:hint="eastAsia" w:ascii="仿宋" w:hAnsi="仿宋" w:cs="仿宋"/>
          <w:b/>
          <w:szCs w:val="32"/>
          <w:highlight w:val="none"/>
        </w:rPr>
        <w:t>绩效</w:t>
      </w:r>
      <w:r>
        <w:rPr>
          <w:rFonts w:hint="eastAsia" w:ascii="仿宋" w:hAnsi="仿宋" w:cs="仿宋"/>
          <w:b/>
          <w:szCs w:val="32"/>
          <w:highlight w:val="none"/>
          <w:lang w:val="en-US" w:eastAsia="zh-CN"/>
        </w:rPr>
        <w:t>运行</w:t>
      </w:r>
      <w:r>
        <w:rPr>
          <w:rFonts w:hint="eastAsia" w:ascii="仿宋" w:hAnsi="仿宋" w:cs="仿宋"/>
          <w:b/>
          <w:szCs w:val="32"/>
          <w:highlight w:val="none"/>
        </w:rPr>
        <w:t>监控</w:t>
      </w:r>
      <w:r>
        <w:rPr>
          <w:rFonts w:hint="eastAsia" w:ascii="仿宋" w:hAnsi="仿宋" w:cs="仿宋"/>
          <w:b/>
          <w:szCs w:val="32"/>
          <w:highlight w:val="none"/>
          <w:lang w:eastAsia="zh-CN"/>
        </w:rPr>
        <w:t>。</w:t>
      </w:r>
      <w:r>
        <w:rPr>
          <w:rFonts w:hint="eastAsia" w:ascii="仿宋_GB2312" w:hAnsi="仿宋_GB2312" w:eastAsia="仿宋_GB2312" w:cs="仿宋_GB2312"/>
          <w:sz w:val="32"/>
          <w:szCs w:val="32"/>
          <w:lang w:val="en-US" w:eastAsia="zh-CN"/>
        </w:rPr>
        <w:t>我区下发《关于开展2021年区本级预算绩效监控工作的通知》（</w:t>
      </w:r>
      <w:r>
        <w:rPr>
          <w:rFonts w:hint="eastAsia" w:ascii="仿宋_GB2312" w:eastAsia="仿宋_GB2312"/>
          <w:sz w:val="32"/>
          <w:szCs w:val="32"/>
          <w:lang w:eastAsia="zh-CN"/>
        </w:rPr>
        <w:t>双区财字〔</w:t>
      </w:r>
      <w:r>
        <w:rPr>
          <w:rFonts w:hint="eastAsia" w:ascii="仿宋_GB2312" w:eastAsia="仿宋_GB2312"/>
          <w:sz w:val="32"/>
          <w:szCs w:val="32"/>
          <w:lang w:val="en-US" w:eastAsia="zh-CN"/>
        </w:rPr>
        <w:t>2021</w:t>
      </w:r>
      <w:r>
        <w:rPr>
          <w:rFonts w:hint="eastAsia" w:ascii="仿宋_GB2312" w:eastAsia="仿宋_GB2312"/>
          <w:sz w:val="32"/>
          <w:szCs w:val="32"/>
          <w:lang w:eastAsia="zh-CN"/>
        </w:rPr>
        <w:t>〕</w:t>
      </w:r>
      <w:r>
        <w:rPr>
          <w:rFonts w:hint="eastAsia" w:ascii="仿宋_GB2312" w:eastAsia="仿宋_GB2312"/>
          <w:sz w:val="32"/>
          <w:szCs w:val="32"/>
          <w:lang w:val="en-US" w:eastAsia="zh-CN"/>
        </w:rPr>
        <w:t>65</w:t>
      </w:r>
      <w:r>
        <w:rPr>
          <w:rFonts w:hint="eastAsia" w:ascii="仿宋_GB2312" w:eastAsia="仿宋_GB2312"/>
          <w:sz w:val="32"/>
          <w:szCs w:val="32"/>
          <w:lang w:eastAsia="zh-CN"/>
        </w:rPr>
        <w:t>号</w:t>
      </w:r>
      <w:r>
        <w:rPr>
          <w:rFonts w:hint="eastAsia" w:ascii="仿宋_GB2312" w:hAnsi="仿宋_GB2312" w:eastAsia="仿宋_GB2312" w:cs="仿宋_GB2312"/>
          <w:sz w:val="32"/>
          <w:szCs w:val="32"/>
          <w:lang w:val="en-US" w:eastAsia="zh-CN"/>
        </w:rPr>
        <w:t>），对年初批复的部门人员类、运转类整体绩效目标执行情况及</w:t>
      </w:r>
      <w:r>
        <w:rPr>
          <w:rFonts w:hint="eastAsia" w:ascii="仿宋" w:hAnsi="仿宋" w:eastAsia="仿宋" w:cs="仿宋"/>
          <w:color w:val="auto"/>
          <w:sz w:val="32"/>
          <w:szCs w:val="32"/>
          <w:lang w:val="en-US" w:eastAsia="zh-CN"/>
        </w:rPr>
        <w:t>年初设定绩效目标的区级部门预算项目资金</w:t>
      </w:r>
      <w:r>
        <w:rPr>
          <w:rFonts w:hint="eastAsia" w:ascii="仿宋" w:hAnsi="仿宋" w:cs="仿宋"/>
          <w:color w:val="auto"/>
          <w:sz w:val="32"/>
          <w:szCs w:val="32"/>
          <w:lang w:val="en-US" w:eastAsia="zh-CN"/>
        </w:rPr>
        <w:t>进行监控</w:t>
      </w:r>
      <w:r>
        <w:rPr>
          <w:rFonts w:hint="eastAsia" w:ascii="仿宋_GB2312" w:hAnsi="仿宋_GB2312" w:eastAsia="仿宋_GB2312" w:cs="仿宋_GB2312"/>
          <w:sz w:val="32"/>
          <w:szCs w:val="32"/>
          <w:lang w:val="en-US" w:eastAsia="zh-CN"/>
        </w:rPr>
        <w:t>。91家预算单位全部进行了部门整体绩效监控，涉及资金5.88亿元，并对30个特定目标类项目进行了监控，</w:t>
      </w:r>
      <w:r>
        <w:rPr>
          <w:rFonts w:hint="eastAsia" w:ascii="仿宋_GB2312" w:hAnsi="仿宋_GB2312" w:eastAsia="仿宋_GB2312" w:cs="仿宋_GB2312"/>
          <w:color w:val="auto"/>
          <w:sz w:val="32"/>
          <w:szCs w:val="32"/>
          <w:highlight w:val="none"/>
          <w:lang w:val="en-US" w:eastAsia="zh-CN"/>
        </w:rPr>
        <w:t>涉及资金3.63亿元</w:t>
      </w:r>
      <w:r>
        <w:rPr>
          <w:rFonts w:hint="eastAsia" w:ascii="仿宋_GB2312" w:hAnsi="仿宋_GB2312" w:eastAsia="仿宋_GB2312" w:cs="仿宋_GB2312"/>
          <w:color w:val="auto"/>
          <w:sz w:val="32"/>
          <w:szCs w:val="32"/>
          <w:lang w:val="en-US" w:eastAsia="zh-CN"/>
        </w:rPr>
        <w:t>。</w:t>
      </w:r>
    </w:p>
    <w:p>
      <w:pPr>
        <w:numPr>
          <w:ilvl w:val="0"/>
          <w:numId w:val="0"/>
        </w:numPr>
        <w:ind w:firstLine="640"/>
        <w:rPr>
          <w:rFonts w:hint="eastAsia" w:ascii="仿宋_GB2312" w:hAnsi="仿宋" w:eastAsia="仿宋_GB2312" w:cs="仿宋"/>
          <w:szCs w:val="32"/>
          <w:lang w:val="en-US" w:eastAsia="zh-CN"/>
        </w:rPr>
      </w:pPr>
      <w:r>
        <w:rPr>
          <w:rFonts w:hint="eastAsia" w:ascii="仿宋" w:hAnsi="仿宋" w:cs="仿宋"/>
          <w:b/>
          <w:szCs w:val="32"/>
          <w:highlight w:val="none"/>
          <w:lang w:val="en-US" w:eastAsia="zh-CN"/>
        </w:rPr>
        <w:t>4.加强绩效评价</w:t>
      </w:r>
      <w:r>
        <w:rPr>
          <w:rFonts w:hint="eastAsia" w:ascii="仿宋" w:hAnsi="仿宋" w:cs="仿宋"/>
          <w:b/>
          <w:szCs w:val="32"/>
          <w:highlight w:val="none"/>
        </w:rPr>
        <w:t>结果</w:t>
      </w:r>
      <w:r>
        <w:rPr>
          <w:rFonts w:hint="eastAsia" w:ascii="仿宋" w:hAnsi="仿宋" w:cs="仿宋"/>
          <w:b/>
          <w:szCs w:val="32"/>
          <w:highlight w:val="none"/>
          <w:lang w:val="en-US" w:eastAsia="zh-CN"/>
        </w:rPr>
        <w:t>运</w:t>
      </w:r>
      <w:r>
        <w:rPr>
          <w:rFonts w:hint="eastAsia" w:ascii="仿宋" w:hAnsi="仿宋" w:cs="仿宋"/>
          <w:b/>
          <w:szCs w:val="32"/>
          <w:highlight w:val="none"/>
        </w:rPr>
        <w:t>用</w:t>
      </w:r>
      <w:r>
        <w:rPr>
          <w:rFonts w:hint="eastAsia" w:ascii="仿宋" w:hAnsi="仿宋" w:cs="仿宋"/>
          <w:b/>
          <w:szCs w:val="32"/>
          <w:highlight w:val="none"/>
          <w:lang w:eastAsia="zh-CN"/>
        </w:rPr>
        <w:t>。</w:t>
      </w:r>
      <w:r>
        <w:rPr>
          <w:rFonts w:hint="eastAsia" w:ascii="仿宋_GB2312" w:hAnsi="仿宋" w:eastAsia="仿宋_GB2312" w:cs="仿宋"/>
          <w:szCs w:val="32"/>
          <w:lang w:val="en-US" w:eastAsia="zh-CN"/>
        </w:rPr>
        <w:t>为进一步规范区级财政预算绩效管理结果应用，切实提高财政资金使用效益，我区制定了《双台子区区本级预算绩效管理结果应用暂行办法》，将预算绩效管理责任主体对事前绩效评估、绩效目标管理、绩效运行监控以及绩效评价工作中形成的数据、报告、结论等绩效信息，采取不同的方式加以应用，以提高财政资源配置效率和使用绩效。</w:t>
      </w:r>
    </w:p>
    <w:p>
      <w:pPr>
        <w:numPr>
          <w:ilvl w:val="0"/>
          <w:numId w:val="0"/>
        </w:numPr>
        <w:ind w:firstLine="643" w:firstLineChars="200"/>
        <w:rPr>
          <w:rFonts w:hint="eastAsia"/>
          <w:lang w:val="en-US" w:eastAsia="zh-CN"/>
        </w:rPr>
      </w:pPr>
      <w:r>
        <w:rPr>
          <w:rFonts w:hint="eastAsia" w:ascii="仿宋_GB2312" w:hAnsi="仿宋_GB2312" w:eastAsia="仿宋_GB2312" w:cs="仿宋_GB2312"/>
          <w:b/>
          <w:bCs/>
          <w:sz w:val="32"/>
          <w:szCs w:val="32"/>
          <w:lang w:val="en-US" w:eastAsia="zh-CN"/>
        </w:rPr>
        <w:t>5.加大绩效公开力度。</w:t>
      </w:r>
      <w:r>
        <w:rPr>
          <w:rFonts w:hint="eastAsia" w:ascii="仿宋_GB2312" w:hAnsi="仿宋" w:eastAsia="仿宋_GB2312" w:cs="仿宋"/>
          <w:szCs w:val="32"/>
          <w:lang w:val="en-US" w:eastAsia="zh-CN"/>
        </w:rPr>
        <w:t>将绩效目标、绩效自评情况与部门预决算同步报送同级人大审核、同步向社会公开、自觉接受人大和社会监督。</w:t>
      </w:r>
    </w:p>
    <w:p>
      <w:pPr>
        <w:numPr>
          <w:ilvl w:val="0"/>
          <w:numId w:val="0"/>
        </w:numPr>
        <w:ind w:firstLine="640" w:firstLineChars="200"/>
        <w:rPr>
          <w:rFonts w:hint="default" w:ascii="仿宋_GB2312" w:hAnsi="仿宋" w:eastAsia="仿宋_GB2312" w:cs="仿宋"/>
          <w:szCs w:val="32"/>
          <w:lang w:val="en-US" w:eastAsia="zh-CN"/>
        </w:rPr>
      </w:pPr>
      <w:r>
        <w:rPr>
          <w:rFonts w:hint="eastAsia" w:ascii="仿宋_GB2312" w:hAnsi="仿宋" w:eastAsia="仿宋_GB2312" w:cs="仿宋"/>
          <w:szCs w:val="32"/>
          <w:lang w:val="en-US" w:eastAsia="zh-CN"/>
        </w:rPr>
        <w:t>我区通过对绩效目标申报、绩效监控到绩效评价的全流程管理，现已建成全方位、全覆盖、全过程的预算绩效管理体系。</w:t>
      </w:r>
    </w:p>
    <w:p>
      <w:pPr>
        <w:numPr>
          <w:ilvl w:val="0"/>
          <w:numId w:val="0"/>
        </w:numPr>
        <w:tabs>
          <w:tab w:val="left" w:pos="494"/>
        </w:tabs>
        <w:spacing w:line="600" w:lineRule="exact"/>
        <w:ind w:firstLine="640" w:firstLineChars="200"/>
        <w:rPr>
          <w:rFonts w:hint="eastAsia" w:ascii="楷体" w:hAnsi="楷体" w:eastAsia="楷体" w:cs="楷体"/>
          <w:b w:val="0"/>
          <w:bCs/>
          <w:szCs w:val="32"/>
          <w:lang w:val="en-US" w:eastAsia="zh-CN"/>
        </w:rPr>
      </w:pPr>
      <w:r>
        <w:rPr>
          <w:rFonts w:hint="eastAsia" w:ascii="楷体" w:hAnsi="楷体" w:eastAsia="楷体" w:cs="楷体"/>
          <w:b w:val="0"/>
          <w:bCs/>
          <w:szCs w:val="32"/>
          <w:lang w:val="en-US" w:eastAsia="zh-CN"/>
        </w:rPr>
        <w:t>二、下一步工作打算</w:t>
      </w:r>
    </w:p>
    <w:p>
      <w:pPr>
        <w:spacing w:line="240" w:lineRule="auto"/>
        <w:ind w:left="0" w:leftChars="0" w:firstLine="643" w:firstLineChars="200"/>
        <w:rPr>
          <w:rFonts w:hint="eastAsia" w:ascii="仿宋_GB2312" w:hAnsi="仿宋" w:eastAsia="仿宋_GB2312" w:cs="仿宋"/>
          <w:b/>
          <w:bCs/>
          <w:szCs w:val="32"/>
          <w:lang w:val="en-US" w:eastAsia="zh-CN"/>
        </w:rPr>
      </w:pPr>
      <w:r>
        <w:rPr>
          <w:rFonts w:hint="eastAsia" w:ascii="仿宋_GB2312" w:hAnsi="仿宋" w:eastAsia="仿宋_GB2312" w:cs="仿宋"/>
          <w:b/>
          <w:bCs/>
          <w:szCs w:val="32"/>
          <w:lang w:val="en-US" w:eastAsia="zh-CN"/>
        </w:rPr>
        <w:t>（一）推进预算绩效运行监控</w:t>
      </w:r>
    </w:p>
    <w:p>
      <w:pPr>
        <w:spacing w:line="240" w:lineRule="auto"/>
        <w:ind w:left="0" w:leftChars="0" w:firstLine="640" w:firstLineChars="200"/>
        <w:rPr>
          <w:rFonts w:hint="eastAsia" w:ascii="仿宋_GB2312" w:hAnsi="仿宋" w:eastAsia="仿宋_GB2312" w:cs="仿宋"/>
          <w:szCs w:val="32"/>
          <w:lang w:val="en-US" w:eastAsia="zh-CN"/>
        </w:rPr>
      </w:pPr>
      <w:r>
        <w:rPr>
          <w:rFonts w:hint="eastAsia" w:ascii="仿宋_GB2312" w:hAnsi="仿宋" w:eastAsia="仿宋_GB2312" w:cs="仿宋"/>
          <w:szCs w:val="32"/>
          <w:lang w:val="en-US" w:eastAsia="zh-CN"/>
        </w:rPr>
        <w:t>按照“谁支出、谁负责”的原则，组织开展对部门单位年末预算绩效目标实现程度和预算执行进度实施“双监控”，发现预算支出绩效运行与原定的目标不匹配和发生偏离时及时纠正，提高绩效管理工作质量。</w:t>
      </w:r>
    </w:p>
    <w:p>
      <w:pPr>
        <w:numPr>
          <w:ilvl w:val="0"/>
          <w:numId w:val="1"/>
        </w:numPr>
        <w:spacing w:line="240" w:lineRule="auto"/>
        <w:ind w:left="0" w:leftChars="0" w:firstLine="643" w:firstLineChars="200"/>
        <w:rPr>
          <w:rFonts w:hint="eastAsia" w:ascii="仿宋_GB2312" w:hAnsi="仿宋" w:eastAsia="仿宋_GB2312" w:cs="仿宋"/>
          <w:b/>
          <w:bCs/>
          <w:szCs w:val="32"/>
          <w:lang w:val="en-US" w:eastAsia="zh-CN"/>
        </w:rPr>
      </w:pPr>
      <w:r>
        <w:rPr>
          <w:rFonts w:hint="eastAsia" w:ascii="仿宋_GB2312" w:hAnsi="仿宋" w:eastAsia="仿宋_GB2312" w:cs="仿宋"/>
          <w:b/>
          <w:bCs/>
          <w:szCs w:val="32"/>
          <w:lang w:val="en-US" w:eastAsia="zh-CN"/>
        </w:rPr>
        <w:t>完善预算支出绩效评价</w:t>
      </w:r>
    </w:p>
    <w:p>
      <w:pPr>
        <w:numPr>
          <w:ilvl w:val="0"/>
          <w:numId w:val="0"/>
        </w:numPr>
        <w:spacing w:line="240" w:lineRule="auto"/>
        <w:ind w:left="0" w:leftChars="0" w:firstLine="640" w:firstLineChars="200"/>
        <w:rPr>
          <w:rFonts w:hint="eastAsia" w:ascii="仿宋_GB2312" w:hAnsi="仿宋" w:eastAsia="仿宋_GB2312" w:cs="仿宋"/>
          <w:szCs w:val="32"/>
          <w:lang w:val="en-US" w:eastAsia="zh-CN"/>
        </w:rPr>
      </w:pPr>
      <w:r>
        <w:rPr>
          <w:rFonts w:hint="eastAsia" w:ascii="仿宋_GB2312" w:hAnsi="仿宋" w:eastAsia="仿宋_GB2312" w:cs="仿宋"/>
          <w:szCs w:val="32"/>
          <w:lang w:val="en-US" w:eastAsia="zh-CN"/>
        </w:rPr>
        <w:t>进一步完善绩效评价主体，组织开展预算单位项目资金绩效评价工作，建立预算安排与绩效评价结果有机结合机制，把绩效理念融入预算编制、执行、监督管理全过程，加大重点评价工作力度，选出一些重点项目，实施项目的再评价，同时引入有资质的第三方，到项目施工地开展重点绩效评价，确保项目资金的合理运用。</w:t>
      </w:r>
    </w:p>
    <w:p>
      <w:pPr>
        <w:numPr>
          <w:ilvl w:val="0"/>
          <w:numId w:val="1"/>
        </w:numPr>
        <w:spacing w:line="240" w:lineRule="auto"/>
        <w:ind w:left="0" w:leftChars="0" w:firstLine="643" w:firstLineChars="200"/>
        <w:rPr>
          <w:rFonts w:hint="eastAsia" w:ascii="仿宋_GB2312" w:hAnsi="仿宋" w:eastAsia="仿宋_GB2312" w:cs="仿宋"/>
          <w:b/>
          <w:bCs/>
          <w:szCs w:val="32"/>
          <w:lang w:val="en-US" w:eastAsia="zh-CN"/>
        </w:rPr>
      </w:pPr>
      <w:r>
        <w:rPr>
          <w:rFonts w:hint="eastAsia" w:ascii="仿宋_GB2312" w:hAnsi="仿宋" w:eastAsia="仿宋_GB2312" w:cs="仿宋"/>
          <w:b/>
          <w:bCs/>
          <w:szCs w:val="32"/>
          <w:lang w:val="en-US" w:eastAsia="zh-CN"/>
        </w:rPr>
        <w:t>强化绩效评价结果运用</w:t>
      </w:r>
    </w:p>
    <w:p>
      <w:pPr>
        <w:numPr>
          <w:ilvl w:val="0"/>
          <w:numId w:val="0"/>
        </w:numPr>
        <w:spacing w:line="240" w:lineRule="auto"/>
        <w:ind w:left="0" w:leftChars="0" w:firstLine="640" w:firstLineChars="200"/>
        <w:rPr>
          <w:rFonts w:ascii="微软雅黑" w:hAnsi="微软雅黑" w:eastAsia="微软雅黑"/>
          <w:color w:val="000000"/>
          <w:sz w:val="12"/>
          <w:szCs w:val="12"/>
        </w:rPr>
      </w:pPr>
      <w:r>
        <w:rPr>
          <w:rFonts w:hint="eastAsia" w:ascii="仿宋_GB2312" w:hAnsi="仿宋" w:eastAsia="仿宋_GB2312" w:cs="仿宋"/>
          <w:szCs w:val="32"/>
          <w:lang w:val="en-US" w:eastAsia="zh-CN"/>
        </w:rPr>
        <w:t>将预算绩效管理结果作为优化预算安排的重要依据，对执行不力单位的预算要进行相应削减，形成常规化管理。不断完善绩效评价结果的反馈和运用机制，将绩效结果向社会逐步公开，进一步增强单位的责任感和紧迫感，切实发挥绩效评价工作的应有作用。</w:t>
      </w:r>
      <w:r>
        <w:rPr>
          <w:rFonts w:hint="eastAsia" w:ascii="仿宋" w:hAnsi="仿宋" w:cs="仿宋"/>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pp7U1MABAACbAwAADgAAAAAAAAABACAAAAAfAQAAZHJzL2Uyb0RvYy54bWxQSwUG&#10;AAAAAAYABgBZAQAAU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00DFB"/>
    <w:multiLevelType w:val="singleLevel"/>
    <w:tmpl w:val="93E00DF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TA5YzYzMjM2ZDMwN2FkMDFiYzk1ZjBlMTRmZGIifQ=="/>
  </w:docVars>
  <w:rsids>
    <w:rsidRoot w:val="00000000"/>
    <w:rsid w:val="02DA6B53"/>
    <w:rsid w:val="040F20B8"/>
    <w:rsid w:val="07CF3108"/>
    <w:rsid w:val="09A340BD"/>
    <w:rsid w:val="0A5627EE"/>
    <w:rsid w:val="12242D26"/>
    <w:rsid w:val="16BF3418"/>
    <w:rsid w:val="1762511B"/>
    <w:rsid w:val="1B032AE8"/>
    <w:rsid w:val="24745A2B"/>
    <w:rsid w:val="2483647E"/>
    <w:rsid w:val="282F7942"/>
    <w:rsid w:val="293C2B3D"/>
    <w:rsid w:val="2B0F281A"/>
    <w:rsid w:val="2B456700"/>
    <w:rsid w:val="2C733F6E"/>
    <w:rsid w:val="2DDF52F1"/>
    <w:rsid w:val="2E5F71B6"/>
    <w:rsid w:val="2F0025B3"/>
    <w:rsid w:val="31C54F42"/>
    <w:rsid w:val="39DD37C3"/>
    <w:rsid w:val="3B9D6ADE"/>
    <w:rsid w:val="40197122"/>
    <w:rsid w:val="43381438"/>
    <w:rsid w:val="43557D59"/>
    <w:rsid w:val="47373E5D"/>
    <w:rsid w:val="4BA304ED"/>
    <w:rsid w:val="4DC27C75"/>
    <w:rsid w:val="4E006726"/>
    <w:rsid w:val="4E91586F"/>
    <w:rsid w:val="4FAB4A87"/>
    <w:rsid w:val="513C643F"/>
    <w:rsid w:val="525B7AB8"/>
    <w:rsid w:val="560B605D"/>
    <w:rsid w:val="598B731E"/>
    <w:rsid w:val="5A066C41"/>
    <w:rsid w:val="5D032CC4"/>
    <w:rsid w:val="60D16366"/>
    <w:rsid w:val="6183131F"/>
    <w:rsid w:val="6197014F"/>
    <w:rsid w:val="62521E64"/>
    <w:rsid w:val="635F0F65"/>
    <w:rsid w:val="64FF33BE"/>
    <w:rsid w:val="685B5523"/>
    <w:rsid w:val="6A0E6BA7"/>
    <w:rsid w:val="6E6B5B3A"/>
    <w:rsid w:val="70812CC6"/>
    <w:rsid w:val="761A1EFD"/>
    <w:rsid w:val="779F72CB"/>
    <w:rsid w:val="78163585"/>
    <w:rsid w:val="7A370A17"/>
    <w:rsid w:val="7B1B5C04"/>
    <w:rsid w:val="7B964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宋体"/>
      <w:kern w:val="2"/>
      <w:sz w:val="32"/>
      <w:szCs w:val="24"/>
      <w:lang w:val="en-US" w:eastAsia="zh-CN" w:bidi="ar-SA"/>
    </w:rPr>
  </w:style>
  <w:style w:type="paragraph" w:styleId="3">
    <w:name w:val="heading 2"/>
    <w:basedOn w:val="1"/>
    <w:next w:val="1"/>
    <w:link w:val="12"/>
    <w:qFormat/>
    <w:uiPriority w:val="0"/>
    <w:pPr>
      <w:keepNext/>
      <w:keepLines/>
      <w:spacing w:before="260" w:after="260" w:line="416" w:lineRule="auto"/>
      <w:outlineLvl w:val="1"/>
    </w:pPr>
    <w:rPr>
      <w:rFonts w:ascii="Calibri Light" w:hAnsi="Calibri Light" w:eastAsia="宋体" w:cs="宋体"/>
      <w:b/>
      <w:bCs/>
      <w:szCs w:val="32"/>
    </w:rPr>
  </w:style>
  <w:style w:type="paragraph" w:styleId="4">
    <w:name w:val="heading 4"/>
    <w:basedOn w:val="1"/>
    <w:next w:val="1"/>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Emphasis"/>
    <w:basedOn w:val="9"/>
    <w:qFormat/>
    <w:uiPriority w:val="0"/>
    <w:rPr>
      <w:i/>
    </w:rPr>
  </w:style>
  <w:style w:type="paragraph" w:styleId="11">
    <w:name w:val="List Paragraph"/>
    <w:basedOn w:val="1"/>
    <w:qFormat/>
    <w:uiPriority w:val="99"/>
    <w:pPr>
      <w:ind w:firstLine="420" w:firstLineChars="200"/>
    </w:pPr>
  </w:style>
  <w:style w:type="character" w:customStyle="1" w:styleId="12">
    <w:name w:val="标题 2 Char"/>
    <w:basedOn w:val="9"/>
    <w:link w:val="3"/>
    <w:qFormat/>
    <w:uiPriority w:val="0"/>
    <w:rPr>
      <w:rFonts w:ascii="Calibri Light" w:hAnsi="Calibri Light" w:eastAsia="宋体" w:cs="宋体"/>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1466</Words>
  <Characters>1535</Characters>
  <Paragraphs>52</Paragraphs>
  <TotalTime>0</TotalTime>
  <ScaleCrop>false</ScaleCrop>
  <LinksUpToDate>false</LinksUpToDate>
  <CharactersWithSpaces>1574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2019-06-03T07:12:00Z</dcterms:created>
  <dc:creator>Administrator</dc:creator>
  <cp:lastModifiedBy>既然不是仙难免有杂念</cp:lastModifiedBy>
  <cp:lastPrinted>2022-11-14T07:58:00Z</cp:lastPrinted>
  <dcterms:modified xsi:type="dcterms:W3CDTF">2023-09-06T00:16:29Z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63690DE9FE24460A95257C503BBBB9F6</vt:lpwstr>
  </property>
</Properties>
</file>