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240" w:lineRule="auto"/>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pPr>
        <w:spacing w:line="340" w:lineRule="exact"/>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行政裁决事项基本清单</w:t>
      </w:r>
    </w:p>
    <w:p>
      <w:pPr>
        <w:spacing w:line="320" w:lineRule="exact"/>
        <w:ind w:firstLine="120" w:firstLineChars="50"/>
        <w:jc w:val="center"/>
        <w:rPr>
          <w:rFonts w:hint="eastAsia" w:ascii="楷体" w:hAnsi="楷体" w:eastAsia="楷体" w:cs="楷体"/>
          <w:color w:val="000000"/>
          <w:sz w:val="24"/>
        </w:rPr>
      </w:pPr>
      <w:r>
        <w:rPr>
          <w:rFonts w:hint="eastAsia" w:ascii="楷体" w:hAnsi="楷体" w:eastAsia="楷体" w:cs="楷体"/>
          <w:bCs/>
          <w:color w:val="000000"/>
          <w:sz w:val="24"/>
        </w:rPr>
        <w:t>填报单位：</w:t>
      </w:r>
      <w:r>
        <w:rPr>
          <w:rFonts w:hint="eastAsia" w:ascii="楷体" w:hAnsi="楷体" w:eastAsia="楷体" w:cs="楷体"/>
          <w:bCs/>
          <w:color w:val="000000"/>
          <w:sz w:val="24"/>
          <w:lang w:eastAsia="zh-CN"/>
        </w:rPr>
        <w:t>盘锦市大洼区卫生健康局</w:t>
      </w:r>
      <w:r>
        <w:rPr>
          <w:rFonts w:hint="eastAsia" w:ascii="楷体" w:hAnsi="楷体" w:eastAsia="楷体" w:cs="楷体"/>
          <w:bCs/>
          <w:color w:val="000000"/>
          <w:sz w:val="24"/>
        </w:rPr>
        <w:t xml:space="preserve">                                              </w:t>
      </w:r>
      <w:r>
        <w:rPr>
          <w:rFonts w:hint="default" w:ascii="楷体" w:hAnsi="楷体" w:eastAsia="楷体" w:cs="楷体"/>
          <w:bCs/>
          <w:color w:val="000000"/>
          <w:sz w:val="24"/>
        </w:rPr>
        <w:t xml:space="preserve">  </w:t>
      </w:r>
      <w:r>
        <w:rPr>
          <w:rFonts w:hint="eastAsia" w:ascii="楷体" w:hAnsi="楷体" w:eastAsia="楷体" w:cs="楷体"/>
          <w:bCs/>
          <w:color w:val="000000"/>
          <w:sz w:val="24"/>
        </w:rPr>
        <w:t xml:space="preserve">        填报时间： </w:t>
      </w:r>
      <w:r>
        <w:rPr>
          <w:rFonts w:hint="eastAsia" w:ascii="楷体" w:hAnsi="楷体" w:eastAsia="楷体" w:cs="楷体"/>
          <w:bCs/>
          <w:color w:val="000000"/>
          <w:sz w:val="24"/>
          <w:lang w:val="en-US" w:eastAsia="zh-CN"/>
        </w:rPr>
        <w:t>2023</w:t>
      </w:r>
      <w:r>
        <w:rPr>
          <w:rFonts w:hint="eastAsia" w:ascii="楷体" w:hAnsi="楷体" w:eastAsia="楷体" w:cs="楷体"/>
          <w:bCs/>
          <w:color w:val="000000"/>
          <w:sz w:val="24"/>
        </w:rPr>
        <w:t xml:space="preserve">年 </w:t>
      </w:r>
      <w:r>
        <w:rPr>
          <w:rFonts w:hint="eastAsia" w:ascii="楷体" w:hAnsi="楷体" w:eastAsia="楷体" w:cs="楷体"/>
          <w:bCs/>
          <w:color w:val="000000"/>
          <w:sz w:val="24"/>
          <w:lang w:val="en-US" w:eastAsia="zh-CN"/>
        </w:rPr>
        <w:t>8</w:t>
      </w:r>
      <w:r>
        <w:rPr>
          <w:rFonts w:hint="eastAsia" w:ascii="楷体" w:hAnsi="楷体" w:eastAsia="楷体" w:cs="楷体"/>
          <w:bCs/>
          <w:color w:val="000000"/>
          <w:sz w:val="24"/>
        </w:rPr>
        <w:t xml:space="preserve">月 </w:t>
      </w:r>
      <w:r>
        <w:rPr>
          <w:rFonts w:hint="eastAsia" w:ascii="楷体" w:hAnsi="楷体" w:eastAsia="楷体" w:cs="楷体"/>
          <w:bCs/>
          <w:color w:val="000000"/>
          <w:sz w:val="24"/>
          <w:lang w:val="en-US" w:eastAsia="zh-CN"/>
        </w:rPr>
        <w:t>17</w:t>
      </w:r>
      <w:r>
        <w:rPr>
          <w:rFonts w:hint="eastAsia" w:ascii="楷体" w:hAnsi="楷体" w:eastAsia="楷体" w:cs="楷体"/>
          <w:bCs/>
          <w:color w:val="000000"/>
          <w:sz w:val="24"/>
        </w:rPr>
        <w:t>日</w:t>
      </w:r>
    </w:p>
    <w:tbl>
      <w:tblPr>
        <w:tblW w:w="14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435"/>
        <w:gridCol w:w="629"/>
        <w:gridCol w:w="8742"/>
        <w:gridCol w:w="1005"/>
        <w:gridCol w:w="703"/>
        <w:gridCol w:w="744"/>
        <w:gridCol w:w="698"/>
      </w:tblGrid>
      <w:tr>
        <w:trPr>
          <w:trHeight w:val="620" w:hRule="atLeast"/>
          <w:jc w:val="center"/>
        </w:trPr>
        <w:tc>
          <w:tcPr>
            <w:tcW w:w="421" w:type="dxa"/>
            <w:vAlign w:val="center"/>
          </w:tcPr>
          <w:p>
            <w:pPr>
              <w:spacing w:line="260" w:lineRule="exact"/>
              <w:jc w:val="center"/>
              <w:rPr>
                <w:rFonts w:hint="eastAsia" w:ascii="楷体" w:hAnsi="楷体" w:eastAsia="楷体" w:cs="楷体"/>
                <w:color w:val="000000"/>
                <w:spacing w:val="-14"/>
                <w:sz w:val="18"/>
                <w:szCs w:val="18"/>
              </w:rPr>
            </w:pPr>
            <w:r>
              <w:rPr>
                <w:rFonts w:hint="eastAsia" w:ascii="楷体" w:hAnsi="楷体" w:eastAsia="楷体" w:cs="楷体"/>
                <w:color w:val="000000"/>
                <w:spacing w:val="-14"/>
                <w:sz w:val="18"/>
                <w:szCs w:val="18"/>
              </w:rPr>
              <w:t>序号</w:t>
            </w:r>
          </w:p>
        </w:tc>
        <w:tc>
          <w:tcPr>
            <w:tcW w:w="1435" w:type="dxa"/>
            <w:vAlign w:val="center"/>
          </w:tcPr>
          <w:p>
            <w:pPr>
              <w:spacing w:line="260" w:lineRule="exact"/>
              <w:jc w:val="center"/>
              <w:rPr>
                <w:rFonts w:hint="eastAsia" w:ascii="楷体" w:hAnsi="楷体" w:eastAsia="楷体" w:cs="楷体"/>
                <w:color w:val="000000"/>
                <w:spacing w:val="-14"/>
                <w:sz w:val="18"/>
                <w:szCs w:val="18"/>
              </w:rPr>
            </w:pPr>
            <w:r>
              <w:rPr>
                <w:rFonts w:hint="eastAsia" w:ascii="楷体" w:hAnsi="楷体" w:eastAsia="楷体" w:cs="楷体"/>
                <w:color w:val="000000"/>
                <w:spacing w:val="-14"/>
                <w:sz w:val="18"/>
                <w:szCs w:val="18"/>
                <w:lang w:eastAsia="zh-CN"/>
              </w:rPr>
              <w:t>市</w:t>
            </w:r>
            <w:r>
              <w:rPr>
                <w:rFonts w:hint="eastAsia" w:ascii="楷体" w:hAnsi="楷体" w:eastAsia="楷体" w:cs="楷体"/>
                <w:color w:val="000000"/>
                <w:spacing w:val="-14"/>
                <w:sz w:val="18"/>
                <w:szCs w:val="18"/>
              </w:rPr>
              <w:t>级业务指导（实施）部门</w:t>
            </w:r>
          </w:p>
        </w:tc>
        <w:tc>
          <w:tcPr>
            <w:tcW w:w="629" w:type="dxa"/>
            <w:vAlign w:val="center"/>
          </w:tcPr>
          <w:p>
            <w:pPr>
              <w:spacing w:line="260" w:lineRule="exact"/>
              <w:jc w:val="center"/>
              <w:rPr>
                <w:rFonts w:hint="eastAsia" w:ascii="楷体" w:hAnsi="楷体" w:eastAsia="楷体" w:cs="楷体"/>
                <w:color w:val="000000"/>
                <w:spacing w:val="-14"/>
                <w:sz w:val="18"/>
                <w:szCs w:val="18"/>
              </w:rPr>
            </w:pPr>
            <w:r>
              <w:rPr>
                <w:rFonts w:hint="eastAsia" w:ascii="楷体" w:hAnsi="楷体" w:eastAsia="楷体" w:cs="楷体"/>
                <w:color w:val="000000"/>
                <w:spacing w:val="-14"/>
                <w:sz w:val="18"/>
                <w:szCs w:val="18"/>
              </w:rPr>
              <w:t>事项名称</w:t>
            </w:r>
          </w:p>
        </w:tc>
        <w:tc>
          <w:tcPr>
            <w:tcW w:w="8742" w:type="dxa"/>
            <w:vAlign w:val="center"/>
          </w:tcPr>
          <w:p>
            <w:pPr>
              <w:spacing w:line="460" w:lineRule="exact"/>
              <w:jc w:val="center"/>
              <w:rPr>
                <w:rFonts w:hint="eastAsia" w:ascii="楷体" w:hAnsi="楷体" w:eastAsia="楷体" w:cs="楷体"/>
                <w:color w:val="000000"/>
                <w:spacing w:val="-14"/>
                <w:sz w:val="18"/>
                <w:szCs w:val="18"/>
              </w:rPr>
            </w:pPr>
            <w:r>
              <w:rPr>
                <w:rFonts w:hint="eastAsia" w:ascii="楷体" w:hAnsi="楷体" w:eastAsia="楷体" w:cs="楷体"/>
                <w:color w:val="000000"/>
                <w:spacing w:val="-14"/>
                <w:sz w:val="18"/>
                <w:szCs w:val="18"/>
              </w:rPr>
              <w:t>法律、法规设定依据</w:t>
            </w:r>
          </w:p>
        </w:tc>
        <w:tc>
          <w:tcPr>
            <w:tcW w:w="1005" w:type="dxa"/>
            <w:vAlign w:val="center"/>
          </w:tcPr>
          <w:p>
            <w:pPr>
              <w:spacing w:line="260" w:lineRule="exact"/>
              <w:jc w:val="center"/>
              <w:rPr>
                <w:rFonts w:hint="eastAsia" w:ascii="楷体" w:hAnsi="楷体" w:eastAsia="楷体" w:cs="楷体"/>
                <w:color w:val="000000"/>
                <w:spacing w:val="-14"/>
                <w:sz w:val="18"/>
                <w:szCs w:val="18"/>
              </w:rPr>
            </w:pPr>
            <w:r>
              <w:rPr>
                <w:rFonts w:hint="eastAsia" w:ascii="楷体" w:hAnsi="楷体" w:eastAsia="楷体" w:cs="楷体"/>
                <w:color w:val="000000"/>
                <w:spacing w:val="-14"/>
                <w:sz w:val="18"/>
                <w:szCs w:val="18"/>
              </w:rPr>
              <w:t>实施</w:t>
            </w:r>
          </w:p>
          <w:p>
            <w:pPr>
              <w:spacing w:line="260" w:lineRule="exact"/>
              <w:jc w:val="center"/>
              <w:rPr>
                <w:rFonts w:hint="eastAsia" w:ascii="楷体" w:hAnsi="楷体" w:eastAsia="楷体" w:cs="楷体"/>
                <w:color w:val="000000"/>
                <w:spacing w:val="-14"/>
                <w:sz w:val="18"/>
                <w:szCs w:val="18"/>
              </w:rPr>
            </w:pPr>
            <w:r>
              <w:rPr>
                <w:rFonts w:hint="eastAsia" w:ascii="楷体" w:hAnsi="楷体" w:eastAsia="楷体" w:cs="楷体"/>
                <w:color w:val="000000"/>
                <w:spacing w:val="-14"/>
                <w:sz w:val="18"/>
                <w:szCs w:val="18"/>
              </w:rPr>
              <w:t>主体</w:t>
            </w:r>
          </w:p>
        </w:tc>
        <w:tc>
          <w:tcPr>
            <w:tcW w:w="703" w:type="dxa"/>
            <w:vAlign w:val="center"/>
          </w:tcPr>
          <w:p>
            <w:pPr>
              <w:spacing w:line="260" w:lineRule="exact"/>
              <w:jc w:val="center"/>
              <w:rPr>
                <w:rFonts w:hint="eastAsia" w:ascii="楷体" w:hAnsi="楷体" w:eastAsia="楷体" w:cs="楷体"/>
                <w:color w:val="000000"/>
                <w:spacing w:val="-14"/>
                <w:sz w:val="18"/>
                <w:szCs w:val="18"/>
              </w:rPr>
            </w:pPr>
            <w:r>
              <w:rPr>
                <w:rFonts w:hint="eastAsia" w:ascii="楷体" w:hAnsi="楷体" w:eastAsia="楷体" w:cs="楷体"/>
                <w:color w:val="000000"/>
                <w:spacing w:val="-14"/>
                <w:sz w:val="18"/>
                <w:szCs w:val="18"/>
              </w:rPr>
              <w:t>行使层级</w:t>
            </w:r>
          </w:p>
        </w:tc>
        <w:tc>
          <w:tcPr>
            <w:tcW w:w="744" w:type="dxa"/>
            <w:vAlign w:val="center"/>
          </w:tcPr>
          <w:p>
            <w:pPr>
              <w:spacing w:line="260" w:lineRule="exact"/>
              <w:jc w:val="center"/>
              <w:rPr>
                <w:rFonts w:hint="eastAsia" w:ascii="楷体" w:hAnsi="楷体" w:eastAsia="楷体" w:cs="楷体"/>
                <w:color w:val="000000"/>
                <w:spacing w:val="-14"/>
                <w:sz w:val="18"/>
                <w:szCs w:val="18"/>
              </w:rPr>
            </w:pPr>
            <w:r>
              <w:rPr>
                <w:rFonts w:hint="eastAsia" w:ascii="楷体" w:hAnsi="楷体" w:eastAsia="楷体" w:cs="楷体"/>
                <w:color w:val="000000"/>
                <w:spacing w:val="-14"/>
                <w:sz w:val="18"/>
                <w:szCs w:val="18"/>
              </w:rPr>
              <w:t>救济</w:t>
            </w:r>
          </w:p>
          <w:p>
            <w:pPr>
              <w:spacing w:line="260" w:lineRule="exact"/>
              <w:jc w:val="center"/>
              <w:rPr>
                <w:rFonts w:hint="eastAsia" w:ascii="楷体" w:hAnsi="楷体" w:eastAsia="楷体" w:cs="楷体"/>
                <w:color w:val="000000"/>
                <w:spacing w:val="-14"/>
                <w:sz w:val="18"/>
                <w:szCs w:val="18"/>
              </w:rPr>
            </w:pPr>
            <w:r>
              <w:rPr>
                <w:rFonts w:hint="eastAsia" w:ascii="楷体" w:hAnsi="楷体" w:eastAsia="楷体" w:cs="楷体"/>
                <w:color w:val="000000"/>
                <w:spacing w:val="-14"/>
                <w:sz w:val="18"/>
                <w:szCs w:val="18"/>
              </w:rPr>
              <w:t>途径</w:t>
            </w:r>
          </w:p>
        </w:tc>
        <w:tc>
          <w:tcPr>
            <w:tcW w:w="698" w:type="dxa"/>
            <w:vAlign w:val="center"/>
          </w:tcPr>
          <w:p>
            <w:pPr>
              <w:spacing w:line="260" w:lineRule="exact"/>
              <w:jc w:val="center"/>
              <w:rPr>
                <w:rFonts w:hint="eastAsia" w:ascii="楷体" w:hAnsi="楷体" w:eastAsia="楷体" w:cs="楷体"/>
                <w:color w:val="000000"/>
                <w:spacing w:val="-14"/>
                <w:sz w:val="18"/>
                <w:szCs w:val="18"/>
              </w:rPr>
            </w:pPr>
            <w:r>
              <w:rPr>
                <w:rFonts w:hint="eastAsia" w:ascii="楷体" w:hAnsi="楷体" w:eastAsia="楷体" w:cs="楷体"/>
                <w:color w:val="000000"/>
                <w:spacing w:val="-14"/>
                <w:sz w:val="18"/>
                <w:szCs w:val="18"/>
              </w:rPr>
              <w:t>其他</w:t>
            </w:r>
          </w:p>
        </w:tc>
      </w:tr>
      <w:tr>
        <w:trPr>
          <w:trHeight w:val="2710" w:hRule="atLeast"/>
          <w:jc w:val="center"/>
        </w:trPr>
        <w:tc>
          <w:tcPr>
            <w:tcW w:w="421" w:type="dxa"/>
            <w:vAlign w:val="center"/>
          </w:tcPr>
          <w:p>
            <w:pPr>
              <w:spacing w:line="260" w:lineRule="exact"/>
              <w:jc w:val="center"/>
              <w:rPr>
                <w:rFonts w:hint="eastAsia" w:ascii="仿宋" w:hAnsi="仿宋" w:eastAsia="仿宋" w:cs="仿宋"/>
                <w:color w:val="000000"/>
                <w:spacing w:val="-14"/>
                <w:sz w:val="18"/>
                <w:szCs w:val="18"/>
              </w:rPr>
            </w:pPr>
            <w:r>
              <w:rPr>
                <w:rFonts w:hint="eastAsia" w:ascii="仿宋" w:hAnsi="仿宋" w:eastAsia="仿宋" w:cs="仿宋"/>
                <w:color w:val="000000"/>
                <w:spacing w:val="-14"/>
                <w:sz w:val="18"/>
                <w:szCs w:val="18"/>
              </w:rPr>
              <w:t>1</w:t>
            </w:r>
          </w:p>
        </w:tc>
        <w:tc>
          <w:tcPr>
            <w:tcW w:w="1435" w:type="dxa"/>
            <w:vAlign w:val="center"/>
          </w:tcPr>
          <w:p>
            <w:pPr>
              <w:spacing w:line="260" w:lineRule="exact"/>
              <w:jc w:val="center"/>
              <w:rPr>
                <w:rFonts w:hint="eastAsia" w:ascii="黑体" w:hAnsi="黑体" w:eastAsia="仿宋"/>
                <w:color w:val="000000"/>
                <w:spacing w:val="-14"/>
                <w:sz w:val="18"/>
                <w:szCs w:val="18"/>
                <w:lang w:eastAsia="zh-CN"/>
              </w:rPr>
            </w:pPr>
            <w:r>
              <w:rPr>
                <w:rFonts w:hint="eastAsia" w:ascii="黑体" w:hAnsi="黑体" w:eastAsia="仿宋"/>
                <w:color w:val="000000"/>
                <w:spacing w:val="-14"/>
                <w:sz w:val="18"/>
                <w:szCs w:val="18"/>
                <w:lang w:eastAsia="zh-CN"/>
              </w:rPr>
              <w:t>盘锦市卫生健康委</w:t>
            </w:r>
          </w:p>
        </w:tc>
        <w:tc>
          <w:tcPr>
            <w:tcW w:w="629" w:type="dxa"/>
            <w:vAlign w:val="center"/>
          </w:tcPr>
          <w:p>
            <w:pPr>
              <w:spacing w:line="260" w:lineRule="exact"/>
              <w:jc w:val="center"/>
              <w:rPr>
                <w:rFonts w:hint="eastAsia" w:ascii="黑体" w:hAnsi="黑体" w:eastAsia="黑体"/>
                <w:color w:val="000000"/>
                <w:spacing w:val="-14"/>
                <w:sz w:val="18"/>
                <w:szCs w:val="18"/>
              </w:rPr>
            </w:pPr>
            <w:r>
              <w:rPr>
                <w:rFonts w:hint="eastAsia" w:ascii="仿宋" w:hAnsi="仿宋" w:eastAsia="仿宋"/>
                <w:color w:val="000000"/>
                <w:spacing w:val="-14"/>
                <w:sz w:val="18"/>
                <w:szCs w:val="18"/>
              </w:rPr>
              <w:t>医疗机构名称裁定</w:t>
            </w:r>
          </w:p>
        </w:tc>
        <w:tc>
          <w:tcPr>
            <w:tcW w:w="8742" w:type="dxa"/>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仿宋" w:hAnsi="仿宋" w:eastAsia="仿宋" w:cs="仿宋"/>
                <w:i w:val="0"/>
                <w:iCs w:val="0"/>
                <w:color w:val="000000"/>
                <w:kern w:val="0"/>
                <w:sz w:val="18"/>
                <w:szCs w:val="18"/>
                <w:u w:val="none"/>
                <w:lang w:val="en-US" w:eastAsia="zh-CN"/>
              </w:rPr>
              <w:t>【规章】《医疗机构管理条例实施细则》（卫生部令1994年第35号）</w:t>
            </w:r>
            <w:r>
              <w:rPr>
                <w:rFonts w:hint="eastAsia" w:ascii="仿宋" w:hAnsi="仿宋" w:eastAsia="仿宋" w:cs="仿宋"/>
                <w:i w:val="0"/>
                <w:iCs w:val="0"/>
                <w:color w:val="000000"/>
                <w:kern w:val="0"/>
                <w:sz w:val="18"/>
                <w:szCs w:val="18"/>
                <w:u w:val="none"/>
                <w:lang w:val="en-US" w:eastAsia="zh-CN"/>
              </w:rPr>
              <w:br/>
            </w:r>
            <w:r>
              <w:rPr>
                <w:rFonts w:hint="eastAsia" w:ascii="仿宋" w:hAnsi="仿宋" w:eastAsia="仿宋" w:cs="仿宋"/>
                <w:i w:val="0"/>
                <w:iCs w:val="0"/>
                <w:color w:val="000000"/>
                <w:kern w:val="0"/>
                <w:sz w:val="18"/>
                <w:szCs w:val="18"/>
                <w:u w:val="none"/>
                <w:lang w:val="en-US" w:eastAsia="zh-CN"/>
              </w:rPr>
              <w:t>第四十九条第一款：两个以上申请人向同一核准机关申请相同的医疗机构名称，核准机关依照申请在先原则核定。属于同一天申请的，应当由申请人双方协商解决；协商不成的，由核准机关作出裁决。第二款：两个以上医疗机构因已经核准登记的医疗机构名称相同发生争议时，核准机关依照登记在先原则处理。属于同一天登记的，应当由双方协商解决；协商不成的，由核准机关报上一级卫生行政部门作出裁决。</w:t>
            </w:r>
          </w:p>
        </w:tc>
        <w:tc>
          <w:tcPr>
            <w:tcW w:w="1005" w:type="dxa"/>
            <w:vAlign w:val="center"/>
          </w:tcPr>
          <w:p>
            <w:pPr>
              <w:widowControl w:val="0"/>
              <w:wordWrap/>
              <w:adjustRightInd/>
              <w:snapToGrid/>
              <w:spacing w:line="340" w:lineRule="exact"/>
              <w:jc w:val="center"/>
              <w:textAlignment w:val="auto"/>
              <w:rPr>
                <w:rFonts w:hint="eastAsia" w:ascii="黑体" w:hAnsi="黑体" w:eastAsia="黑体"/>
                <w:color w:val="000000"/>
                <w:spacing w:val="-14"/>
                <w:sz w:val="18"/>
                <w:szCs w:val="18"/>
              </w:rPr>
            </w:pPr>
            <w:r>
              <w:rPr>
                <w:rFonts w:hint="eastAsia" w:ascii="仿宋" w:hAnsi="仿宋" w:eastAsia="仿宋"/>
                <w:color w:val="000000"/>
                <w:spacing w:val="-23"/>
                <w:sz w:val="18"/>
                <w:szCs w:val="18"/>
              </w:rPr>
              <w:t>盘锦市大洼区卫生健康局</w:t>
            </w:r>
          </w:p>
        </w:tc>
        <w:tc>
          <w:tcPr>
            <w:tcW w:w="703" w:type="dxa"/>
            <w:vAlign w:val="center"/>
          </w:tcPr>
          <w:p>
            <w:pPr>
              <w:widowControl w:val="0"/>
              <w:wordWrap/>
              <w:adjustRightInd/>
              <w:snapToGrid/>
              <w:spacing w:line="340" w:lineRule="exact"/>
              <w:ind w:firstLine="134" w:firstLineChars="100"/>
              <w:jc w:val="both"/>
              <w:textAlignment w:val="auto"/>
              <w:rPr>
                <w:rFonts w:hint="eastAsia" w:ascii="仿宋" w:hAnsi="仿宋" w:eastAsia="仿宋"/>
                <w:color w:val="000000"/>
                <w:spacing w:val="-23"/>
                <w:sz w:val="18"/>
                <w:szCs w:val="18"/>
                <w:lang w:eastAsia="zh-CN"/>
              </w:rPr>
            </w:pPr>
            <w:r>
              <w:rPr>
                <w:rFonts w:hint="eastAsia" w:ascii="仿宋" w:hAnsi="仿宋" w:eastAsia="仿宋"/>
                <w:color w:val="000000"/>
                <w:spacing w:val="-23"/>
                <w:sz w:val="18"/>
                <w:szCs w:val="18"/>
              </w:rPr>
              <w:t>县级</w:t>
            </w:r>
          </w:p>
          <w:p>
            <w:pPr>
              <w:widowControl w:val="0"/>
              <w:wordWrap/>
              <w:adjustRightInd/>
              <w:snapToGrid/>
              <w:spacing w:line="340" w:lineRule="exact"/>
              <w:jc w:val="center"/>
              <w:textAlignment w:val="auto"/>
              <w:rPr>
                <w:rFonts w:hint="eastAsia" w:ascii="黑体" w:hAnsi="黑体" w:eastAsia="黑体"/>
                <w:color w:val="000000"/>
                <w:spacing w:val="-14"/>
                <w:sz w:val="18"/>
                <w:szCs w:val="18"/>
              </w:rPr>
            </w:pPr>
          </w:p>
        </w:tc>
        <w:tc>
          <w:tcPr>
            <w:tcW w:w="744" w:type="dxa"/>
            <w:vAlign w:val="center"/>
          </w:tcPr>
          <w:p>
            <w:pPr>
              <w:spacing w:line="260" w:lineRule="exact"/>
              <w:jc w:val="center"/>
              <w:rPr>
                <w:rFonts w:hint="eastAsia" w:ascii="黑体" w:hAnsi="黑体" w:eastAsia="黑体"/>
                <w:color w:val="000000"/>
                <w:spacing w:val="-14"/>
                <w:sz w:val="18"/>
                <w:szCs w:val="18"/>
                <w:lang w:eastAsia="zh-CN"/>
              </w:rPr>
            </w:pPr>
            <w:r>
              <w:rPr>
                <w:rFonts w:hint="eastAsia" w:ascii="仿宋" w:hAnsi="仿宋" w:eastAsia="仿宋"/>
                <w:color w:val="000000"/>
                <w:spacing w:val="-23"/>
                <w:sz w:val="18"/>
                <w:szCs w:val="18"/>
                <w:lang w:eastAsia="zh-CN"/>
              </w:rPr>
              <w:t>申请人对行政许可决定不服的，可在六十日内依法提出行政复议申请或在六个月内依法提起行政诉讼</w:t>
            </w:r>
          </w:p>
        </w:tc>
        <w:tc>
          <w:tcPr>
            <w:tcW w:w="698" w:type="dxa"/>
            <w:vAlign w:val="center"/>
          </w:tcPr>
          <w:p>
            <w:pPr>
              <w:spacing w:line="260" w:lineRule="exact"/>
              <w:jc w:val="center"/>
              <w:rPr>
                <w:rFonts w:hint="eastAsia" w:ascii="黑体" w:hAnsi="黑体" w:eastAsia="黑体"/>
                <w:color w:val="000000"/>
                <w:spacing w:val="-14"/>
                <w:sz w:val="18"/>
                <w:szCs w:val="18"/>
              </w:rPr>
            </w:pPr>
            <w:bookmarkStart w:id="0" w:name="_GoBack"/>
            <w:bookmarkEnd w:id="0"/>
          </w:p>
        </w:tc>
      </w:tr>
    </w:tbl>
    <w:p>
      <w:pPr>
        <w:widowControl w:val="0"/>
        <w:wordWrap/>
        <w:adjustRightInd/>
        <w:snapToGrid/>
        <w:spacing w:line="260" w:lineRule="exact"/>
        <w:textAlignment w:val="auto"/>
        <w:rPr>
          <w:rFonts w:hint="eastAsia" w:ascii="宋体" w:hAnsi="宋体" w:eastAsia="宋体" w:cs="宋体"/>
          <w:color w:val="000000"/>
          <w:sz w:val="24"/>
          <w:szCs w:val="24"/>
        </w:rPr>
      </w:pPr>
    </w:p>
    <w:p>
      <w:pPr>
        <w:widowControl w:val="0"/>
        <w:wordWrap/>
        <w:adjustRightInd/>
        <w:snapToGrid/>
        <w:spacing w:line="2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说明：</w:t>
      </w:r>
    </w:p>
    <w:p>
      <w:pPr>
        <w:widowControl w:val="0"/>
        <w:wordWrap/>
        <w:adjustRightInd/>
        <w:snapToGrid/>
        <w:spacing w:line="260" w:lineRule="exact"/>
        <w:ind w:firstLine="360" w:firstLineChars="150"/>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1.</w:t>
      </w:r>
      <w:r>
        <w:rPr>
          <w:rFonts w:hint="eastAsia" w:ascii="宋体" w:hAnsi="宋体" w:cs="宋体"/>
          <w:bCs/>
          <w:color w:val="000000"/>
          <w:sz w:val="24"/>
          <w:szCs w:val="24"/>
          <w:lang w:eastAsia="zh-CN"/>
        </w:rPr>
        <w:t>市</w:t>
      </w:r>
      <w:r>
        <w:rPr>
          <w:rFonts w:hint="eastAsia" w:ascii="宋体" w:hAnsi="宋体" w:eastAsia="宋体" w:cs="宋体"/>
          <w:bCs/>
          <w:color w:val="000000"/>
          <w:sz w:val="24"/>
          <w:szCs w:val="24"/>
        </w:rPr>
        <w:t>级业务指导（实施）部门</w:t>
      </w:r>
      <w:r>
        <w:rPr>
          <w:rFonts w:hint="eastAsia" w:ascii="宋体" w:hAnsi="宋体" w:eastAsia="宋体" w:cs="宋体"/>
          <w:color w:val="000000"/>
          <w:sz w:val="24"/>
          <w:szCs w:val="24"/>
        </w:rPr>
        <w:t>：事项归属的业务指导（实施）部门，如：自然资源</w:t>
      </w:r>
      <w:r>
        <w:rPr>
          <w:rFonts w:hint="eastAsia" w:ascii="宋体" w:hAnsi="宋体" w:cs="宋体"/>
          <w:color w:val="000000"/>
          <w:sz w:val="24"/>
          <w:szCs w:val="24"/>
          <w:lang w:eastAsia="zh-CN"/>
        </w:rPr>
        <w:t>局</w:t>
      </w:r>
      <w:r>
        <w:rPr>
          <w:rFonts w:hint="eastAsia" w:ascii="宋体" w:hAnsi="宋体" w:eastAsia="宋体" w:cs="宋体"/>
          <w:color w:val="000000"/>
          <w:sz w:val="24"/>
          <w:szCs w:val="24"/>
        </w:rPr>
        <w:t>、财政</w:t>
      </w:r>
      <w:r>
        <w:rPr>
          <w:rFonts w:hint="eastAsia" w:ascii="宋体" w:hAnsi="宋体" w:cs="宋体"/>
          <w:color w:val="000000"/>
          <w:sz w:val="24"/>
          <w:szCs w:val="24"/>
          <w:lang w:eastAsia="zh-CN"/>
        </w:rPr>
        <w:t>局</w:t>
      </w:r>
      <w:r>
        <w:rPr>
          <w:rFonts w:hint="eastAsia" w:ascii="宋体" w:hAnsi="宋体" w:eastAsia="宋体" w:cs="宋体"/>
          <w:color w:val="000000"/>
          <w:sz w:val="24"/>
          <w:szCs w:val="24"/>
        </w:rPr>
        <w:t>、知识产权局等；</w:t>
      </w:r>
    </w:p>
    <w:p>
      <w:pPr>
        <w:widowControl w:val="0"/>
        <w:wordWrap/>
        <w:adjustRightInd/>
        <w:snapToGrid/>
        <w:spacing w:line="260" w:lineRule="exact"/>
        <w:ind w:firstLine="360" w:firstLineChars="150"/>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2.事项名称：</w:t>
      </w:r>
      <w:r>
        <w:rPr>
          <w:rFonts w:hint="eastAsia" w:ascii="宋体" w:hAnsi="宋体" w:eastAsia="宋体" w:cs="宋体"/>
          <w:color w:val="000000"/>
          <w:sz w:val="24"/>
          <w:szCs w:val="24"/>
        </w:rPr>
        <w:t>行政裁决事项的名称，如土地权属争议调处、政府采购投诉处理等；</w:t>
      </w:r>
    </w:p>
    <w:p>
      <w:pPr>
        <w:widowControl w:val="0"/>
        <w:wordWrap/>
        <w:adjustRightInd/>
        <w:snapToGrid/>
        <w:spacing w:line="260" w:lineRule="exact"/>
        <w:ind w:firstLine="360" w:firstLineChars="150"/>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3.法律、法规设定依据：</w:t>
      </w:r>
      <w:r>
        <w:rPr>
          <w:rFonts w:hint="eastAsia" w:ascii="宋体" w:hAnsi="宋体" w:eastAsia="宋体" w:cs="宋体"/>
          <w:color w:val="000000"/>
          <w:sz w:val="24"/>
          <w:szCs w:val="24"/>
        </w:rPr>
        <w:t>根据《意见》，只有法律和法规才能作为行政裁决事项的设定依据，填写依据时须加入制定机关的全称，发布文号、令号，如有修改还需填写修改令号，具体内容需定位到事项设定相关的条、款、项，避免全文引用；</w:t>
      </w:r>
    </w:p>
    <w:p>
      <w:pPr>
        <w:widowControl w:val="0"/>
        <w:wordWrap/>
        <w:adjustRightInd/>
        <w:snapToGrid/>
        <w:spacing w:line="260" w:lineRule="exact"/>
        <w:ind w:firstLine="360" w:firstLineChars="150"/>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4.实施主体：</w:t>
      </w:r>
      <w:r>
        <w:rPr>
          <w:rFonts w:hint="eastAsia" w:ascii="宋体" w:hAnsi="宋体" w:eastAsia="宋体" w:cs="宋体"/>
          <w:color w:val="000000"/>
          <w:sz w:val="24"/>
          <w:szCs w:val="24"/>
        </w:rPr>
        <w:t>法律法规设定依据中规定的实施主体，如各级人民政府、县级以上人民政府、财政部门等；</w:t>
      </w:r>
    </w:p>
    <w:p>
      <w:pPr>
        <w:widowControl w:val="0"/>
        <w:wordWrap/>
        <w:adjustRightInd/>
        <w:snapToGrid/>
        <w:spacing w:line="260" w:lineRule="exact"/>
        <w:ind w:firstLine="360" w:firstLineChars="150"/>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5.行使层级：</w:t>
      </w:r>
      <w:r>
        <w:rPr>
          <w:rFonts w:hint="eastAsia" w:ascii="宋体" w:hAnsi="宋体" w:eastAsia="宋体" w:cs="宋体"/>
          <w:color w:val="000000"/>
          <w:sz w:val="24"/>
          <w:szCs w:val="24"/>
        </w:rPr>
        <w:t>事项的行使层级，包括市级、县级、镇级，可以是设定依据规定的多个层级组合，如：市级，县级；</w:t>
      </w:r>
    </w:p>
    <w:p>
      <w:pPr>
        <w:widowControl w:val="0"/>
        <w:wordWrap/>
        <w:adjustRightInd/>
        <w:snapToGrid/>
        <w:spacing w:line="260" w:lineRule="exact"/>
        <w:ind w:firstLine="360" w:firstLineChars="150"/>
        <w:textAlignment w:val="auto"/>
      </w:pPr>
      <w:r>
        <w:rPr>
          <w:rFonts w:hint="eastAsia" w:ascii="宋体" w:hAnsi="宋体" w:eastAsia="宋体" w:cs="宋体"/>
          <w:bCs/>
          <w:color w:val="000000"/>
          <w:sz w:val="24"/>
          <w:szCs w:val="24"/>
        </w:rPr>
        <w:t>6.其    他：</w:t>
      </w:r>
      <w:r>
        <w:rPr>
          <w:rFonts w:hint="eastAsia" w:ascii="宋体" w:hAnsi="宋体" w:eastAsia="宋体" w:cs="宋体"/>
          <w:color w:val="000000"/>
          <w:sz w:val="24"/>
          <w:szCs w:val="24"/>
        </w:rPr>
        <w:t>需要注明的情况。</w:t>
      </w:r>
    </w:p>
    <w:sectPr>
      <w:pgSz w:w="16838" w:h="11906" w:orient="landscape"/>
      <w:pgMar w:top="1800" w:right="1440" w:bottom="1800" w:left="144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Arial Rounded MT Bold"/>
    <w:panose1 w:val="020F0502020204030204"/>
    <w:charset w:val="00"/>
    <w:family w:val="auto"/>
    <w:pitch w:val="default"/>
    <w:sig w:usb0="E00002FF" w:usb1="4000ACFF" w:usb2="00000001" w:usb3="00000000" w:csb0="2000019F" w:csb1="00000000"/>
  </w:font>
  <w:font w:name="方正小标宋简体">
    <w:altName w:val="宋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3">
    <w:name w:val="Default Paragraph Font"/>
    <w:semiHidden/>
    <w:qFormat/>
    <w:uiPriority w:val="0"/>
  </w:style>
  <w:style w:type="paragraph" w:styleId="2">
    <w:name w:val="footnote text"/>
    <w:basedOn w:val="1"/>
    <w:unhideWhenUsed/>
    <w:qFormat/>
    <w:uiPriority w:val="99"/>
    <w:pPr>
      <w:snapToGrid w:val="0"/>
      <w:jc w:val="left"/>
    </w:pPr>
    <w:rPr>
      <w:rFonts w:ascii="Calibri" w:hAnsi="Calibri"/>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2023-07-18T07:11:00Z</dcterms:created>
  <dc:creator>黄玉</dc:creator>
  <cp:lastModifiedBy>cpp</cp:lastModifiedBy>
  <dcterms:modified xsi:type="dcterms:W3CDTF">2023-08-29T01:42:16Z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9C42B7C6D74141CF9AA27ADD4BA65B81_13</vt:lpwstr>
  </property>
</Properties>
</file>