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bCs/>
          <w:color w:val="000000"/>
          <w:sz w:val="24"/>
        </w:rPr>
        <w:t xml:space="preserve">填报单位：  </w:t>
      </w:r>
      <w:r>
        <w:rPr>
          <w:rFonts w:hint="eastAsia" w:ascii="楷体" w:hAnsi="楷体" w:eastAsia="楷体" w:cs="楷体"/>
          <w:bCs/>
          <w:color w:val="000000"/>
          <w:sz w:val="24"/>
          <w:lang w:eastAsia="zh-CN"/>
        </w:rPr>
        <w:t>新兴镇人民政府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                                          </w:t>
      </w:r>
      <w:r>
        <w:rPr>
          <w:rFonts w:hint="default" w:ascii="楷体" w:hAnsi="楷体" w:eastAsia="楷体" w:cs="楷体"/>
          <w:bCs/>
          <w:color w:val="000000"/>
          <w:sz w:val="24"/>
        </w:rPr>
        <w:t xml:space="preserve">      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        填报时间：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2023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年  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8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月  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23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46"/>
        <w:gridCol w:w="1365"/>
        <w:gridCol w:w="8820"/>
        <w:gridCol w:w="856"/>
        <w:gridCol w:w="584"/>
        <w:gridCol w:w="58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序号</w:t>
            </w:r>
          </w:p>
        </w:tc>
        <w:tc>
          <w:tcPr>
            <w:tcW w:w="10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级业务指导（实施）部门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事项名称</w:t>
            </w:r>
          </w:p>
        </w:tc>
        <w:tc>
          <w:tcPr>
            <w:tcW w:w="8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法律、法规设定依据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主体</w:t>
            </w:r>
          </w:p>
        </w:tc>
        <w:tc>
          <w:tcPr>
            <w:tcW w:w="5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行使层级</w:t>
            </w:r>
          </w:p>
        </w:tc>
        <w:tc>
          <w:tcPr>
            <w:tcW w:w="5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途径</w:t>
            </w: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  <w:t>盘锦市</w:t>
            </w: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自然资源</w:t>
            </w: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  <w:t>局大洼分局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对个人之间、个人与单位之间土地所有权和使用权争议的行政裁决</w:t>
            </w:r>
          </w:p>
        </w:tc>
        <w:tc>
          <w:tcPr>
            <w:tcW w:w="8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856" w:type="dxa"/>
            <w:vAlign w:val="top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  <w:t>新兴镇人民政府</w:t>
            </w:r>
          </w:p>
        </w:tc>
        <w:tc>
          <w:tcPr>
            <w:tcW w:w="584" w:type="dxa"/>
            <w:vAlign w:val="top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区级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镇级</w:t>
            </w:r>
          </w:p>
        </w:tc>
        <w:tc>
          <w:tcPr>
            <w:tcW w:w="587" w:type="dxa"/>
            <w:vAlign w:val="top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-14"/>
                <w:sz w:val="18"/>
                <w:szCs w:val="18"/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  <w:t>大洼区农业农村局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对个人之间、个人与单位之间草原所有权和使用权争议的行政裁决</w:t>
            </w:r>
          </w:p>
        </w:tc>
        <w:tc>
          <w:tcPr>
            <w:tcW w:w="8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856" w:type="dxa"/>
            <w:vAlign w:val="top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  <w:t>新兴镇人民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  <w:t>政府</w:t>
            </w:r>
          </w:p>
        </w:tc>
        <w:tc>
          <w:tcPr>
            <w:tcW w:w="584" w:type="dxa"/>
            <w:vAlign w:val="top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区级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镇级</w:t>
            </w:r>
          </w:p>
        </w:tc>
        <w:tc>
          <w:tcPr>
            <w:tcW w:w="587" w:type="dxa"/>
            <w:vAlign w:val="top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14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  <w:t>大洼区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  <w:t>农业农村局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在乡境内个人与个人、个人与单位之间发生林木、林地所有权或者使用权争议的行政裁决</w:t>
            </w:r>
          </w:p>
        </w:tc>
        <w:tc>
          <w:tcPr>
            <w:tcW w:w="8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ind w:firstLine="304" w:firstLineChars="200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在林木、林地所有权或者使用权争议解决之前，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ind w:firstLine="304" w:firstLineChars="200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  <w:t>任何一方不得砍伐有争议的林木，不得抢占有争议的林地。</w:t>
            </w:r>
          </w:p>
        </w:tc>
        <w:tc>
          <w:tcPr>
            <w:tcW w:w="856" w:type="dxa"/>
            <w:vAlign w:val="top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  <w:t>新兴镇人民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  <w:t>政府</w:t>
            </w:r>
          </w:p>
        </w:tc>
        <w:tc>
          <w:tcPr>
            <w:tcW w:w="584" w:type="dxa"/>
            <w:vAlign w:val="top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区级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镇级</w:t>
            </w:r>
          </w:p>
        </w:tc>
        <w:tc>
          <w:tcPr>
            <w:tcW w:w="587" w:type="dxa"/>
            <w:vAlign w:val="top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</w:tr>
    </w:tbl>
    <w:p>
      <w:pPr>
        <w:widowControl w:val="0"/>
        <w:wordWrap/>
        <w:adjustRightInd/>
        <w:snapToGrid/>
        <w:spacing w:line="260" w:lineRule="exact"/>
        <w:textAlignment w:val="auto"/>
      </w:pPr>
    </w:p>
    <w:sectPr>
      <w:pgSz w:w="16838" w:h="11906" w:orient="landscape"/>
      <w:pgMar w:top="1406" w:right="1440" w:bottom="14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00000000"/>
    <w:rsid w:val="024F1CB2"/>
    <w:rsid w:val="1E1F6E9F"/>
    <w:rsid w:val="295B2EC9"/>
    <w:rsid w:val="547A32A8"/>
    <w:rsid w:val="55C36AC2"/>
    <w:rsid w:val="5C125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cp:lastPrinted>2023-08-23T06:41:00Z</cp:lastPrinted>
  <dcterms:modified xsi:type="dcterms:W3CDTF">2023-08-28T01:14:18Z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BB09D3D47E5E452492E9AEA56E24CE29_13</vt:lpwstr>
  </property>
</Properties>
</file>