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jc w:val="center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行政裁决事项基本清单</w:t>
      </w:r>
    </w:p>
    <w:p>
      <w:pPr>
        <w:spacing w:line="320" w:lineRule="exact"/>
        <w:ind w:firstLine="120" w:firstLineChars="50"/>
        <w:jc w:val="center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东风镇人民政府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填报时间：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年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271"/>
        <w:gridCol w:w="1080"/>
        <w:gridCol w:w="8455"/>
        <w:gridCol w:w="940"/>
        <w:gridCol w:w="768"/>
        <w:gridCol w:w="74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级业务指导（实施）部门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845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法律、法规设定依据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行使层级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途径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ind w:firstLine="152" w:firstLineChars="100"/>
              <w:jc w:val="both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大洼区农业</w:t>
            </w:r>
          </w:p>
          <w:p>
            <w:pPr>
              <w:spacing w:line="260" w:lineRule="exact"/>
              <w:ind w:firstLine="304" w:firstLineChars="200"/>
              <w:jc w:val="both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土在乡境内个人与个人、个人与单位之间发生林木、林地所有权或者使用权争议的行政裁决</w:t>
            </w:r>
          </w:p>
        </w:tc>
        <w:tc>
          <w:tcPr>
            <w:tcW w:w="84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在林木、林地所有权或者使用权争议解决之前，任何一方不得砍伐有争议的林木，不得抢占有争议的林地。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东风镇人民政府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52" w:firstLine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52" w:firstLine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盘锦市自然资源局大洼区分局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对个人之间、个人与单位之间土地所有权和使用权争议的行政裁决</w:t>
            </w:r>
          </w:p>
        </w:tc>
        <w:tc>
          <w:tcPr>
            <w:tcW w:w="84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</w:t>
            </w: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东风镇人民政府</w:t>
            </w: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请，由乡级人民政府受理和处理。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2" w:hanging="152" w:hanging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东风镇人民政府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2" w:firstLine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2" w:firstLine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ind w:firstLine="152" w:firstLineChars="100"/>
              <w:jc w:val="both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对个人之间、个人与单位之间草原所有权和使用权争议的行政裁决</w:t>
            </w:r>
          </w:p>
        </w:tc>
        <w:tc>
          <w:tcPr>
            <w:tcW w:w="84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2" w:hanging="152" w:hanging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东风镇人民政府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2" w:firstLine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2" w:firstLineChars="100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级业务指导（实施）部门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：事项归属的业务指导（实施）部门，如：自然资源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、财政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、知识产权局等；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2.事项名称：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行政裁决事项的名称，如土地权属争议调处、政府采购投诉处理等；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3.法律、法规设定依据：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意见》，只有法律和法规才能作为行政裁决事项的设定依据，填写依据时须加入制定机关的全称，发布文号、令号，如有修改还需填写修改令号，具体内容需定位到事项设定相关的条、款、项，避免全文引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4.实施主体：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法律法规设定依据中规定的实施主体，如各级人民政府、县级以上人民政府、财政部门等；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5.行使层级：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事项的行使层级，包括市级、县级、镇级，可以是设定依据规定的多个层级组合，如：市级，县级；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6.其    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需要注明的情况。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7BB509FB"/>
    <w:rsid w:val="24814966"/>
    <w:rsid w:val="2B510D64"/>
    <w:rsid w:val="41434AB8"/>
    <w:rsid w:val="52133C8C"/>
    <w:rsid w:val="5FF72A31"/>
    <w:rsid w:val="7BB509FB"/>
    <w:rsid w:val="7BE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dcterms:modified xsi:type="dcterms:W3CDTF">2023-08-25T07:05:13Z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FE2D7AEA248A426B8FA907F59FABBC18_13</vt:lpwstr>
  </property>
</Properties>
</file>