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华文中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关于盘锦市大洼区202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华文中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财政决算的报告</w:t>
      </w:r>
    </w:p>
    <w:p>
      <w:pPr>
        <w:spacing w:line="700" w:lineRule="exact"/>
        <w:jc w:val="center"/>
        <w:rPr>
          <w:rFonts w:ascii="方正小标宋简体" w:hAnsi="华文中宋" w:eastAsia="方正小标宋简体" w:cs="仿宋_GB2312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——202</w:t>
      </w:r>
      <w:r>
        <w:rPr>
          <w:rFonts w:hint="default" w:ascii="楷体_GB2312" w:eastAsia="楷体_GB2312"/>
          <w:bCs/>
          <w:sz w:val="34"/>
          <w:szCs w:val="34"/>
          <w:lang w:val="en-US"/>
        </w:rPr>
        <w:t>3</w:t>
      </w:r>
      <w:r>
        <w:rPr>
          <w:rFonts w:hint="eastAsia" w:ascii="楷体_GB2312" w:eastAsia="楷体_GB2312"/>
          <w:bCs/>
          <w:sz w:val="34"/>
          <w:szCs w:val="34"/>
        </w:rPr>
        <w:t>年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7月27</w:t>
      </w:r>
      <w:r>
        <w:rPr>
          <w:rFonts w:hint="eastAsia" w:ascii="楷体_GB2312" w:eastAsia="楷体_GB2312"/>
          <w:bCs/>
          <w:sz w:val="34"/>
          <w:szCs w:val="34"/>
        </w:rPr>
        <w:t>日在盘锦市大洼区第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十九</w:t>
      </w:r>
      <w:r>
        <w:rPr>
          <w:rFonts w:hint="eastAsia" w:ascii="楷体_GB2312" w:eastAsia="楷体_GB2312"/>
          <w:bCs/>
          <w:sz w:val="34"/>
          <w:szCs w:val="3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人民代表大会常务委员会第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十五</w:t>
      </w:r>
      <w:r>
        <w:rPr>
          <w:rFonts w:hint="eastAsia" w:ascii="楷体_GB2312" w:eastAsia="楷体_GB2312"/>
          <w:bCs/>
          <w:sz w:val="34"/>
          <w:szCs w:val="34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盘锦市大洼区</w:t>
      </w:r>
      <w:r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  <w:t>财政局局长</w:t>
      </w:r>
      <w:r>
        <w:rPr>
          <w:rFonts w:hint="eastAsia" w:ascii="楷体_GB2312" w:hAnsi="宋体" w:eastAsia="楷体_GB2312"/>
          <w:bCs/>
          <w:sz w:val="34"/>
          <w:szCs w:val="34"/>
        </w:rPr>
        <w:t xml:space="preserve">   </w:t>
      </w:r>
      <w:r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  <w:t>李彬</w:t>
      </w:r>
    </w:p>
    <w:p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Cs/>
          <w:sz w:val="34"/>
          <w:szCs w:val="34"/>
        </w:rPr>
        <w:t>主任、各位副主任、各位委员：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我受区人民政府的委托，向本次人大常委会报告盘锦市大洼区202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年财政决算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，请予审议。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一、202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4"/>
          <w:szCs w:val="34"/>
        </w:rPr>
        <w:t>年全区财政决算情况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（一）一般公共预算收支完成情况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年全区一般公共预算收入完成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87,249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105.1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下降14.3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%。主要收入项目完成情况：税收收入完成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74,536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下降8.2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%；非税收入完成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12,713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105.9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下降38.1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年全区一般公共预算支出完成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353,775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108.4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增长8.8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%。主要支出项目完成情况：一般公共服务支出完成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29,896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万元；公共安全支出完成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14,299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万元；教育支出完成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39,664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万元；文化体育与传媒支出完成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2,851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万元；社会保障和就业支出完成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83,830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万元；医疗卫生支出完成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20,904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万元；城乡社区事务支出完成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33,324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万元；农林水事务支出完成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55,767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4"/>
          <w:szCs w:val="34"/>
        </w:rPr>
        <w:t>全区财政收支平衡情况：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收入总计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558,975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万元，其中：一般公共预算收入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87,249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万元，上级补助收入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239,567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万元，上年结转收入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60,779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万元，调入资金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66,111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万元，债务转贷收入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60,191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万元，动用预算稳定调节基金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45,078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万元。支出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总计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558,975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万元，其中：一般公共预算支出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353,775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万元，上解上级支出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28,332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万元，债务还本支出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60,193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万元，安排预算稳定调节基金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63,571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万元，结转下年支出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53,104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万元，实现财政收支平衡。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（二）政府性基金预算收支完成情况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政府性基金预算收入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19,459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103.5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下降32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%，加上级补助收入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2,093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3,940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万元，调入资金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760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万元，债务转贷收入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24,447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50,699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政府性基金预算支出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13,948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101.5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下降59.8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上解上级支出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调出资金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4,372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万元，债务还本支出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24,447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万元，结转下年支出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7,783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万元，支出总计为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50,699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（三）国有资本经营预算收支完成情况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国有资本经营预算收入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27,943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同比下降82.3%，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加上级补助收入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258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49,347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77,548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国有资本经营预算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38,352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289.9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增长0.7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上解上级支出100万元，调出资金25,000万元，结转下年支出14,096万元，支出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77,548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（四）社会保险基金预算收支完成情况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社会保险基金预算收入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62,459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98.8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下降3.5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转移性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1,172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15,150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78,781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社会保险基金预算支出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60,588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97.9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下降1.1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转移性支出1,547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支出总计为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62,135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年末结余16,646万元。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二、202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4"/>
          <w:szCs w:val="34"/>
        </w:rPr>
        <w:t>年区本级财政决算情况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一般公共预算收</w:t>
      </w: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  <w:lang w:val="en-US" w:eastAsia="zh-CN"/>
        </w:rPr>
        <w:t>支</w:t>
      </w: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年区本级一般公共预算收入完成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23,875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113.7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%，同比下降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%。主要收入项目完成情况：税收收入完成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14,366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119.7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%，同比下降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%；非税收入完成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9,509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105.7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%，同比下降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21.7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年区本级一般公共预算支出完成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273,112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105.9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%,同比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增长12.5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%。主要支出项目完成情况：一般公共服务支出完成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16,580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万元；公共安全支出完成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11,805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万元；教育支出完成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35,327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万元；文化体育与传媒支出完成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1,651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万元；社会保障和就业支出完成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71,010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万元；医疗卫生支出完成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15,879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万元；城乡社区事务支出完成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15,111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万元；农林水事务支出完成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39,131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4"/>
          <w:szCs w:val="34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4"/>
          <w:szCs w:val="34"/>
        </w:rPr>
        <w:t>财政收支平衡情况：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收入总计为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476,928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万元，其中：一般公共预算收入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23,875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万元，上级补助收入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239,567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万元，下级上解收入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19,633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万元，上年结转收入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50,412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万元，调入资金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49,083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万元，债务转贷收入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60,191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万元，动用预算稳定调节基金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34,167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万元。支出总计为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476,928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万元，其中：一般公共预算支出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273,112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万元，上解上级支出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28,332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万元，补助下级支出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33,989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万元，债务还本支出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60,193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万元，安排预算稳定调节基金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41,465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万元，结转下年支出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39,837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万元，实现财政收支平衡。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政府性基金预算收支完成情况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政府性基金预算收入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19,459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103.5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下降32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%，加上级补助收入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2,093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1,053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万元，调入资金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548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万元，债务转贷收入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24,447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47,600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区本级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政府性基金预算支出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13,159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95.7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%，同比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下降55.9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%，加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上解上级支出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149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万元，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补助下级支出852万元，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调出资金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4,372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万元，债务还本支出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24,447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万元，结转下年支出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4,621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万元，支出总计为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47,600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sz w:val="34"/>
          <w:szCs w:val="34"/>
        </w:rPr>
        <w:t>国有资本经营预算收支完成情况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区本级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国有资本经营预算收入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27,943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同比下降82.3%，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加上级补助收入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258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49,277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77,478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区本级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国有资本经营预算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38,345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289.8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同比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val="en-US" w:eastAsia="zh-CN"/>
        </w:rPr>
        <w:t>增长0.8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</w:rPr>
        <w:t>%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上解上级支出100万元，调出资金25,000万元，结转下年支出14,033万元，支出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总计为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  <w:lang w:val="en-US" w:eastAsia="zh-CN"/>
        </w:rPr>
        <w:t>77,478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4"/>
          <w:szCs w:val="34"/>
        </w:rPr>
        <w:t>万元。</w:t>
      </w:r>
    </w:p>
    <w:p>
      <w:pPr>
        <w:bidi w:val="0"/>
        <w:ind w:firstLine="683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4"/>
          <w:szCs w:val="34"/>
        </w:rPr>
        <w:t>主任、各位副主任、各位委员：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虽然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我区已较好完成了各项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</w:rPr>
        <w:t>任务</w:t>
      </w:r>
      <w:r>
        <w:rPr>
          <w:rFonts w:hint="eastAsia" w:ascii="仿宋_GB2312" w:hAnsi="仿宋_GB2312" w:eastAsia="仿宋_GB2312" w:cs="仿宋_GB2312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shd w:val="clear" w:color="auto" w:fill="auto"/>
          <w:lang w:val="en-US" w:eastAsia="zh-CN"/>
        </w:rPr>
        <w:t>但我们也要清醒地认识到，当前财政工作中仍面临一些困难和问题，</w:t>
      </w:r>
      <w:r>
        <w:rPr>
          <w:rFonts w:hint="eastAsia" w:ascii="仿宋_GB2312" w:hAnsi="仿宋_GB2312" w:eastAsia="仿宋_GB2312" w:cs="仿宋_GB2312"/>
          <w:sz w:val="34"/>
          <w:szCs w:val="34"/>
        </w:rPr>
        <w:t>主要表现在：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4"/>
          <w:szCs w:val="34"/>
        </w:rPr>
        <w:t>财政收入增长乏力，刚性支出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只增不减</w:t>
      </w:r>
      <w:r>
        <w:rPr>
          <w:rFonts w:hint="eastAsia" w:ascii="仿宋_GB2312" w:hAnsi="仿宋_GB2312" w:eastAsia="仿宋_GB2312" w:cs="仿宋_GB2312"/>
          <w:sz w:val="34"/>
          <w:szCs w:val="34"/>
        </w:rPr>
        <w:t>，财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4"/>
          <w:szCs w:val="34"/>
        </w:rPr>
        <w:t>收支矛盾越发突出；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shd w:val="clear" w:color="auto" w:fill="auto"/>
          <w:lang w:val="en-US" w:eastAsia="zh-CN"/>
        </w:rPr>
        <w:t>债务存量规模大、风险等级高，还本付息压力巨大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4"/>
          <w:szCs w:val="34"/>
        </w:rPr>
        <w:t>我们将在区委的坚强领导下，自觉接受区人大的监督和指导，扎实做好各项财政工作，认真分析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4"/>
          <w:szCs w:val="34"/>
        </w:rPr>
        <w:t>，寻求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sz w:val="34"/>
          <w:szCs w:val="34"/>
        </w:rPr>
        <w:t>措施，</w:t>
      </w:r>
    </w:p>
    <w:p>
      <w:pPr>
        <w:bidi w:val="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以更加务实的作风、更加有为的担当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推动全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经济社会高质量发展。</w:t>
      </w:r>
      <w:bookmarkStart w:id="0" w:name="_GoBack"/>
      <w:bookmarkEnd w:id="0"/>
    </w:p>
    <w:p>
      <w:pPr>
        <w:bidi w:val="0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footerReference r:id="rId3" w:type="default"/>
      <w:pgSz w:w="11906" w:h="16838"/>
      <w:pgMar w:top="1531" w:right="1474" w:bottom="136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762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GRhNDkxZDcyYjcwYWI3YmRmZTE3ZTgzMGMxNjQifQ=="/>
  </w:docVars>
  <w:rsids>
    <w:rsidRoot w:val="00B7193F"/>
    <w:rsid w:val="000A4591"/>
    <w:rsid w:val="000C1977"/>
    <w:rsid w:val="00112E27"/>
    <w:rsid w:val="002226F3"/>
    <w:rsid w:val="0022376F"/>
    <w:rsid w:val="0027308C"/>
    <w:rsid w:val="002A199E"/>
    <w:rsid w:val="002D3D87"/>
    <w:rsid w:val="00303520"/>
    <w:rsid w:val="0033059C"/>
    <w:rsid w:val="003C2DC4"/>
    <w:rsid w:val="00482C8C"/>
    <w:rsid w:val="004A2FAA"/>
    <w:rsid w:val="0056413F"/>
    <w:rsid w:val="00570BA0"/>
    <w:rsid w:val="005A2C58"/>
    <w:rsid w:val="006024B8"/>
    <w:rsid w:val="00661821"/>
    <w:rsid w:val="00666D5A"/>
    <w:rsid w:val="006E3A1B"/>
    <w:rsid w:val="006E3A66"/>
    <w:rsid w:val="00780664"/>
    <w:rsid w:val="007B47B3"/>
    <w:rsid w:val="007F1392"/>
    <w:rsid w:val="008602D2"/>
    <w:rsid w:val="008C2A91"/>
    <w:rsid w:val="00920B81"/>
    <w:rsid w:val="00972643"/>
    <w:rsid w:val="0097344B"/>
    <w:rsid w:val="00991FED"/>
    <w:rsid w:val="00A34293"/>
    <w:rsid w:val="00A56C64"/>
    <w:rsid w:val="00AA7693"/>
    <w:rsid w:val="00B44396"/>
    <w:rsid w:val="00B5622A"/>
    <w:rsid w:val="00B7193F"/>
    <w:rsid w:val="00BD4A48"/>
    <w:rsid w:val="00BE423F"/>
    <w:rsid w:val="00D27C79"/>
    <w:rsid w:val="00D47101"/>
    <w:rsid w:val="00D544FA"/>
    <w:rsid w:val="00D6725D"/>
    <w:rsid w:val="00DE6F64"/>
    <w:rsid w:val="00DF7E14"/>
    <w:rsid w:val="00E63A91"/>
    <w:rsid w:val="00E87651"/>
    <w:rsid w:val="00EB0A5D"/>
    <w:rsid w:val="0EB23931"/>
    <w:rsid w:val="10057F8B"/>
    <w:rsid w:val="104F2C17"/>
    <w:rsid w:val="137A42B2"/>
    <w:rsid w:val="192B1169"/>
    <w:rsid w:val="1F8F25D3"/>
    <w:rsid w:val="28756D85"/>
    <w:rsid w:val="2D157CCC"/>
    <w:rsid w:val="311B15EE"/>
    <w:rsid w:val="3325210B"/>
    <w:rsid w:val="43DE48D8"/>
    <w:rsid w:val="457B0D80"/>
    <w:rsid w:val="47331F55"/>
    <w:rsid w:val="49BA0A66"/>
    <w:rsid w:val="4CFB09F8"/>
    <w:rsid w:val="4EBB1C4E"/>
    <w:rsid w:val="540B47A1"/>
    <w:rsid w:val="57F8308E"/>
    <w:rsid w:val="5B381EE0"/>
    <w:rsid w:val="649A171A"/>
    <w:rsid w:val="64CC2042"/>
    <w:rsid w:val="6B100E85"/>
    <w:rsid w:val="6EEC5CA9"/>
    <w:rsid w:val="71B7653D"/>
    <w:rsid w:val="73A12101"/>
    <w:rsid w:val="7B263617"/>
    <w:rsid w:val="7EA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99"/>
    <w:pPr>
      <w:ind w:left="995" w:firstLine="570"/>
    </w:pPr>
    <w:rPr>
      <w:sz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rFonts w:ascii="宋体" w:hAnsi="宋体"/>
      <w:kern w:val="0"/>
      <w:sz w:val="18"/>
      <w:szCs w:val="18"/>
    </w:rPr>
  </w:style>
  <w:style w:type="paragraph" w:styleId="8">
    <w:name w:val="Body Text First Indent 2"/>
    <w:basedOn w:val="3"/>
    <w:qFormat/>
    <w:uiPriority w:val="99"/>
    <w:pPr>
      <w:ind w:firstLine="420"/>
    </w:pPr>
  </w:style>
  <w:style w:type="character" w:styleId="11">
    <w:name w:val="page number"/>
    <w:basedOn w:val="10"/>
    <w:qFormat/>
    <w:uiPriority w:val="0"/>
  </w:style>
  <w:style w:type="paragraph" w:customStyle="1" w:styleId="12">
    <w:name w:val="BodyText"/>
    <w:basedOn w:val="1"/>
    <w:qFormat/>
    <w:uiPriority w:val="0"/>
    <w:pPr>
      <w:widowControl/>
      <w:textAlignment w:val="baseline"/>
    </w:pPr>
    <w:rPr>
      <w:rFonts w:ascii="Times New Roman" w:hAnsi="Times New Roman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p17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1996</Words>
  <Characters>2685</Characters>
  <Lines>7</Lines>
  <Paragraphs>1</Paragraphs>
  <TotalTime>0</TotalTime>
  <ScaleCrop>false</ScaleCrop>
  <LinksUpToDate>false</LinksUpToDate>
  <CharactersWithSpaces>2688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2018-05-28T00:49:00Z</dcterms:created>
  <dc:creator>微软用户</dc:creator>
  <cp:lastModifiedBy>Administrator</cp:lastModifiedBy>
  <cp:lastPrinted>2022-08-16T07:07:00Z</cp:lastPrinted>
  <dcterms:modified xsi:type="dcterms:W3CDTF">2023-07-25T08:03:40Z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7DDB1ED80DC84132BFF6F25985F17183</vt:lpwstr>
  </property>
</Properties>
</file>