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r>
        <w:rPr>
          <w:rFonts w:hint="eastAsia"/>
          <w:sz w:val="44"/>
          <w:szCs w:val="44"/>
        </w:rPr>
        <w:t>盘锦市2023年1-5月份财政预算执行情况</w:t>
      </w:r>
    </w:p>
    <w:p>
      <w:pPr>
        <w:snapToGrid w:val="0"/>
        <w:rPr>
          <w:rFonts w:ascii="仿宋" w:hAnsi="仿宋" w:eastAsia="仿宋" w:cs="宋体"/>
          <w:b/>
          <w:bCs/>
          <w:kern w:val="0"/>
          <w:sz w:val="32"/>
          <w:szCs w:val="32"/>
        </w:rPr>
      </w:pPr>
    </w:p>
    <w:p>
      <w:pPr>
        <w:pStyle w:val="2"/>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2023年1-5月份，全市各级财政部门多措并举全力组织财政收入，强化部门间协作配合，扩大税基、深度挖潜，确保各项财政收入应收尽收。</w:t>
      </w:r>
      <w:r>
        <w:rPr>
          <w:rFonts w:hint="eastAsia" w:ascii="仿宋_GB2312" w:hAnsi="仿宋" w:eastAsia="仿宋_GB2312" w:cs="宋体"/>
          <w:bCs/>
          <w:kern w:val="0"/>
          <w:sz w:val="32"/>
          <w:szCs w:val="32"/>
          <w:lang w:eastAsia="zh-CN"/>
        </w:rPr>
        <w:t>严格财政预算管理，精打细算，讲求绩效</w:t>
      </w:r>
      <w:r>
        <w:rPr>
          <w:rFonts w:hint="eastAsia" w:ascii="仿宋_GB2312" w:hAnsi="仿宋" w:eastAsia="仿宋_GB2312" w:cs="宋体"/>
          <w:bCs/>
          <w:kern w:val="0"/>
          <w:sz w:val="32"/>
          <w:szCs w:val="32"/>
        </w:rPr>
        <w:t>，保障重点支出需要，兜牢“三保”底线。</w:t>
      </w:r>
    </w:p>
    <w:p>
      <w:pPr>
        <w:snapToGrid w:val="0"/>
        <w:ind w:firstLine="640" w:firstLineChars="200"/>
        <w:rPr>
          <w:rFonts w:ascii="黑体" w:hAnsi="黑体" w:eastAsia="黑体" w:cs="宋体"/>
          <w:kern w:val="0"/>
          <w:sz w:val="32"/>
          <w:szCs w:val="32"/>
        </w:rPr>
      </w:pPr>
      <w:r>
        <w:rPr>
          <w:rFonts w:hint="eastAsia" w:ascii="黑体" w:hAnsi="黑体" w:eastAsia="黑体" w:cs="宋体"/>
          <w:kern w:val="0"/>
          <w:sz w:val="32"/>
          <w:szCs w:val="32"/>
        </w:rPr>
        <w:t>一、财政收入执行情况</w:t>
      </w:r>
    </w:p>
    <w:p>
      <w:pPr>
        <w:snapToGrid w:val="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 xml:space="preserve">   （一）一般公共预算收入</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2023年1-5月份全市一般公共预算收入67.1亿元，同比减少1.2亿元，下降1.7%。其中税收收入49.8亿元，同比增加0.9亿元，增长1.8%；非税收入17.4亿元，同比减少2.1亿元，下降10.7%，占比为25.9%。</w:t>
      </w:r>
    </w:p>
    <w:p>
      <w:pPr>
        <w:snapToGrid w:val="0"/>
        <w:ind w:firstLine="640" w:firstLineChars="200"/>
        <w:rPr>
          <w:rFonts w:ascii="仿宋_GB2312" w:hAnsi="仿宋" w:eastAsia="仿宋_GB2312" w:cs="宋体"/>
          <w:bCs/>
          <w:kern w:val="0"/>
          <w:sz w:val="32"/>
          <w:szCs w:val="32"/>
        </w:rPr>
      </w:pPr>
    </w:p>
    <w:p>
      <w:pPr>
        <w:snapToGrid w:val="0"/>
        <w:ind w:firstLine="480" w:firstLineChars="200"/>
        <w:jc w:val="center"/>
        <w:rPr>
          <w:rFonts w:ascii="仿宋_GB2312" w:hAnsi="仿宋" w:eastAsia="仿宋_GB2312" w:cs="宋体"/>
          <w:bCs/>
          <w:kern w:val="0"/>
          <w:sz w:val="24"/>
        </w:rPr>
      </w:pPr>
    </w:p>
    <w:p>
      <w:pPr>
        <w:snapToGrid w:val="0"/>
        <w:ind w:firstLine="560" w:firstLineChars="200"/>
        <w:jc w:val="center"/>
        <w:rPr>
          <w:rFonts w:ascii="仿宋" w:hAnsi="仿宋" w:eastAsia="仿宋"/>
          <w:sz w:val="28"/>
          <w:szCs w:val="28"/>
        </w:rPr>
      </w:pPr>
      <w:r>
        <w:rPr>
          <w:rFonts w:hint="eastAsia" w:ascii="仿宋" w:hAnsi="仿宋" w:eastAsia="仿宋"/>
          <w:sz w:val="28"/>
          <w:szCs w:val="28"/>
        </w:rPr>
        <w:t>2023年1-5月份全市一般公共预算收入完成情况</w:t>
      </w:r>
    </w:p>
    <w:p>
      <w:pPr>
        <w:pStyle w:val="2"/>
      </w:pPr>
    </w:p>
    <w:p>
      <w:pPr>
        <w:snapToGrid w:val="0"/>
        <w:ind w:firstLine="560" w:firstLineChars="200"/>
        <w:jc w:val="center"/>
        <w:rPr>
          <w:rFonts w:ascii="仿宋_GB2312" w:hAnsi="仿宋" w:eastAsia="仿宋_GB2312" w:cs="宋体"/>
          <w:bCs/>
          <w:kern w:val="0"/>
          <w:sz w:val="28"/>
          <w:szCs w:val="28"/>
        </w:rPr>
      </w:pPr>
      <w:r>
        <w:rPr>
          <w:rFonts w:ascii="仿宋_GB2312" w:hAnsi="仿宋" w:eastAsia="仿宋_GB2312" w:cs="宋体"/>
          <w:bCs/>
          <w:kern w:val="0"/>
          <w:sz w:val="28"/>
          <w:szCs w:val="28"/>
        </w:rPr>
        <w:drawing>
          <wp:inline distT="0" distB="0" distL="0" distR="0">
            <wp:extent cx="4572000" cy="2743200"/>
            <wp:effectExtent l="19050" t="0" r="19050" b="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spacing w:line="300" w:lineRule="exact"/>
        <w:jc w:val="center"/>
      </w:pPr>
    </w:p>
    <w:p>
      <w:pPr>
        <w:pStyle w:val="2"/>
        <w:spacing w:line="300" w:lineRule="exact"/>
        <w:jc w:val="cente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2023年1-5月份全市一般公共预算收入完成情况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p>
      <w:pPr>
        <w:snapToGrid w:val="0"/>
        <w:jc w:val="center"/>
        <w:rPr>
          <w:rFonts w:ascii="仿宋" w:hAnsi="仿宋" w:eastAsia="仿宋" w:cs="宋体"/>
          <w:b/>
          <w:bCs/>
          <w:kern w:val="0"/>
          <w:sz w:val="32"/>
          <w:szCs w:val="32"/>
        </w:rPr>
      </w:pPr>
      <w:r>
        <w:rPr>
          <w:rFonts w:ascii="仿宋" w:hAnsi="仿宋" w:eastAsia="仿宋" w:cs="宋体"/>
          <w:b/>
          <w:bCs/>
          <w:kern w:val="0"/>
          <w:sz w:val="32"/>
          <w:szCs w:val="32"/>
        </w:rPr>
        <w:drawing>
          <wp:inline distT="0" distB="0" distL="0" distR="0">
            <wp:extent cx="5067935" cy="2228850"/>
            <wp:effectExtent l="19050" t="0" r="18415" b="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napToGrid w:val="0"/>
        <w:rPr>
          <w:rFonts w:ascii="仿宋" w:hAnsi="仿宋" w:eastAsia="仿宋" w:cs="宋体"/>
          <w:b/>
          <w:bCs/>
          <w:kern w:val="0"/>
          <w:sz w:val="32"/>
          <w:szCs w:val="32"/>
        </w:rPr>
      </w:pPr>
    </w:p>
    <w:p>
      <w:pPr>
        <w:snapToGrid w:val="0"/>
        <w:ind w:firstLine="643" w:firstLineChars="200"/>
        <w:rPr>
          <w:rFonts w:ascii="仿宋" w:hAnsi="仿宋" w:eastAsia="仿宋" w:cs="宋体"/>
          <w:b/>
          <w:bCs/>
          <w:kern w:val="0"/>
          <w:sz w:val="32"/>
          <w:szCs w:val="32"/>
        </w:rPr>
      </w:pP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分级次：</w:t>
      </w:r>
      <w:r>
        <w:rPr>
          <w:rFonts w:hint="eastAsia" w:ascii="仿宋_GB2312" w:hAnsi="仿宋" w:eastAsia="仿宋_GB2312" w:cs="宋体"/>
          <w:bCs/>
          <w:kern w:val="0"/>
          <w:sz w:val="32"/>
          <w:szCs w:val="32"/>
        </w:rPr>
        <w:t>市本级23.5亿元，同比下降2.9%，为预算的45.0%；县区级43.7亿元，同比下降1.1%，为预算的58.0%，其中：盘山县4.7亿元，同比增长13.0%，为预算的42.4%；双台子区2.4亿元，同比增长48.7%，为预算的54.9%；兴隆台区11.4亿元，同比增长17.7%，为预算的57.0%；大洼区4.8亿元，同比增长16.6%，为预算的51.1%；辽滨经开区20.5亿元，同比下降17.0%，为预算的66.8%。</w:t>
      </w:r>
    </w:p>
    <w:p>
      <w:pPr>
        <w:pStyle w:val="2"/>
      </w:pPr>
    </w:p>
    <w:p>
      <w:pPr>
        <w:pStyle w:val="2"/>
      </w:pPr>
    </w:p>
    <w:p>
      <w:pPr>
        <w:pStyle w:val="2"/>
        <w:spacing w:line="300" w:lineRule="exact"/>
        <w:ind w:right="1470"/>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2023年1-5月份全市一般公共预算收入分级次完成情况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jc w:val="center"/>
      </w:pPr>
      <w:r>
        <w:drawing>
          <wp:inline distT="0" distB="0" distL="0" distR="0">
            <wp:extent cx="4448175" cy="2657475"/>
            <wp:effectExtent l="19050" t="0" r="9525" b="0"/>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napToGrid w:val="0"/>
        <w:ind w:firstLine="643" w:firstLineChars="200"/>
        <w:rPr>
          <w:rFonts w:ascii="仿宋" w:hAnsi="仿宋" w:eastAsia="仿宋" w:cs="宋体"/>
          <w:b/>
          <w:bCs/>
          <w:kern w:val="0"/>
          <w:sz w:val="32"/>
          <w:szCs w:val="32"/>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2023年1-5月份全市一般公共预算收入分级次变动情况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pPr>
    </w:p>
    <w:p>
      <w:pPr>
        <w:pStyle w:val="2"/>
        <w:jc w:val="center"/>
      </w:pPr>
      <w:r>
        <w:drawing>
          <wp:inline distT="0" distB="0" distL="0" distR="0">
            <wp:extent cx="5257800" cy="2124075"/>
            <wp:effectExtent l="19050" t="0" r="19050" b="0"/>
            <wp:docPr id="1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
      </w:pPr>
    </w:p>
    <w:p>
      <w:pPr>
        <w:snapToGrid w:val="0"/>
        <w:ind w:firstLine="643" w:firstLineChars="200"/>
        <w:rPr>
          <w:rFonts w:ascii="仿宋_GB2312" w:hAnsi="仿宋" w:eastAsia="仿宋_GB2312" w:cs="宋体"/>
          <w:b/>
          <w:bCs/>
          <w:kern w:val="0"/>
          <w:sz w:val="32"/>
          <w:szCs w:val="32"/>
        </w:rPr>
      </w:pPr>
      <w:r>
        <w:rPr>
          <w:rFonts w:hint="eastAsia" w:ascii="仿宋_GB2312" w:hAnsi="仿宋" w:eastAsia="仿宋_GB2312" w:cs="宋体"/>
          <w:b/>
          <w:bCs/>
          <w:kern w:val="0"/>
          <w:sz w:val="32"/>
          <w:szCs w:val="32"/>
        </w:rPr>
        <w:t>分项目：</w:t>
      </w:r>
    </w:p>
    <w:p>
      <w:pPr>
        <w:snapToGrid w:val="0"/>
        <w:ind w:firstLine="627" w:firstLineChars="196"/>
        <w:rPr>
          <w:rFonts w:ascii="仿宋_GB2312" w:hAnsi="仿宋" w:eastAsia="仿宋_GB2312" w:cs="宋体"/>
          <w:b/>
          <w:bCs/>
          <w:kern w:val="0"/>
          <w:sz w:val="32"/>
          <w:szCs w:val="32"/>
        </w:rPr>
      </w:pPr>
      <w:r>
        <w:rPr>
          <w:rFonts w:hint="eastAsia" w:ascii="仿宋_GB2312" w:hAnsi="仿宋" w:eastAsia="仿宋_GB2312" w:cs="宋体"/>
          <w:kern w:val="0"/>
          <w:sz w:val="32"/>
          <w:szCs w:val="32"/>
        </w:rPr>
        <w:t>1.税收收入49.8亿元，同比增加0.9亿元，增长1.8%。其中：</w:t>
      </w:r>
    </w:p>
    <w:p>
      <w:pPr>
        <w:snapToGrid w:val="0"/>
        <w:ind w:firstLine="627" w:firstLineChars="196"/>
        <w:rPr>
          <w:rFonts w:ascii="仿宋_GB2312" w:hAnsi="仿宋" w:eastAsia="仿宋_GB2312" w:cs="宋体"/>
          <w:kern w:val="0"/>
          <w:sz w:val="32"/>
          <w:szCs w:val="32"/>
        </w:rPr>
      </w:pPr>
      <w:r>
        <w:rPr>
          <w:rFonts w:hint="eastAsia" w:ascii="仿宋_GB2312" w:hAnsi="仿宋" w:eastAsia="仿宋_GB2312" w:cs="宋体"/>
          <w:kern w:val="0"/>
          <w:sz w:val="32"/>
          <w:szCs w:val="32"/>
        </w:rPr>
        <w:t>（1）分产业</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第一产业747万元，占税收收入的0.2%，同比增加73万元，增长10.8%，主要是县区乡村旅游振兴带动的；第二产业34.4亿元，占税收收入的69.1%</w:t>
      </w:r>
      <w:r>
        <w:rPr>
          <w:rFonts w:hint="eastAsia" w:ascii="仿宋" w:hAnsi="仿宋" w:eastAsia="仿宋" w:cs="宋体"/>
          <w:bCs/>
          <w:kern w:val="0"/>
          <w:sz w:val="32"/>
          <w:szCs w:val="32"/>
          <w:lang w:eastAsia="zh-CN"/>
        </w:rPr>
        <w:t>，</w:t>
      </w:r>
      <w:r>
        <w:rPr>
          <w:rFonts w:hint="eastAsia" w:ascii="仿宋" w:hAnsi="仿宋" w:eastAsia="仿宋" w:cs="宋体"/>
          <w:bCs/>
          <w:kern w:val="0"/>
          <w:sz w:val="32"/>
          <w:szCs w:val="32"/>
        </w:rPr>
        <w:t>同比减少3.4亿元，下降9.0%，</w:t>
      </w:r>
      <w:r>
        <w:rPr>
          <w:rFonts w:hint="eastAsia" w:ascii="仿宋" w:hAnsi="仿宋" w:eastAsia="仿宋" w:cs="宋体"/>
          <w:bCs/>
          <w:kern w:val="0"/>
          <w:sz w:val="32"/>
          <w:szCs w:val="32"/>
          <w:lang w:eastAsia="zh-CN"/>
        </w:rPr>
        <w:t>主要是原油价格走低、重点税源企业进项税抵扣较多、石化行业盈利能力下降</w:t>
      </w:r>
      <w:r>
        <w:rPr>
          <w:rFonts w:hint="eastAsia" w:ascii="仿宋" w:hAnsi="仿宋" w:eastAsia="仿宋" w:cs="宋体"/>
          <w:bCs/>
          <w:kern w:val="0"/>
          <w:sz w:val="32"/>
          <w:szCs w:val="32"/>
        </w:rPr>
        <w:t>；第三产业15.3亿元，占税收收入的30.7%,同比增加4.3亿元，增长38.6%，主要是同期大规模</w:t>
      </w:r>
      <w:bookmarkStart w:id="0" w:name="_GoBack"/>
      <w:bookmarkEnd w:id="0"/>
      <w:r>
        <w:rPr>
          <w:rFonts w:hint="eastAsia" w:ascii="仿宋" w:hAnsi="仿宋" w:eastAsia="仿宋" w:cs="宋体"/>
          <w:bCs/>
          <w:kern w:val="0"/>
          <w:sz w:val="32"/>
          <w:szCs w:val="32"/>
          <w:lang w:eastAsia="zh-CN"/>
        </w:rPr>
        <w:t>留抵退税</w:t>
      </w:r>
      <w:r>
        <w:rPr>
          <w:rFonts w:hint="eastAsia" w:ascii="仿宋" w:hAnsi="仿宋" w:eastAsia="仿宋" w:cs="宋体"/>
          <w:bCs/>
          <w:kern w:val="0"/>
          <w:sz w:val="32"/>
          <w:szCs w:val="32"/>
        </w:rPr>
        <w:t>基数较</w:t>
      </w:r>
      <w:r>
        <w:rPr>
          <w:rFonts w:hint="eastAsia" w:ascii="仿宋" w:hAnsi="仿宋" w:eastAsia="仿宋" w:cs="宋体"/>
          <w:bCs/>
          <w:kern w:val="0"/>
          <w:sz w:val="32"/>
          <w:szCs w:val="32"/>
          <w:lang w:eastAsia="zh-CN"/>
        </w:rPr>
        <w:t>低、本年度集中结算缴税</w:t>
      </w:r>
      <w:r>
        <w:rPr>
          <w:rFonts w:hint="eastAsia" w:ascii="仿宋" w:hAnsi="仿宋" w:eastAsia="仿宋" w:cs="宋体"/>
          <w:bCs/>
          <w:kern w:val="0"/>
          <w:sz w:val="32"/>
          <w:szCs w:val="32"/>
        </w:rPr>
        <w:t>。</w:t>
      </w:r>
    </w:p>
    <w:p>
      <w:pPr>
        <w:pStyle w:val="2"/>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hint="eastAsia" w:ascii="仿宋" w:hAnsi="仿宋" w:eastAsia="仿宋"/>
          <w:sz w:val="28"/>
          <w:szCs w:val="28"/>
        </w:rPr>
      </w:pPr>
    </w:p>
    <w:p>
      <w:pPr>
        <w:pStyle w:val="2"/>
        <w:spacing w:line="300" w:lineRule="exact"/>
        <w:ind w:firstLine="1400" w:firstLineChars="500"/>
        <w:rPr>
          <w:rFonts w:ascii="仿宋" w:hAnsi="仿宋" w:eastAsia="仿宋"/>
          <w:sz w:val="28"/>
          <w:szCs w:val="28"/>
        </w:rPr>
      </w:pPr>
      <w:r>
        <w:rPr>
          <w:rFonts w:hint="eastAsia" w:ascii="仿宋" w:hAnsi="仿宋" w:eastAsia="仿宋"/>
          <w:sz w:val="28"/>
          <w:szCs w:val="28"/>
        </w:rPr>
        <w:t>2023年1-5月份全市税收收入分产业占比情况</w:t>
      </w:r>
    </w:p>
    <w:p>
      <w:pPr>
        <w:pStyle w:val="2"/>
        <w:spacing w:line="300" w:lineRule="exact"/>
        <w:ind w:firstLine="1400" w:firstLineChars="500"/>
        <w:rPr>
          <w:rFonts w:ascii="仿宋" w:hAnsi="仿宋" w:eastAsia="仿宋"/>
          <w:sz w:val="28"/>
          <w:szCs w:val="28"/>
        </w:rPr>
      </w:pPr>
    </w:p>
    <w:p>
      <w:pPr>
        <w:snapToGrid w:val="0"/>
        <w:jc w:val="center"/>
        <w:rPr>
          <w:rFonts w:ascii="仿宋_GB2312" w:hAnsi="仿宋" w:eastAsia="仿宋_GB2312" w:cs="宋体"/>
          <w:kern w:val="0"/>
          <w:sz w:val="32"/>
          <w:szCs w:val="32"/>
        </w:rPr>
      </w:pPr>
      <w:r>
        <w:rPr>
          <w:rFonts w:ascii="仿宋_GB2312" w:hAnsi="仿宋" w:eastAsia="仿宋_GB2312" w:cs="宋体"/>
          <w:kern w:val="0"/>
          <w:sz w:val="32"/>
          <w:szCs w:val="32"/>
        </w:rPr>
        <w:drawing>
          <wp:inline distT="0" distB="0" distL="0" distR="0">
            <wp:extent cx="4286250" cy="2247900"/>
            <wp:effectExtent l="19050" t="0" r="19050" b="0"/>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napToGrid w:val="0"/>
        <w:ind w:firstLine="640" w:firstLineChars="200"/>
        <w:rPr>
          <w:rFonts w:hint="eastAsia" w:ascii="仿宋" w:hAnsi="仿宋" w:eastAsia="仿宋" w:cs="宋体"/>
          <w:bCs/>
          <w:kern w:val="0"/>
          <w:sz w:val="32"/>
          <w:szCs w:val="32"/>
        </w:rPr>
      </w:pP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（2）分行业</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①石油和天然气开采业9.5亿元，占采矿业税收总额的81.7%；同比减少2.1亿元，下降18.3%。</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减收因素：受中国石油天然气股份有限公司辽河油田分公司期初留抵、原油均价和销量下降等因素影响，增值税同比减少2.1亿元、城市维护建设税同比减少0.2亿元；</w:t>
      </w:r>
    </w:p>
    <w:p>
      <w:pPr>
        <w:snapToGrid w:val="0"/>
        <w:ind w:firstLine="640" w:firstLineChars="200"/>
        <w:rPr>
          <w:rFonts w:ascii="仿宋" w:hAnsi="仿宋" w:eastAsia="仿宋" w:cs="宋体"/>
          <w:bCs/>
          <w:kern w:val="0"/>
          <w:sz w:val="32"/>
          <w:szCs w:val="32"/>
        </w:rPr>
      </w:pPr>
      <w:r>
        <w:rPr>
          <w:rFonts w:hint="eastAsia" w:ascii="仿宋" w:hAnsi="仿宋" w:eastAsia="仿宋" w:cs="宋体"/>
          <w:bCs/>
          <w:kern w:val="0"/>
          <w:sz w:val="32"/>
          <w:szCs w:val="32"/>
        </w:rPr>
        <w:t>增收因素：受天时集团能源有限公司本期利润增长影响，企业所得税同比增加0.16亿元。</w:t>
      </w:r>
    </w:p>
    <w:p>
      <w:pPr>
        <w:snapToGrid w:val="0"/>
        <w:ind w:firstLine="640" w:firstLineChars="200"/>
        <w:rPr>
          <w:rFonts w:ascii="仿宋" w:hAnsi="仿宋" w:eastAsia="仿宋" w:cs="宋体"/>
          <w:bCs/>
          <w:kern w:val="0"/>
          <w:sz w:val="32"/>
          <w:szCs w:val="32"/>
        </w:rPr>
      </w:pPr>
      <w:r>
        <w:rPr>
          <w:rFonts w:ascii="仿宋" w:hAnsi="仿宋" w:eastAsia="仿宋" w:cs="宋体"/>
          <w:bCs/>
          <w:kern w:val="0"/>
          <w:sz w:val="32"/>
          <w:szCs w:val="32"/>
        </w:rPr>
        <w:fldChar w:fldCharType="begin"/>
      </w:r>
      <w:r>
        <w:rPr>
          <w:rFonts w:hint="eastAsia" w:ascii="仿宋" w:hAnsi="仿宋" w:eastAsia="仿宋" w:cs="宋体"/>
          <w:bCs/>
          <w:kern w:val="0"/>
          <w:sz w:val="32"/>
          <w:szCs w:val="32"/>
        </w:rPr>
        <w:instrText xml:space="preserve">= 2 \* GB3</w:instrText>
      </w:r>
      <w:r>
        <w:rPr>
          <w:rFonts w:ascii="仿宋" w:hAnsi="仿宋" w:eastAsia="仿宋" w:cs="宋体"/>
          <w:bCs/>
          <w:kern w:val="0"/>
          <w:sz w:val="32"/>
          <w:szCs w:val="32"/>
        </w:rPr>
        <w:fldChar w:fldCharType="separate"/>
      </w:r>
      <w:r>
        <w:rPr>
          <w:rFonts w:hint="eastAsia" w:ascii="仿宋" w:hAnsi="仿宋" w:eastAsia="仿宋" w:cs="宋体"/>
          <w:bCs/>
          <w:kern w:val="0"/>
          <w:sz w:val="32"/>
          <w:szCs w:val="32"/>
        </w:rPr>
        <w:t>②</w:t>
      </w:r>
      <w:r>
        <w:rPr>
          <w:rFonts w:ascii="仿宋" w:hAnsi="仿宋" w:eastAsia="仿宋" w:cs="宋体"/>
          <w:bCs/>
          <w:kern w:val="0"/>
          <w:sz w:val="32"/>
          <w:szCs w:val="32"/>
        </w:rPr>
        <w:fldChar w:fldCharType="end"/>
      </w:r>
      <w:r>
        <w:rPr>
          <w:rFonts w:hint="eastAsia" w:ascii="仿宋" w:hAnsi="仿宋" w:eastAsia="仿宋" w:cs="宋体"/>
          <w:bCs/>
          <w:kern w:val="0"/>
          <w:sz w:val="32"/>
          <w:szCs w:val="32"/>
        </w:rPr>
        <w:t>石化行业14.3亿元，占制造业税收总额的77.2%，占全市税收收入总额的28.</w:t>
      </w:r>
      <w:r>
        <w:rPr>
          <w:rFonts w:hint="eastAsia" w:ascii="仿宋" w:hAnsi="仿宋" w:eastAsia="仿宋" w:cs="宋体"/>
          <w:bCs/>
          <w:kern w:val="0"/>
          <w:sz w:val="32"/>
          <w:szCs w:val="32"/>
          <w:lang w:val="en-US" w:eastAsia="zh-CN"/>
        </w:rPr>
        <w:t>9</w:t>
      </w:r>
      <w:r>
        <w:rPr>
          <w:rFonts w:hint="eastAsia" w:ascii="仿宋" w:hAnsi="仿宋" w:eastAsia="仿宋" w:cs="宋体"/>
          <w:bCs/>
          <w:kern w:val="0"/>
          <w:sz w:val="32"/>
          <w:szCs w:val="32"/>
        </w:rPr>
        <w:t>%，其中石油、煤炭及其他燃料加工业11.0亿元，化学原料和化学制品制造业3.3亿元；同比减少6.0亿元，下降29.3%。</w:t>
      </w:r>
    </w:p>
    <w:p>
      <w:pPr>
        <w:snapToGrid w:val="0"/>
        <w:ind w:firstLine="640" w:firstLineChars="200"/>
        <w:rPr>
          <w:rFonts w:ascii="仿宋_GB2312" w:hAnsi="Calibri" w:eastAsia="仿宋_GB2312" w:cs="Times New Roman"/>
          <w:sz w:val="32"/>
          <w:szCs w:val="32"/>
        </w:rPr>
      </w:pPr>
      <w:r>
        <w:rPr>
          <w:rFonts w:hint="eastAsia" w:ascii="仿宋" w:hAnsi="仿宋" w:eastAsia="仿宋" w:cs="宋体"/>
          <w:bCs/>
          <w:kern w:val="0"/>
          <w:sz w:val="32"/>
          <w:szCs w:val="32"/>
        </w:rPr>
        <w:t>减收因素：</w:t>
      </w:r>
      <w:r>
        <w:rPr>
          <w:rFonts w:hint="eastAsia" w:ascii="仿宋_GB2312" w:eastAsia="仿宋_GB2312"/>
          <w:sz w:val="32"/>
          <w:szCs w:val="32"/>
        </w:rPr>
        <w:t>一</w:t>
      </w:r>
      <w:r>
        <w:rPr>
          <w:rFonts w:hint="eastAsia" w:ascii="仿宋_GB2312" w:hAnsi="Calibri" w:eastAsia="仿宋_GB2312" w:cs="Times New Roman"/>
          <w:sz w:val="32"/>
          <w:szCs w:val="32"/>
        </w:rPr>
        <w:t>是</w:t>
      </w:r>
      <w:r>
        <w:rPr>
          <w:rFonts w:hint="eastAsia" w:ascii="仿宋_GB2312" w:hAnsi="仿宋" w:eastAsia="仿宋_GB2312" w:cs="宋体"/>
          <w:bCs/>
          <w:kern w:val="0"/>
          <w:sz w:val="32"/>
          <w:szCs w:val="32"/>
        </w:rPr>
        <w:t>增值税同比减少2.7亿元，主要是受北方华锦化学工业股份有限公司和盘锦北方沥青股份有限公司等经营活动进项税额增加影响、盘锦北方沥青燃料有限公司本年销售规模大幅下降影响，虽然免抵调因素同比增加2.0亿元，但不能完全对冲减收额；二是企业所得税同比减少1.3亿元，主要是受长连化工（盘锦）有限公司</w:t>
      </w:r>
      <w:r>
        <w:rPr>
          <w:rFonts w:hint="eastAsia" w:ascii="仿宋_GB2312" w:hAnsi="仿宋" w:eastAsia="仿宋_GB2312" w:cs="宋体"/>
          <w:bCs/>
          <w:kern w:val="0"/>
          <w:sz w:val="32"/>
          <w:szCs w:val="32"/>
          <w:lang w:eastAsia="zh-CN"/>
        </w:rPr>
        <w:t>主要产品暂时</w:t>
      </w:r>
      <w:r>
        <w:rPr>
          <w:rFonts w:hint="eastAsia" w:ascii="仿宋_GB2312" w:hAnsi="仿宋" w:eastAsia="仿宋_GB2312" w:cs="宋体"/>
          <w:bCs/>
          <w:kern w:val="0"/>
          <w:sz w:val="32"/>
          <w:szCs w:val="32"/>
        </w:rPr>
        <w:t>停产、北方华锦联合石化有限公司同期基数较高影响；三是个人所得税同比减少1.2亿元，主要是盘锦北方沥青燃料有限公司同期补缴垫高基数；四是城市维护建设税同比减少0.7亿元，主要是受增值税、消费税减收影响。</w:t>
      </w:r>
    </w:p>
    <w:p>
      <w:pPr>
        <w:snapToGrid w:val="0"/>
        <w:ind w:firstLine="640" w:firstLineChars="200"/>
        <w:rPr>
          <w:rFonts w:ascii="仿宋_GB2312" w:eastAsia="仿宋_GB2312"/>
          <w:sz w:val="32"/>
          <w:szCs w:val="32"/>
          <w:highlight w:val="none"/>
        </w:rPr>
      </w:pPr>
      <w:r>
        <w:rPr>
          <w:rFonts w:ascii="仿宋_GB2312" w:eastAsia="仿宋_GB2312"/>
          <w:sz w:val="32"/>
          <w:szCs w:val="32"/>
          <w:highlight w:val="none"/>
        </w:rPr>
        <w:fldChar w:fldCharType="begin"/>
      </w:r>
      <w:r>
        <w:rPr>
          <w:rFonts w:hint="eastAsia" w:ascii="仿宋_GB2312" w:eastAsia="仿宋_GB2312"/>
          <w:sz w:val="32"/>
          <w:szCs w:val="32"/>
          <w:highlight w:val="none"/>
        </w:rPr>
        <w:instrText xml:space="preserve">= 3 \* GB3</w:instrText>
      </w:r>
      <w:r>
        <w:rPr>
          <w:rFonts w:ascii="仿宋_GB2312" w:eastAsia="仿宋_GB2312"/>
          <w:sz w:val="32"/>
          <w:szCs w:val="32"/>
          <w:highlight w:val="none"/>
        </w:rPr>
        <w:fldChar w:fldCharType="separate"/>
      </w:r>
      <w:r>
        <w:rPr>
          <w:rFonts w:hint="eastAsia" w:ascii="仿宋_GB2312" w:eastAsia="仿宋_GB2312"/>
          <w:sz w:val="32"/>
          <w:szCs w:val="32"/>
          <w:highlight w:val="none"/>
        </w:rPr>
        <w:t>③</w:t>
      </w:r>
      <w:r>
        <w:rPr>
          <w:rFonts w:ascii="仿宋_GB2312" w:eastAsia="仿宋_GB2312"/>
          <w:sz w:val="32"/>
          <w:szCs w:val="32"/>
          <w:highlight w:val="none"/>
        </w:rPr>
        <w:fldChar w:fldCharType="end"/>
      </w:r>
      <w:r>
        <w:rPr>
          <w:rFonts w:hint="eastAsia" w:ascii="仿宋_GB2312" w:eastAsia="仿宋_GB2312"/>
          <w:sz w:val="32"/>
          <w:szCs w:val="32"/>
          <w:highlight w:val="none"/>
        </w:rPr>
        <w:t>房地产业4.8亿元，占第三产业税收总额的31.1%；同比增加0.3亿元，增长7.4%。增收因素：一是受</w:t>
      </w:r>
      <w:r>
        <w:rPr>
          <w:rFonts w:hint="eastAsia" w:ascii="仿宋_GB2312" w:eastAsia="仿宋_GB2312"/>
          <w:sz w:val="32"/>
          <w:szCs w:val="32"/>
          <w:highlight w:val="none"/>
          <w:lang w:eastAsia="zh-CN"/>
        </w:rPr>
        <w:t>同期留抵退税基数较低影响，</w:t>
      </w:r>
      <w:r>
        <w:rPr>
          <w:rFonts w:hint="eastAsia" w:ascii="仿宋_GB2312" w:eastAsia="仿宋_GB2312"/>
          <w:sz w:val="32"/>
          <w:szCs w:val="32"/>
          <w:highlight w:val="none"/>
        </w:rPr>
        <w:t>增值税同比增加0.2亿元；</w:t>
      </w:r>
      <w:r>
        <w:rPr>
          <w:rFonts w:hint="eastAsia" w:ascii="仿宋_GB2312" w:eastAsia="仿宋_GB2312"/>
          <w:sz w:val="32"/>
          <w:szCs w:val="32"/>
          <w:highlight w:val="none"/>
          <w:lang w:eastAsia="zh-CN"/>
        </w:rPr>
        <w:t>二是房产交易量上升，契税同比增加</w:t>
      </w:r>
      <w:r>
        <w:rPr>
          <w:rFonts w:hint="eastAsia" w:ascii="仿宋_GB2312" w:eastAsia="仿宋_GB2312"/>
          <w:sz w:val="32"/>
          <w:szCs w:val="32"/>
          <w:highlight w:val="none"/>
          <w:lang w:val="en-US" w:eastAsia="zh-CN"/>
        </w:rPr>
        <w:t>0.15亿元；</w:t>
      </w:r>
      <w:r>
        <w:rPr>
          <w:rFonts w:hint="eastAsia" w:ascii="仿宋_GB2312" w:eastAsia="仿宋_GB2312"/>
          <w:sz w:val="32"/>
          <w:szCs w:val="32"/>
          <w:highlight w:val="none"/>
          <w:lang w:eastAsia="zh-CN"/>
        </w:rPr>
        <w:t>三</w:t>
      </w:r>
      <w:r>
        <w:rPr>
          <w:rFonts w:hint="eastAsia" w:ascii="仿宋_GB2312" w:eastAsia="仿宋_GB2312"/>
          <w:sz w:val="32"/>
          <w:szCs w:val="32"/>
          <w:highlight w:val="none"/>
        </w:rPr>
        <w:t>是</w:t>
      </w:r>
      <w:r>
        <w:rPr>
          <w:rFonts w:hint="eastAsia" w:ascii="仿宋" w:hAnsi="仿宋" w:eastAsia="仿宋" w:cs="宋体"/>
          <w:bCs/>
          <w:kern w:val="0"/>
          <w:sz w:val="32"/>
          <w:szCs w:val="32"/>
          <w:highlight w:val="none"/>
        </w:rPr>
        <w:t>盘锦华宇开发建设有限公司汇算缴税，土地增值税同比增加0.2亿元。</w:t>
      </w:r>
    </w:p>
    <w:p>
      <w:pPr>
        <w:snapToGrid w:val="0"/>
        <w:ind w:firstLine="640" w:firstLineChars="200"/>
        <w:rPr>
          <w:rFonts w:ascii="仿宋" w:hAnsi="仿宋" w:eastAsia="仿宋" w:cs="宋体"/>
          <w:bCs/>
          <w:kern w:val="0"/>
          <w:sz w:val="32"/>
          <w:szCs w:val="32"/>
        </w:rPr>
      </w:pPr>
      <w:r>
        <w:rPr>
          <w:rFonts w:ascii="仿宋" w:hAnsi="仿宋" w:eastAsia="仿宋" w:cs="宋体"/>
          <w:bCs/>
          <w:kern w:val="0"/>
          <w:sz w:val="32"/>
          <w:szCs w:val="32"/>
        </w:rPr>
        <w:fldChar w:fldCharType="begin"/>
      </w:r>
      <w:r>
        <w:rPr>
          <w:rFonts w:hint="eastAsia" w:ascii="仿宋" w:hAnsi="仿宋" w:eastAsia="仿宋" w:cs="宋体"/>
          <w:bCs/>
          <w:kern w:val="0"/>
          <w:sz w:val="32"/>
          <w:szCs w:val="32"/>
        </w:rPr>
        <w:instrText xml:space="preserve">= 4 \* GB3</w:instrText>
      </w:r>
      <w:r>
        <w:rPr>
          <w:rFonts w:ascii="仿宋" w:hAnsi="仿宋" w:eastAsia="仿宋" w:cs="宋体"/>
          <w:bCs/>
          <w:kern w:val="0"/>
          <w:sz w:val="32"/>
          <w:szCs w:val="32"/>
        </w:rPr>
        <w:fldChar w:fldCharType="separate"/>
      </w:r>
      <w:r>
        <w:rPr>
          <w:rFonts w:hint="eastAsia" w:ascii="仿宋" w:hAnsi="仿宋" w:eastAsia="仿宋" w:cs="宋体"/>
          <w:bCs/>
          <w:kern w:val="0"/>
          <w:sz w:val="32"/>
          <w:szCs w:val="32"/>
        </w:rPr>
        <w:t>④</w:t>
      </w:r>
      <w:r>
        <w:rPr>
          <w:rFonts w:ascii="仿宋" w:hAnsi="仿宋" w:eastAsia="仿宋" w:cs="宋体"/>
          <w:bCs/>
          <w:kern w:val="0"/>
          <w:sz w:val="32"/>
          <w:szCs w:val="32"/>
        </w:rPr>
        <w:fldChar w:fldCharType="end"/>
      </w:r>
      <w:r>
        <w:rPr>
          <w:rFonts w:hint="eastAsia" w:ascii="仿宋" w:hAnsi="仿宋" w:eastAsia="仿宋" w:cs="宋体"/>
          <w:bCs/>
          <w:kern w:val="0"/>
          <w:sz w:val="32"/>
          <w:szCs w:val="32"/>
        </w:rPr>
        <w:t>批发和零售业4.4亿元，占第三产业税收总额的29.1%：同比增加0.5亿元，增长12.5%。主要是受销售收入增长影响，增值税</w:t>
      </w:r>
      <w:r>
        <w:rPr>
          <w:rFonts w:hint="eastAsia" w:ascii="仿宋" w:hAnsi="仿宋" w:eastAsia="仿宋" w:cs="宋体"/>
          <w:bCs/>
          <w:kern w:val="0"/>
          <w:sz w:val="32"/>
          <w:szCs w:val="32"/>
          <w:lang w:eastAsia="zh-CN"/>
        </w:rPr>
        <w:t>、印花税分别</w:t>
      </w:r>
      <w:r>
        <w:rPr>
          <w:rFonts w:hint="eastAsia" w:ascii="仿宋" w:hAnsi="仿宋" w:eastAsia="仿宋" w:cs="宋体"/>
          <w:bCs/>
          <w:kern w:val="0"/>
          <w:sz w:val="32"/>
          <w:szCs w:val="32"/>
        </w:rPr>
        <w:t>同比增加</w:t>
      </w:r>
      <w:r>
        <w:rPr>
          <w:rFonts w:hint="eastAsia" w:ascii="仿宋" w:hAnsi="仿宋" w:eastAsia="仿宋" w:cs="宋体"/>
          <w:bCs/>
          <w:kern w:val="0"/>
          <w:sz w:val="32"/>
          <w:szCs w:val="32"/>
          <w:lang w:val="en-US" w:eastAsia="zh-CN"/>
        </w:rPr>
        <w:t>4,807万元、1,579万元</w:t>
      </w:r>
      <w:r>
        <w:rPr>
          <w:rFonts w:hint="eastAsia" w:ascii="仿宋" w:hAnsi="仿宋" w:eastAsia="仿宋" w:cs="宋体"/>
          <w:bCs/>
          <w:kern w:val="0"/>
          <w:sz w:val="32"/>
          <w:szCs w:val="32"/>
        </w:rPr>
        <w:t>。</w:t>
      </w:r>
    </w:p>
    <w:p>
      <w:pPr>
        <w:pStyle w:val="2"/>
        <w:rPr>
          <w:rFonts w:ascii="仿宋" w:hAnsi="仿宋" w:eastAsia="仿宋" w:cs="宋体"/>
          <w:bCs/>
          <w:kern w:val="0"/>
          <w:sz w:val="32"/>
          <w:szCs w:val="32"/>
        </w:rPr>
      </w:pPr>
    </w:p>
    <w:p>
      <w:pPr>
        <w:pStyle w:val="2"/>
        <w:spacing w:line="300" w:lineRule="exact"/>
        <w:jc w:val="center"/>
        <w:rPr>
          <w:rFonts w:hint="eastAsia"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2023年1-5月份全市重点行业税收收入占比情况</w:t>
      </w:r>
    </w:p>
    <w:p>
      <w:pPr>
        <w:pStyle w:val="2"/>
        <w:jc w:val="center"/>
        <w:rPr>
          <w:rFonts w:ascii="仿宋" w:hAnsi="仿宋" w:eastAsia="仿宋"/>
          <w:b/>
          <w:sz w:val="28"/>
          <w:szCs w:val="28"/>
        </w:rPr>
      </w:pPr>
      <w:r>
        <w:rPr>
          <w:rFonts w:ascii="仿宋" w:hAnsi="仿宋" w:eastAsia="仿宋"/>
          <w:b/>
          <w:sz w:val="28"/>
          <w:szCs w:val="28"/>
        </w:rPr>
        <w:drawing>
          <wp:inline distT="0" distB="0" distL="0" distR="0">
            <wp:extent cx="5010150" cy="3019425"/>
            <wp:effectExtent l="19050" t="0" r="19050" b="0"/>
            <wp:docPr id="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2023年1-5月份全市分产业、分行业税收增减情况表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pPr>
    </w:p>
    <w:tbl>
      <w:tblPr>
        <w:tblStyle w:val="8"/>
        <w:tblW w:w="6500" w:type="dxa"/>
        <w:jc w:val="center"/>
        <w:tblLayout w:type="autofit"/>
        <w:tblCellMar>
          <w:top w:w="0" w:type="dxa"/>
          <w:left w:w="108" w:type="dxa"/>
          <w:bottom w:w="0" w:type="dxa"/>
          <w:right w:w="108" w:type="dxa"/>
        </w:tblCellMar>
      </w:tblPr>
      <w:tblGrid>
        <w:gridCol w:w="3440"/>
        <w:gridCol w:w="1020"/>
        <w:gridCol w:w="1020"/>
        <w:gridCol w:w="1020"/>
      </w:tblGrid>
      <w:tr>
        <w:tblPrEx>
          <w:tblCellMar>
            <w:top w:w="0" w:type="dxa"/>
            <w:left w:w="108" w:type="dxa"/>
            <w:bottom w:w="0" w:type="dxa"/>
            <w:right w:w="108" w:type="dxa"/>
          </w:tblCellMar>
        </w:tblPrEx>
        <w:trPr>
          <w:trHeight w:val="285" w:hRule="atLeast"/>
          <w:jc w:val="center"/>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产业、行业名称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本期</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同期</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增减%</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合  计</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497,641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488,804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第一产业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747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674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10.8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1.农、林、牧、渔业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747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674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10.8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第二产业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343,944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377,793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-9.0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2.采矿业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116,598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131,409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-11.3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石油和天然气开采业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95,208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116,548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-18.3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开采专业及辅助性活动</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21,389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14,861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43.9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3.制造业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185,660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213,170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-12.9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石油、煤炭及其他燃料加工业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110,304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151,151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-27.0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化学原料和化学制品制造业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33,094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51,804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-36.1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4.电力、热力、燃气及水生产和供应业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10,932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6,546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67.0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5.建筑业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30,755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26,667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15.3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第三产业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152,951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110,337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38.6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6.批发和零售业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44,485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39,552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12.5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烟草制品批发</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4,436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4,541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-2.3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 xml:space="preserve">    石油及制品批发</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16,274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13,282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22.5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7.交通运输、仓储和邮政业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11,437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-10,887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-205.1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8.住宿和餐饮业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668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256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160.7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9.信息传输、软件和信息技术服务业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1,418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1,014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39.8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10.金融业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22,459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23,674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-5.1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11.房地产业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47,564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44,291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7.4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12.租赁和商务服务业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5,843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4,009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45.7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13.科学研究和技术服务业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5,512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1,888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191.9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14.水利、环境和公共设施管理业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1,959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2,465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-20.5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15.居民服务、修理和其他服务业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4,077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-1,668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-344.4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16.教育</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201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151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33.0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17.卫生和社会工作</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750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822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-8.8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18.文化、体育和娱乐业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145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-433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-133.4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19.公共管理、社会保障和社会组织</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6,433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5,202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23.6 </w:t>
            </w:r>
          </w:p>
        </w:tc>
      </w:tr>
      <w:tr>
        <w:tblPrEx>
          <w:tblCellMar>
            <w:top w:w="0" w:type="dxa"/>
            <w:left w:w="108" w:type="dxa"/>
            <w:bottom w:w="0" w:type="dxa"/>
            <w:right w:w="108" w:type="dxa"/>
          </w:tblCellMar>
        </w:tblPrEx>
        <w:trPr>
          <w:trHeight w:val="285" w:hRule="atLeast"/>
          <w:jc w:val="center"/>
        </w:trPr>
        <w:tc>
          <w:tcPr>
            <w:tcW w:w="34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20.其他行业</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0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 xml:space="preserve">0 </w:t>
            </w:r>
          </w:p>
        </w:tc>
        <w:tc>
          <w:tcPr>
            <w:tcW w:w="1020"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0</w:t>
            </w:r>
          </w:p>
        </w:tc>
      </w:tr>
    </w:tbl>
    <w:p>
      <w:pPr>
        <w:snapToGrid w:val="0"/>
        <w:ind w:firstLine="627" w:firstLineChars="196"/>
        <w:rPr>
          <w:rFonts w:ascii="仿宋_GB2312" w:hAnsi="仿宋" w:eastAsia="仿宋_GB2312" w:cs="宋体"/>
          <w:kern w:val="0"/>
          <w:sz w:val="32"/>
          <w:szCs w:val="32"/>
        </w:rPr>
      </w:pPr>
    </w:p>
    <w:p>
      <w:pPr>
        <w:snapToGrid w:val="0"/>
        <w:ind w:firstLine="627" w:firstLineChars="196"/>
        <w:rPr>
          <w:rFonts w:ascii="仿宋_GB2312" w:hAnsi="仿宋" w:eastAsia="仿宋_GB2312" w:cs="宋体"/>
          <w:kern w:val="0"/>
          <w:sz w:val="32"/>
          <w:szCs w:val="32"/>
        </w:rPr>
      </w:pPr>
      <w:r>
        <w:rPr>
          <w:rFonts w:hint="eastAsia" w:ascii="仿宋_GB2312" w:hAnsi="仿宋" w:eastAsia="仿宋_GB2312" w:cs="宋体"/>
          <w:kern w:val="0"/>
          <w:sz w:val="32"/>
          <w:szCs w:val="32"/>
        </w:rPr>
        <w:t>（3）分税种</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1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①</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增值税23.3亿元，同比增加3.1亿元，增长15.2%。</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增收因素:一是同期大规模留抵退税，本期无此因素，增值税同比增收7.1亿元；二是中国石油天然气股份有限公司辽河石化分公司免抵调，同比增加2.0亿元；三是北方华锦化学工业集团有限公司结算加快，同比增加0.6亿元。</w:t>
      </w:r>
    </w:p>
    <w:p>
      <w:pPr>
        <w:snapToGrid w:val="0"/>
        <w:ind w:firstLine="640" w:firstLineChars="200"/>
        <w:rPr>
          <w:rFonts w:hint="eastAsia" w:ascii="仿宋_GB2312" w:hAnsi="仿宋" w:eastAsia="仿宋_GB2312" w:cs="宋体"/>
          <w:bCs/>
          <w:kern w:val="0"/>
          <w:sz w:val="32"/>
          <w:szCs w:val="32"/>
          <w:lang w:val="en-US" w:eastAsia="zh-CN"/>
        </w:rPr>
      </w:pPr>
      <w:r>
        <w:rPr>
          <w:rFonts w:hint="eastAsia" w:ascii="仿宋_GB2312" w:hAnsi="仿宋" w:eastAsia="仿宋_GB2312" w:cs="宋体"/>
          <w:bCs/>
          <w:kern w:val="0"/>
          <w:sz w:val="32"/>
          <w:szCs w:val="32"/>
        </w:rPr>
        <w:t>减收因素：一是受期初留抵、油价下降等因素影响，中国石油天然气股份有限公司辽河油田分公司同比减少1.8亿元；二是受经营活动进项税额增加影响，北方华锦化学工业股份有限公司、盘锦北方沥青股份有限公司、分别同比减少3.0亿元、0.5亿元；三是北方沥青燃料有限公司本期销售规模降低，同比减少2.8亿元</w:t>
      </w:r>
      <w:r>
        <w:rPr>
          <w:rFonts w:hint="eastAsia" w:ascii="仿宋_GB2312" w:hAnsi="仿宋" w:eastAsia="仿宋_GB2312" w:cs="宋体"/>
          <w:bCs/>
          <w:kern w:val="0"/>
          <w:sz w:val="32"/>
          <w:szCs w:val="32"/>
          <w:lang w:eastAsia="zh-CN"/>
        </w:rPr>
        <w:t>。</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2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②</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企业所得税3.5亿元，同比减少0.6亿元，下降14.7%。</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增收因素：盘锦瑞东石化贸易有限公司补缴税款，同比增加0.4亿元；天时集团能源有限公司利润增长，同比增加0.16亿元；辽河油田（盘锦）储气库有限公司同期筹建无缴税，同比增加0.3亿元。</w:t>
      </w:r>
    </w:p>
    <w:p>
      <w:pPr>
        <w:snapToGrid w:val="0"/>
        <w:ind w:firstLine="640" w:firstLineChars="200"/>
        <w:rPr>
          <w:rFonts w:ascii="仿宋_GB2312" w:hAnsi="Calibri" w:eastAsia="仿宋_GB2312" w:cs="Times New Roman"/>
          <w:sz w:val="32"/>
          <w:szCs w:val="32"/>
        </w:rPr>
      </w:pPr>
      <w:r>
        <w:rPr>
          <w:rFonts w:hint="eastAsia" w:ascii="仿宋_GB2312" w:hAnsi="仿宋" w:eastAsia="仿宋_GB2312" w:cs="宋体"/>
          <w:bCs/>
          <w:kern w:val="0"/>
          <w:sz w:val="32"/>
          <w:szCs w:val="32"/>
        </w:rPr>
        <w:t>减收因素：</w:t>
      </w:r>
      <w:r>
        <w:rPr>
          <w:rFonts w:hint="eastAsia" w:ascii="仿宋_GB2312" w:eastAsia="仿宋_GB2312"/>
          <w:sz w:val="32"/>
          <w:szCs w:val="32"/>
        </w:rPr>
        <w:t>长连化工（盘锦）有限公司</w:t>
      </w:r>
      <w:r>
        <w:rPr>
          <w:rFonts w:hint="eastAsia" w:ascii="仿宋_GB2312" w:hAnsi="Calibri" w:eastAsia="仿宋_GB2312" w:cs="Times New Roman"/>
          <w:sz w:val="32"/>
          <w:szCs w:val="32"/>
          <w:lang w:eastAsia="zh-CN"/>
        </w:rPr>
        <w:t>主要产品暂时停产</w:t>
      </w:r>
      <w:r>
        <w:rPr>
          <w:rFonts w:hint="eastAsia" w:ascii="仿宋_GB2312" w:hAnsi="Calibri" w:eastAsia="仿宋_GB2312" w:cs="Times New Roman"/>
          <w:sz w:val="32"/>
          <w:szCs w:val="32"/>
        </w:rPr>
        <w:t>，同比减少0.8亿元；北方华锦联合石化有限公司同期补缴垫高基数，同比减少0.4亿元；</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3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③</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个人所得税1.2亿元，同比减少1.2亿元，下降51.3%。主要是</w:t>
      </w:r>
      <w:r>
        <w:rPr>
          <w:rFonts w:hint="eastAsia" w:ascii="仿宋_GB2312" w:eastAsia="仿宋_GB2312"/>
          <w:sz w:val="32"/>
          <w:szCs w:val="32"/>
        </w:rPr>
        <w:t>盘锦北方沥青燃料有限公司去年同期补缴税款</w:t>
      </w:r>
      <w:r>
        <w:rPr>
          <w:rFonts w:hint="eastAsia" w:ascii="仿宋_GB2312" w:hAnsi="仿宋" w:eastAsia="仿宋_GB2312" w:cs="宋体"/>
          <w:bCs/>
          <w:kern w:val="0"/>
          <w:sz w:val="32"/>
          <w:szCs w:val="32"/>
        </w:rPr>
        <w:t>1.0亿元垫高基数。</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4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④</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资源税3.5亿元，同比增加611万元，增长1.8%。</w:t>
      </w:r>
    </w:p>
    <w:p>
      <w:pPr>
        <w:snapToGrid w:val="0"/>
        <w:ind w:firstLine="640" w:firstLineChars="200"/>
        <w:rPr>
          <w:rFonts w:ascii="仿宋_GB2312" w:eastAsia="仿宋_GB2312"/>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5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⑤</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城市维护建设税4.1亿元，同比减少0.8亿元，下降17.2%，主要是</w:t>
      </w:r>
      <w:r>
        <w:rPr>
          <w:rFonts w:hint="eastAsia" w:ascii="仿宋_GB2312" w:eastAsia="仿宋_GB2312"/>
          <w:sz w:val="32"/>
          <w:szCs w:val="32"/>
        </w:rPr>
        <w:t>剔除留抵退税因素后，增值税同比减少4.0亿元；消费税同比减少6.7亿元。</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6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⑥</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印花税1.6亿元，同比增加0.3亿元，增长23.0%，</w:t>
      </w:r>
      <w:r>
        <w:rPr>
          <w:rFonts w:hint="eastAsia" w:ascii="仿宋_GB2312" w:eastAsia="仿宋_GB2312"/>
          <w:sz w:val="32"/>
          <w:szCs w:val="32"/>
        </w:rPr>
        <w:t>主</w:t>
      </w:r>
      <w:r>
        <w:rPr>
          <w:rFonts w:hint="eastAsia" w:ascii="仿宋_GB2312" w:hAnsi="仿宋" w:eastAsia="仿宋_GB2312" w:cs="宋体"/>
          <w:bCs/>
          <w:kern w:val="0"/>
          <w:sz w:val="32"/>
          <w:szCs w:val="32"/>
        </w:rPr>
        <w:t>要是印花税纳税申报期由月改为季。</w:t>
      </w:r>
    </w:p>
    <w:p>
      <w:pPr>
        <w:snapToGrid w:val="0"/>
        <w:ind w:firstLine="640" w:firstLineChars="200"/>
        <w:rPr>
          <w:rFonts w:ascii="仿宋_GB2312" w:hAnsi="仿宋" w:eastAsia="仿宋_GB2312" w:cs="宋体"/>
          <w:bCs/>
          <w:kern w:val="0"/>
          <w:sz w:val="32"/>
          <w:szCs w:val="32"/>
        </w:rPr>
      </w:pPr>
      <w:r>
        <w:rPr>
          <w:rFonts w:ascii="仿宋_GB2312" w:hAnsi="仿宋" w:eastAsia="仿宋_GB2312" w:cs="宋体"/>
          <w:bCs/>
          <w:kern w:val="0"/>
          <w:sz w:val="32"/>
          <w:szCs w:val="32"/>
        </w:rPr>
        <w:fldChar w:fldCharType="begin"/>
      </w:r>
      <w:r>
        <w:rPr>
          <w:rFonts w:hint="eastAsia" w:ascii="仿宋_GB2312" w:hAnsi="仿宋" w:eastAsia="仿宋_GB2312" w:cs="宋体"/>
          <w:bCs/>
          <w:kern w:val="0"/>
          <w:sz w:val="32"/>
          <w:szCs w:val="32"/>
        </w:rPr>
        <w:instrText xml:space="preserve">= 7 \* GB3</w:instrText>
      </w:r>
      <w:r>
        <w:rPr>
          <w:rFonts w:ascii="仿宋_GB2312" w:hAnsi="仿宋" w:eastAsia="仿宋_GB2312" w:cs="宋体"/>
          <w:bCs/>
          <w:kern w:val="0"/>
          <w:sz w:val="32"/>
          <w:szCs w:val="32"/>
        </w:rPr>
        <w:fldChar w:fldCharType="separate"/>
      </w:r>
      <w:r>
        <w:rPr>
          <w:rFonts w:hint="eastAsia" w:ascii="仿宋_GB2312" w:hAnsi="仿宋" w:eastAsia="仿宋_GB2312" w:cs="宋体"/>
          <w:bCs/>
          <w:kern w:val="0"/>
          <w:sz w:val="32"/>
          <w:szCs w:val="32"/>
        </w:rPr>
        <w:t>⑦</w:t>
      </w:r>
      <w:r>
        <w:rPr>
          <w:rFonts w:ascii="仿宋_GB2312" w:hAnsi="仿宋" w:eastAsia="仿宋_GB2312" w:cs="宋体"/>
          <w:bCs/>
          <w:kern w:val="0"/>
          <w:sz w:val="32"/>
          <w:szCs w:val="32"/>
        </w:rPr>
        <w:fldChar w:fldCharType="end"/>
      </w:r>
      <w:r>
        <w:rPr>
          <w:rFonts w:hint="eastAsia" w:ascii="仿宋_GB2312" w:hAnsi="仿宋" w:eastAsia="仿宋_GB2312" w:cs="宋体"/>
          <w:bCs/>
          <w:kern w:val="0"/>
          <w:sz w:val="32"/>
          <w:szCs w:val="32"/>
        </w:rPr>
        <w:t>土地和房地产相关税收11.7亿元，同比增加0.2亿元，增长2.0%。其中城镇土地使用税6.3亿元，同比减少0.2亿元；土地增值税2.2亿元，同比增加0.3亿元。</w:t>
      </w:r>
    </w:p>
    <w:p>
      <w:pPr>
        <w:pStyle w:val="2"/>
      </w:pPr>
    </w:p>
    <w:p>
      <w:pPr>
        <w:pStyle w:val="2"/>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ascii="仿宋" w:hAnsi="仿宋" w:eastAsia="仿宋"/>
          <w:sz w:val="28"/>
          <w:szCs w:val="28"/>
        </w:rPr>
      </w:pPr>
      <w:r>
        <w:rPr>
          <w:rFonts w:hint="eastAsia" w:ascii="仿宋" w:hAnsi="仿宋" w:eastAsia="仿宋"/>
          <w:sz w:val="28"/>
          <w:szCs w:val="28"/>
        </w:rPr>
        <w:t>盘锦市2023年1-5月份税收收入分税种占比</w:t>
      </w:r>
      <w:r>
        <w:rPr>
          <w:rFonts w:hint="eastAsia" w:ascii="仿宋" w:hAnsi="仿宋" w:eastAsia="仿宋"/>
          <w:sz w:val="28"/>
          <w:szCs w:val="28"/>
          <w:lang w:eastAsia="zh-CN"/>
        </w:rPr>
        <w:t>情况</w:t>
      </w:r>
      <w:r>
        <w:drawing>
          <wp:inline distT="0" distB="0" distL="0" distR="0">
            <wp:extent cx="4617085" cy="3392170"/>
            <wp:effectExtent l="4445" t="4445" r="11430" b="1714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2.非税收入17.4亿元，同比减少2.1亿元，下降10.7%，其中：</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（1）专项收入3.5亿元，同比减少0.6亿元，下降15.0%，主要是受增值税、消费税减收影响，教育费附加收入和地方教育费分别同比减少0.4亿元、0.3亿元。</w:t>
      </w:r>
    </w:p>
    <w:p>
      <w:pPr>
        <w:snapToGrid w:val="0"/>
        <w:ind w:firstLine="640" w:firstLineChars="200"/>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rPr>
        <w:t>（2）行政事业性收费收入1.2亿元，同比减少0.5亿元，下降31.9%，其中：耕地开垦费同比减少1.2亿元；渔业资源增殖保护费同比增加0.5亿元</w:t>
      </w:r>
      <w:r>
        <w:rPr>
          <w:rFonts w:hint="eastAsia" w:ascii="仿宋_GB2312" w:hAnsi="仿宋" w:eastAsia="仿宋_GB2312" w:cs="宋体"/>
          <w:bCs/>
          <w:kern w:val="0"/>
          <w:sz w:val="32"/>
          <w:szCs w:val="32"/>
          <w:lang w:eastAsia="zh-CN"/>
        </w:rPr>
        <w:t>。</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（3）罚没收入9.6亿元，同比减少2.4亿元，下降20.2%，主要是辽滨经开区填海罚没收入同比减少3.5亿元、监察罚没收入同比增加1.3亿元。</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（4）国有资源有偿使用收入1.4亿元，同比增加0.6亿元，增长81.8%，主要是兴隆台区国有资产处置收入增加。</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（5）政府住房基金收入1.7亿元，同比增加0.9亿元，增长104.9%,主要是计提公共租赁住房资金同比增加0.7亿元。</w:t>
      </w:r>
    </w:p>
    <w:p>
      <w:pPr>
        <w:pStyle w:val="2"/>
      </w:pPr>
    </w:p>
    <w:p>
      <w:pPr>
        <w:pStyle w:val="2"/>
        <w:ind w:firstLine="1120" w:firstLineChars="400"/>
        <w:rPr>
          <w:rFonts w:ascii="仿宋" w:hAnsi="仿宋" w:eastAsia="仿宋"/>
          <w:sz w:val="28"/>
          <w:szCs w:val="28"/>
        </w:rPr>
      </w:pPr>
      <w:r>
        <w:rPr>
          <w:rFonts w:hint="eastAsia" w:ascii="仿宋" w:hAnsi="仿宋" w:eastAsia="仿宋"/>
          <w:sz w:val="28"/>
          <w:szCs w:val="28"/>
        </w:rPr>
        <w:t>盘锦市2023年1-5月份非税收入分项目占比情况</w:t>
      </w:r>
    </w:p>
    <w:p>
      <w:pPr>
        <w:pStyle w:val="2"/>
        <w:jc w:val="center"/>
      </w:pPr>
      <w:r>
        <w:drawing>
          <wp:inline distT="0" distB="0" distL="0" distR="0">
            <wp:extent cx="4572000" cy="2743200"/>
            <wp:effectExtent l="19050" t="0" r="19050" b="0"/>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jc w:val="center"/>
      </w:pPr>
    </w:p>
    <w:p>
      <w:pPr>
        <w:pStyle w:val="2"/>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（二）政府性基金预算收入</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1-5月份全市政府性基金预算收入1.9亿元，同比减少2.2亿元，下降53.6%。其中国有土地使用权出让收入1.3亿元，同比减少2.2亿元，下降63.2%，主要是土地交易量下降，其中盘山县、双台子区、兴隆台区分别同比减少0.9亿元、0.2亿元、1.0亿元。</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2023年1-5月份全市政府性基金预算收入完成情况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8"/>
        <w:tblW w:w="5993" w:type="dxa"/>
        <w:jc w:val="center"/>
        <w:tblLayout w:type="fixed"/>
        <w:tblCellMar>
          <w:top w:w="0" w:type="dxa"/>
          <w:left w:w="108" w:type="dxa"/>
          <w:bottom w:w="0" w:type="dxa"/>
          <w:right w:w="108" w:type="dxa"/>
        </w:tblCellMar>
      </w:tblPr>
      <w:tblGrid>
        <w:gridCol w:w="1520"/>
        <w:gridCol w:w="1110"/>
        <w:gridCol w:w="990"/>
        <w:gridCol w:w="1125"/>
        <w:gridCol w:w="1248"/>
      </w:tblGrid>
      <w:tr>
        <w:tblPrEx>
          <w:tblCellMar>
            <w:top w:w="0" w:type="dxa"/>
            <w:left w:w="108" w:type="dxa"/>
            <w:bottom w:w="0" w:type="dxa"/>
            <w:right w:w="108" w:type="dxa"/>
          </w:tblCellMar>
        </w:tblPrEx>
        <w:trPr>
          <w:trHeight w:val="300" w:hRule="atLeast"/>
          <w:jc w:val="center"/>
        </w:trPr>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9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12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全市合计</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19,016</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40,968</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-21,952</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-53.6</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5,914</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4,170</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1,744</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41.8</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13,102</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36,798</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-23,696</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-64.4</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盘山县</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9,964</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18,849</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-8,885</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-47.1</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双台子区</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2,115</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-2,115</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-100.0</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兴隆台区</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709</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12,231</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-11,522</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-94.2</w:t>
            </w:r>
          </w:p>
        </w:tc>
      </w:tr>
      <w:tr>
        <w:tblPrEx>
          <w:tblCellMar>
            <w:top w:w="0" w:type="dxa"/>
            <w:left w:w="108" w:type="dxa"/>
            <w:bottom w:w="0" w:type="dxa"/>
            <w:right w:w="108" w:type="dxa"/>
          </w:tblCellMar>
        </w:tblPrEx>
        <w:trPr>
          <w:trHeight w:val="30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大洼区</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681</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560</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121</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21.6</w:t>
            </w:r>
          </w:p>
        </w:tc>
      </w:tr>
      <w:tr>
        <w:tblPrEx>
          <w:tblCellMar>
            <w:top w:w="0" w:type="dxa"/>
            <w:left w:w="108" w:type="dxa"/>
            <w:bottom w:w="0" w:type="dxa"/>
            <w:right w:w="108" w:type="dxa"/>
          </w:tblCellMar>
        </w:tblPrEx>
        <w:trPr>
          <w:trHeight w:val="270" w:hRule="atLeast"/>
          <w:jc w:val="center"/>
        </w:trPr>
        <w:tc>
          <w:tcPr>
            <w:tcW w:w="1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辽滨经开区</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1,748</w:t>
            </w:r>
          </w:p>
        </w:tc>
        <w:tc>
          <w:tcPr>
            <w:tcW w:w="99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3,043</w:t>
            </w:r>
          </w:p>
        </w:tc>
        <w:tc>
          <w:tcPr>
            <w:tcW w:w="112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-1,295</w:t>
            </w:r>
          </w:p>
        </w:tc>
        <w:tc>
          <w:tcPr>
            <w:tcW w:w="1248"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-42.6</w:t>
            </w:r>
          </w:p>
        </w:tc>
      </w:tr>
    </w:tbl>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hint="eastAsia" w:ascii="仿宋" w:hAnsi="仿宋" w:eastAsia="仿宋"/>
          <w:sz w:val="28"/>
          <w:szCs w:val="28"/>
        </w:rPr>
      </w:pPr>
    </w:p>
    <w:p>
      <w:pPr>
        <w:pStyle w:val="2"/>
        <w:spacing w:line="300" w:lineRule="exact"/>
        <w:jc w:val="center"/>
        <w:rPr>
          <w:rFonts w:hint="eastAsia" w:ascii="仿宋" w:hAnsi="仿宋" w:eastAsia="仿宋"/>
          <w:sz w:val="28"/>
          <w:szCs w:val="28"/>
        </w:rPr>
      </w:pPr>
    </w:p>
    <w:p>
      <w:pPr>
        <w:pStyle w:val="2"/>
        <w:spacing w:line="300" w:lineRule="exact"/>
        <w:jc w:val="center"/>
        <w:rPr>
          <w:rFonts w:hint="eastAsia"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2023年1-5月份全市政府性基金预算收入构成情况</w:t>
      </w:r>
    </w:p>
    <w:p>
      <w:pPr>
        <w:pStyle w:val="2"/>
        <w:spacing w:line="300" w:lineRule="exact"/>
        <w:jc w:val="center"/>
        <w:rPr>
          <w:rFonts w:ascii="仿宋" w:hAnsi="仿宋" w:eastAsia="仿宋"/>
          <w:sz w:val="28"/>
          <w:szCs w:val="28"/>
        </w:rPr>
      </w:pPr>
    </w:p>
    <w:p>
      <w:pPr>
        <w:pStyle w:val="2"/>
        <w:jc w:val="center"/>
        <w:rPr>
          <w:rFonts w:ascii="仿宋" w:hAnsi="仿宋" w:eastAsia="仿宋"/>
          <w:sz w:val="28"/>
          <w:szCs w:val="28"/>
        </w:rPr>
      </w:pPr>
      <w:r>
        <w:rPr>
          <w:rFonts w:ascii="仿宋" w:hAnsi="仿宋" w:eastAsia="仿宋"/>
          <w:sz w:val="28"/>
          <w:szCs w:val="28"/>
        </w:rPr>
        <w:drawing>
          <wp:inline distT="0" distB="0" distL="0" distR="0">
            <wp:extent cx="4572000" cy="2743200"/>
            <wp:effectExtent l="19050" t="0" r="19050" b="0"/>
            <wp:docPr id="1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（三）国有资本经营预算收入</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2023年1-5月份全市国有资本经营预算收入3.0亿元，同比减少4.5亿元，下降60.2%。主要是盘山县本期PPP经营权转让收入同比减少4.0亿元；兴隆</w:t>
      </w:r>
      <w:r>
        <w:rPr>
          <w:rFonts w:hint="eastAsia" w:ascii="仿宋_GB2312" w:hAnsi="仿宋" w:eastAsia="仿宋_GB2312" w:cs="宋体"/>
          <w:bCs/>
          <w:kern w:val="0"/>
          <w:sz w:val="32"/>
          <w:szCs w:val="32"/>
          <w:lang w:eastAsia="zh-CN"/>
        </w:rPr>
        <w:t>台</w:t>
      </w:r>
      <w:r>
        <w:rPr>
          <w:rFonts w:hint="eastAsia" w:ascii="仿宋_GB2312" w:hAnsi="仿宋" w:eastAsia="仿宋_GB2312" w:cs="宋体"/>
          <w:bCs/>
          <w:kern w:val="0"/>
          <w:sz w:val="32"/>
          <w:szCs w:val="32"/>
        </w:rPr>
        <w:t>区同期农场集体土地出租收入同比减少0.3亿元、辽滨经开区国企缴纳的利润收入同比减少0.2亿元</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2023年1-5月份全市国有资本经营预算收入完成情况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8"/>
        <w:tblW w:w="6110" w:type="dxa"/>
        <w:jc w:val="center"/>
        <w:tblLayout w:type="fixed"/>
        <w:tblCellMar>
          <w:top w:w="0" w:type="dxa"/>
          <w:left w:w="108" w:type="dxa"/>
          <w:bottom w:w="0" w:type="dxa"/>
          <w:right w:w="108" w:type="dxa"/>
        </w:tblCellMar>
      </w:tblPr>
      <w:tblGrid>
        <w:gridCol w:w="1553"/>
        <w:gridCol w:w="1185"/>
        <w:gridCol w:w="1215"/>
        <w:gridCol w:w="1186"/>
        <w:gridCol w:w="971"/>
      </w:tblGrid>
      <w:tr>
        <w:tblPrEx>
          <w:tblCellMar>
            <w:top w:w="0" w:type="dxa"/>
            <w:left w:w="108" w:type="dxa"/>
            <w:bottom w:w="0" w:type="dxa"/>
            <w:right w:w="108" w:type="dxa"/>
          </w:tblCellMar>
        </w:tblPrEx>
        <w:trPr>
          <w:trHeight w:val="300" w:hRule="atLeast"/>
          <w:jc w:val="center"/>
        </w:trPr>
        <w:tc>
          <w:tcPr>
            <w:tcW w:w="15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2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1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9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全市合计</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29,925</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75,249</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-45,324</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-60.2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400</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-400</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-100.0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29,925</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74,849</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-44,924</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-60.0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盘山县</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27,240</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67,400</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-40,160</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-59.6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双台子区</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0.0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兴隆台区</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2,900</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-2,900</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-100.0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大洼区</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0.0 </w:t>
            </w:r>
          </w:p>
        </w:tc>
      </w:tr>
      <w:tr>
        <w:tblPrEx>
          <w:tblCellMar>
            <w:top w:w="0" w:type="dxa"/>
            <w:left w:w="108" w:type="dxa"/>
            <w:bottom w:w="0" w:type="dxa"/>
            <w:right w:w="108" w:type="dxa"/>
          </w:tblCellMar>
        </w:tblPrEx>
        <w:trPr>
          <w:trHeight w:val="300" w:hRule="atLeast"/>
          <w:jc w:val="center"/>
        </w:trPr>
        <w:tc>
          <w:tcPr>
            <w:tcW w:w="155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辽滨经开区</w:t>
            </w:r>
          </w:p>
        </w:tc>
        <w:tc>
          <w:tcPr>
            <w:tcW w:w="118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2,685</w:t>
            </w:r>
          </w:p>
        </w:tc>
        <w:tc>
          <w:tcPr>
            <w:tcW w:w="121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4,549</w:t>
            </w:r>
          </w:p>
        </w:tc>
        <w:tc>
          <w:tcPr>
            <w:tcW w:w="118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-1,864</w:t>
            </w:r>
          </w:p>
        </w:tc>
        <w:tc>
          <w:tcPr>
            <w:tcW w:w="9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sz w:val="18"/>
                <w:szCs w:val="18"/>
              </w:rPr>
            </w:pPr>
            <w:r>
              <w:rPr>
                <w:rFonts w:hint="eastAsia" w:asciiTheme="minorEastAsia" w:hAnsiTheme="minorEastAsia"/>
                <w:color w:val="000000"/>
                <w:sz w:val="18"/>
                <w:szCs w:val="18"/>
              </w:rPr>
              <w:t xml:space="preserve">-41.0 </w:t>
            </w:r>
          </w:p>
        </w:tc>
      </w:tr>
    </w:tbl>
    <w:p>
      <w:pPr>
        <w:pStyle w:val="2"/>
        <w:spacing w:line="300" w:lineRule="exact"/>
        <w:jc w:val="center"/>
        <w:rPr>
          <w:rFonts w:ascii="仿宋" w:hAnsi="仿宋" w:eastAsia="仿宋"/>
          <w:sz w:val="28"/>
          <w:szCs w:val="28"/>
        </w:rPr>
      </w:pPr>
    </w:p>
    <w:p>
      <w:pPr>
        <w:pStyle w:val="2"/>
      </w:pPr>
    </w:p>
    <w:p>
      <w:pPr>
        <w:snapToGrid w:val="0"/>
        <w:ind w:firstLine="627" w:firstLineChars="196"/>
        <w:rPr>
          <w:rFonts w:ascii="黑体" w:hAnsi="黑体" w:eastAsia="黑体"/>
        </w:rPr>
      </w:pPr>
      <w:r>
        <w:rPr>
          <w:rFonts w:hint="eastAsia" w:ascii="黑体" w:hAnsi="黑体" w:eastAsia="黑体" w:cs="宋体"/>
          <w:bCs/>
          <w:kern w:val="0"/>
          <w:sz w:val="32"/>
          <w:szCs w:val="32"/>
        </w:rPr>
        <w:t>二、财政支出执行情况</w:t>
      </w: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（一）一般公共预算支出</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2023年1-5月份全市一般公共预算支出85.1亿元，同比增加7.3亿元，增长9.3%。</w:t>
      </w:r>
    </w:p>
    <w:p>
      <w:pPr>
        <w:snapToGrid w:val="0"/>
        <w:ind w:firstLine="640" w:firstLineChars="200"/>
        <w:rPr>
          <w:rFonts w:ascii="仿宋_GB2312" w:hAnsi="仿宋_GB2312" w:eastAsia="仿宋_GB2312" w:cs="仿宋_GB2312"/>
          <w:sz w:val="32"/>
          <w:szCs w:val="32"/>
        </w:rPr>
      </w:pPr>
      <w:r>
        <w:rPr>
          <w:rFonts w:hint="eastAsia" w:ascii="仿宋_GB2312" w:hAnsi="仿宋" w:eastAsia="仿宋_GB2312" w:cs="宋体"/>
          <w:bCs/>
          <w:kern w:val="0"/>
          <w:sz w:val="32"/>
          <w:szCs w:val="32"/>
        </w:rPr>
        <w:t>支出增长的主要原因：一是城乡社区支出，辽滨经开区隐性债务付息纳入一般公共预算支出，同比增加9.8亿元；二是农林水支出，</w:t>
      </w:r>
      <w:r>
        <w:rPr>
          <w:rFonts w:hint="eastAsia" w:ascii="仿宋_GB2312" w:hAnsi="仿宋_GB2312" w:eastAsia="仿宋_GB2312" w:cs="仿宋_GB2312"/>
          <w:sz w:val="32"/>
          <w:szCs w:val="32"/>
        </w:rPr>
        <w:t>辽河干流滩区迁建工程同比增加3.0亿元；三是住房保障支出，棚户区和老旧小区改造项目同比增加1.1亿元；四是社会保障和就业支出，抚恤、义务兵优待专项同比增加0.34亿元，城市低保支出同比增加0.26亿元；五是节能环保支出，农村生活污水处理工程同比增加0.4亿元。</w:t>
      </w:r>
    </w:p>
    <w:p>
      <w:pPr>
        <w:snapToGrid w:val="0"/>
        <w:ind w:firstLine="640" w:firstLineChars="200"/>
        <w:rPr>
          <w:rFonts w:ascii="仿宋_GB2312" w:hAnsi="仿宋" w:eastAsia="仿宋_GB2312" w:cs="宋体"/>
          <w:bCs/>
          <w:kern w:val="0"/>
          <w:sz w:val="32"/>
          <w:szCs w:val="32"/>
        </w:rPr>
      </w:pPr>
      <w:r>
        <w:rPr>
          <w:rFonts w:hint="eastAsia" w:ascii="仿宋_GB2312" w:hAnsi="仿宋_GB2312" w:eastAsia="仿宋_GB2312" w:cs="仿宋_GB2312"/>
          <w:sz w:val="32"/>
          <w:szCs w:val="32"/>
        </w:rPr>
        <w:t>支出减少的主要原因：一是交通运输支出，港口建设专项同比减少0.7亿元、出租车等行业成品油价格改革财政补贴同比减少0.2亿元；</w:t>
      </w:r>
      <w:r>
        <w:rPr>
          <w:rFonts w:hint="eastAsia" w:ascii="仿宋_GB2312" w:hAnsi="仿宋" w:eastAsia="仿宋_GB2312" w:cs="宋体"/>
          <w:bCs/>
          <w:kern w:val="0"/>
          <w:sz w:val="32"/>
          <w:szCs w:val="32"/>
        </w:rPr>
        <w:t>二是其他支出，缴纳填海罚没同比减少3.8亿元；三是债务付息支出同比减少1.7亿元；三是自然资源海洋气象等支出，建设用地新增费支出同比减少1.1亿元。</w:t>
      </w: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分级次：</w:t>
      </w:r>
      <w:r>
        <w:rPr>
          <w:rFonts w:hint="eastAsia" w:ascii="仿宋_GB2312" w:hAnsi="仿宋" w:eastAsia="仿宋_GB2312" w:cs="宋体"/>
          <w:bCs/>
          <w:kern w:val="0"/>
          <w:sz w:val="32"/>
          <w:szCs w:val="32"/>
        </w:rPr>
        <w:t>市本级20.5亿元，同比减少0.9亿元，下降4.4%。县区级64.6亿元，同比增加8.2亿元，增长14.5%，其中：盘山县14.7亿元，同比增加1.3亿元，增长9.9%；双台子区7.5亿元，同比增加2.1亿元，增长39.4%；兴隆台区8.2亿元，同比减少0.6亿元，下降6.3%；大洼区14.3亿元，同比增加1.0亿元，增长7.5%；辽滨经开区19.9亿元，同比增加4.3亿元，增长27.8%。</w:t>
      </w:r>
    </w:p>
    <w:p>
      <w:pPr>
        <w:pStyle w:val="2"/>
        <w:spacing w:line="300" w:lineRule="exact"/>
        <w:jc w:val="center"/>
        <w:rPr>
          <w:rFonts w:ascii="仿宋" w:hAnsi="仿宋" w:eastAsia="仿宋"/>
          <w:sz w:val="28"/>
          <w:szCs w:val="28"/>
        </w:rPr>
      </w:pPr>
    </w:p>
    <w:p>
      <w:pPr>
        <w:snapToGrid w:val="0"/>
        <w:jc w:val="left"/>
        <w:rPr>
          <w:rFonts w:ascii="仿宋" w:hAnsi="仿宋" w:eastAsia="仿宋" w:cs="宋体"/>
          <w:b/>
          <w:kern w:val="0"/>
          <w:sz w:val="32"/>
          <w:szCs w:val="32"/>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hint="eastAsia" w:ascii="仿宋" w:hAnsi="仿宋" w:eastAsia="仿宋"/>
          <w:sz w:val="28"/>
          <w:szCs w:val="28"/>
        </w:rPr>
      </w:pPr>
    </w:p>
    <w:p>
      <w:pPr>
        <w:pStyle w:val="2"/>
        <w:spacing w:line="300" w:lineRule="exact"/>
        <w:ind w:left="359" w:leftChars="171" w:firstLine="280" w:firstLineChars="100"/>
        <w:rPr>
          <w:rFonts w:ascii="仿宋" w:hAnsi="仿宋" w:eastAsia="仿宋"/>
          <w:sz w:val="28"/>
          <w:szCs w:val="28"/>
        </w:rPr>
      </w:pPr>
      <w:r>
        <w:rPr>
          <w:rFonts w:hint="eastAsia" w:ascii="仿宋" w:hAnsi="仿宋" w:eastAsia="仿宋"/>
          <w:sz w:val="28"/>
          <w:szCs w:val="28"/>
        </w:rPr>
        <w:t>2023年1-5月份全市一般公共预算支出分级次完成情况</w:t>
      </w:r>
    </w:p>
    <w:p>
      <w:pPr>
        <w:pStyle w:val="2"/>
        <w:spacing w:line="300" w:lineRule="exact"/>
        <w:ind w:left="360"/>
      </w:pPr>
      <w:r>
        <w:rPr>
          <w:rFonts w:hint="eastAsia" w:ascii="仿宋" w:hAnsi="仿宋" w:eastAsia="仿宋"/>
          <w:sz w:val="28"/>
          <w:szCs w:val="28"/>
        </w:rPr>
        <w:t xml:space="preserve">                     单位：万元</w:t>
      </w:r>
    </w:p>
    <w:p>
      <w:pPr>
        <w:pStyle w:val="2"/>
        <w:jc w:val="center"/>
      </w:pPr>
    </w:p>
    <w:p>
      <w:pPr>
        <w:pStyle w:val="2"/>
        <w:jc w:val="center"/>
      </w:pPr>
      <w:r>
        <w:drawing>
          <wp:inline distT="0" distB="0" distL="0" distR="0">
            <wp:extent cx="5274310" cy="2748915"/>
            <wp:effectExtent l="19050" t="0" r="2159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jc w:val="cente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2023年1-5月份全市一般公共预算支出分级次变动情况</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snapToGrid w:val="0"/>
        <w:rPr>
          <w:rFonts w:ascii="仿宋_GB2312" w:hAnsi="仿宋" w:eastAsia="仿宋_GB2312" w:cs="宋体"/>
          <w:b/>
          <w:kern w:val="0"/>
          <w:sz w:val="32"/>
          <w:szCs w:val="32"/>
          <w:highlight w:val="yellow"/>
        </w:rPr>
      </w:pPr>
    </w:p>
    <w:p>
      <w:pPr>
        <w:pStyle w:val="2"/>
      </w:pPr>
      <w:r>
        <w:drawing>
          <wp:inline distT="0" distB="0" distL="0" distR="0">
            <wp:extent cx="5274310" cy="2428875"/>
            <wp:effectExtent l="19050" t="0" r="21590" b="0"/>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napToGrid w:val="0"/>
        <w:ind w:firstLine="630" w:firstLineChars="196"/>
        <w:rPr>
          <w:rFonts w:ascii="仿宋_GB2312" w:hAnsi="仿宋" w:eastAsia="仿宋_GB2312" w:cs="宋体"/>
          <w:b/>
          <w:kern w:val="0"/>
          <w:sz w:val="32"/>
          <w:szCs w:val="32"/>
        </w:rPr>
      </w:pPr>
      <w:r>
        <w:rPr>
          <w:rFonts w:hint="eastAsia" w:ascii="仿宋_GB2312" w:hAnsi="仿宋" w:eastAsia="仿宋_GB2312" w:cs="宋体"/>
          <w:b/>
          <w:kern w:val="0"/>
          <w:sz w:val="32"/>
          <w:szCs w:val="32"/>
        </w:rPr>
        <w:t>分支出功能科目：</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1.一般公共服务支出7.5亿元，同比减少900万元，下降1.2%。</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2.公共安全支出2.8亿元，同比减少0.5亿元，下降15.2%。</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 xml:space="preserve">3.教育支出7.5亿元，同比减少0.4亿元，下降5.6%。 </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4.科学技术支出0.6亿元，同比增加414万元,增长7.2%。</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5.社会保障和就业支出11.7亿元，同比增加0.8亿元，增长6.9%。</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6.卫生健康支出3.9亿元，同比减少0.3亿元，下降7.6%。</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7.节能环保支出1.8亿元，同比增加0.5亿元，增长42.9%。</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8.文化旅游体育与传媒支出0.7亿元，同比减少0.1亿元，下降17.8%。</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9.农林水支出7.5亿元，同比增加3.0亿元，增长69.4%。</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10.交通运输支出2.3亿元，同比减少0.7亿元，下降23.6%。</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11.资源勘探工业信息等支出1.5亿元，同比减少0.2亿元，下降11.4%。</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12.商业服务业等支出0.2亿元，同比增加26万元，增长1.2%。</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13.自然资源海洋气象等支出2.0亿元，同比减少0.5亿元，下降19.7%。</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14.住房保障支出3.5亿元，同比增加1.4亿元，增长70.9%。</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15.灾害防治及应急管理支出0.6亿元，同比增加0.15亿元，增长30.9%。</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16.城乡社区支出14.7亿元，同比增加10.2亿元，增长226.9%。</w:t>
      </w:r>
    </w:p>
    <w:p>
      <w:pPr>
        <w:snapToGrid w:val="0"/>
        <w:ind w:firstLine="640" w:firstLineChars="200"/>
        <w:rPr>
          <w:rFonts w:ascii="仿宋" w:hAnsi="仿宋" w:eastAsia="仿宋" w:cs="宋体"/>
          <w:bCs/>
          <w:kern w:val="0"/>
          <w:sz w:val="32"/>
          <w:szCs w:val="32"/>
        </w:rPr>
      </w:pPr>
      <w:r>
        <w:rPr>
          <w:rFonts w:hint="eastAsia" w:ascii="仿宋_GB2312" w:hAnsi="仿宋" w:eastAsia="仿宋_GB2312" w:cs="宋体"/>
          <w:bCs/>
          <w:kern w:val="0"/>
          <w:sz w:val="32"/>
          <w:szCs w:val="32"/>
        </w:rPr>
        <w:t>17.其他出9.1亿元，同比减少4.4亿元，下降32.6%。</w:t>
      </w:r>
    </w:p>
    <w:p>
      <w:pPr>
        <w:pStyle w:val="2"/>
        <w:jc w:val="center"/>
        <w:rPr>
          <w:rFonts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ascii="仿宋" w:hAnsi="仿宋" w:eastAsia="仿宋"/>
          <w:sz w:val="28"/>
          <w:szCs w:val="28"/>
        </w:rPr>
      </w:pPr>
      <w:r>
        <w:rPr>
          <w:rFonts w:hint="eastAsia" w:ascii="仿宋" w:hAnsi="仿宋" w:eastAsia="仿宋"/>
          <w:sz w:val="28"/>
          <w:szCs w:val="28"/>
        </w:rPr>
        <w:t>2023年1-5月份全市一般公共预算支出分功能科目占比情况</w:t>
      </w:r>
    </w:p>
    <w:p>
      <w:pPr>
        <w:pStyle w:val="2"/>
        <w:jc w:val="center"/>
        <w:rPr>
          <w:rFonts w:ascii="仿宋" w:hAnsi="仿宋" w:eastAsia="仿宋"/>
          <w:sz w:val="28"/>
          <w:szCs w:val="28"/>
        </w:rPr>
      </w:pPr>
      <w:r>
        <w:rPr>
          <w:rFonts w:ascii="仿宋" w:hAnsi="仿宋" w:eastAsia="仿宋"/>
          <w:sz w:val="28"/>
          <w:szCs w:val="28"/>
        </w:rPr>
        <w:drawing>
          <wp:inline distT="0" distB="0" distL="0" distR="0">
            <wp:extent cx="5274310" cy="5145405"/>
            <wp:effectExtent l="19050" t="0" r="21590" b="0"/>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napToGrid w:val="0"/>
        <w:ind w:firstLine="643" w:firstLineChars="200"/>
        <w:rPr>
          <w:rFonts w:ascii="仿宋" w:hAnsi="仿宋" w:eastAsia="仿宋" w:cs="宋体"/>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（二）政府性基金预算支出</w:t>
      </w:r>
    </w:p>
    <w:p>
      <w:pPr>
        <w:snapToGrid w:val="0"/>
        <w:ind w:firstLine="640" w:firstLineChars="200"/>
        <w:rPr>
          <w:rFonts w:ascii="仿宋" w:hAnsi="仿宋" w:eastAsia="仿宋"/>
          <w:sz w:val="28"/>
          <w:szCs w:val="28"/>
        </w:rPr>
      </w:pPr>
      <w:r>
        <w:rPr>
          <w:rFonts w:hint="eastAsia" w:ascii="仿宋_GB2312" w:hAnsi="仿宋" w:eastAsia="仿宋_GB2312" w:cs="宋体"/>
          <w:bCs/>
          <w:kern w:val="0"/>
          <w:sz w:val="32"/>
          <w:szCs w:val="32"/>
        </w:rPr>
        <w:t>2023年1-5月份全市政府性基金预算支出7.6亿元，同比增加3.6亿元，增长89.6%。其中：国有土地使用权出让收入安排的支出1,951万元，同比减少1.8亿元；其他地方自行试点项目收益专项债券收入安排的支出同比增加5.6亿元。</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2023年1-5月份全市政府性基金预算支出变动情况表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8"/>
        <w:tblW w:w="5908" w:type="dxa"/>
        <w:jc w:val="center"/>
        <w:tblLayout w:type="fixed"/>
        <w:tblCellMar>
          <w:top w:w="0" w:type="dxa"/>
          <w:left w:w="108" w:type="dxa"/>
          <w:bottom w:w="0" w:type="dxa"/>
          <w:right w:w="108" w:type="dxa"/>
        </w:tblCellMar>
      </w:tblPr>
      <w:tblGrid>
        <w:gridCol w:w="1498"/>
        <w:gridCol w:w="1110"/>
        <w:gridCol w:w="1125"/>
        <w:gridCol w:w="1065"/>
        <w:gridCol w:w="1110"/>
      </w:tblGrid>
      <w:tr>
        <w:tblPrEx>
          <w:tblCellMar>
            <w:top w:w="0" w:type="dxa"/>
            <w:left w:w="108" w:type="dxa"/>
            <w:bottom w:w="0" w:type="dxa"/>
            <w:right w:w="108" w:type="dxa"/>
          </w:tblCellMar>
        </w:tblPrEx>
        <w:trPr>
          <w:trHeight w:val="300" w:hRule="atLeast"/>
          <w:jc w:val="center"/>
        </w:trPr>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11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30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全市合计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75,856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40,001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35,855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89.6 </w:t>
            </w:r>
          </w:p>
        </w:tc>
      </w:tr>
      <w:tr>
        <w:tblPrEx>
          <w:tblCellMar>
            <w:top w:w="0" w:type="dxa"/>
            <w:left w:w="108" w:type="dxa"/>
            <w:bottom w:w="0" w:type="dxa"/>
            <w:right w:w="108" w:type="dxa"/>
          </w:tblCellMar>
        </w:tblPrEx>
        <w:trPr>
          <w:trHeight w:val="30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44,044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1,563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42,481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2717.9 </w:t>
            </w:r>
          </w:p>
        </w:tc>
      </w:tr>
      <w:tr>
        <w:tblPrEx>
          <w:tblCellMar>
            <w:top w:w="0" w:type="dxa"/>
            <w:left w:w="108" w:type="dxa"/>
            <w:bottom w:w="0" w:type="dxa"/>
            <w:right w:w="108" w:type="dxa"/>
          </w:tblCellMar>
        </w:tblPrEx>
        <w:trPr>
          <w:trHeight w:val="30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31,812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38,438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-6,626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-17.2 </w:t>
            </w:r>
          </w:p>
        </w:tc>
      </w:tr>
      <w:tr>
        <w:tblPrEx>
          <w:tblCellMar>
            <w:top w:w="0" w:type="dxa"/>
            <w:left w:w="108" w:type="dxa"/>
            <w:bottom w:w="0" w:type="dxa"/>
            <w:right w:w="108" w:type="dxa"/>
          </w:tblCellMar>
        </w:tblPrEx>
        <w:trPr>
          <w:trHeight w:val="30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盘山县</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4,723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7,512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-2,789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-37.1 </w:t>
            </w:r>
          </w:p>
        </w:tc>
      </w:tr>
      <w:tr>
        <w:tblPrEx>
          <w:tblCellMar>
            <w:top w:w="0" w:type="dxa"/>
            <w:left w:w="108" w:type="dxa"/>
            <w:bottom w:w="0" w:type="dxa"/>
            <w:right w:w="108" w:type="dxa"/>
          </w:tblCellMar>
        </w:tblPrEx>
        <w:trPr>
          <w:trHeight w:val="30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双台子区</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10,383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4,772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5,611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117.6 </w:t>
            </w:r>
          </w:p>
        </w:tc>
      </w:tr>
      <w:tr>
        <w:tblPrEx>
          <w:tblCellMar>
            <w:top w:w="0" w:type="dxa"/>
            <w:left w:w="108" w:type="dxa"/>
            <w:bottom w:w="0" w:type="dxa"/>
            <w:right w:w="108" w:type="dxa"/>
          </w:tblCellMar>
        </w:tblPrEx>
        <w:trPr>
          <w:trHeight w:val="30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兴隆台区</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2,163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15,736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-13,573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-86.3 </w:t>
            </w:r>
          </w:p>
        </w:tc>
      </w:tr>
      <w:tr>
        <w:tblPrEx>
          <w:tblCellMar>
            <w:top w:w="0" w:type="dxa"/>
            <w:left w:w="108" w:type="dxa"/>
            <w:bottom w:w="0" w:type="dxa"/>
            <w:right w:w="108" w:type="dxa"/>
          </w:tblCellMar>
        </w:tblPrEx>
        <w:trPr>
          <w:trHeight w:val="27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大洼区</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4,803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7,401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-2,598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-35.1 </w:t>
            </w:r>
          </w:p>
        </w:tc>
      </w:tr>
      <w:tr>
        <w:tblPrEx>
          <w:tblCellMar>
            <w:top w:w="0" w:type="dxa"/>
            <w:left w:w="108" w:type="dxa"/>
            <w:bottom w:w="0" w:type="dxa"/>
            <w:right w:w="108" w:type="dxa"/>
          </w:tblCellMar>
        </w:tblPrEx>
        <w:trPr>
          <w:trHeight w:val="270" w:hRule="atLeast"/>
          <w:jc w:val="center"/>
        </w:trPr>
        <w:tc>
          <w:tcPr>
            <w:tcW w:w="149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辽滨经开区</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9,740 </w:t>
            </w:r>
          </w:p>
        </w:tc>
        <w:tc>
          <w:tcPr>
            <w:tcW w:w="112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3,017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6,723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sz w:val="18"/>
                <w:szCs w:val="18"/>
              </w:rPr>
            </w:pPr>
            <w:r>
              <w:rPr>
                <w:rFonts w:hint="eastAsia" w:ascii="宋体" w:hAnsi="宋体" w:eastAsia="宋体" w:cs="宋体"/>
                <w:color w:val="000000"/>
                <w:kern w:val="0"/>
                <w:sz w:val="18"/>
                <w:szCs w:val="18"/>
              </w:rPr>
              <w:t xml:space="preserve">222.8 </w:t>
            </w:r>
          </w:p>
        </w:tc>
      </w:tr>
    </w:tbl>
    <w:p>
      <w:pPr>
        <w:widowControl/>
        <w:jc w:val="center"/>
        <w:rPr>
          <w:rFonts w:ascii="仿宋" w:hAnsi="仿宋" w:eastAsia="仿宋" w:cs="宋体"/>
          <w:kern w:val="0"/>
          <w:sz w:val="20"/>
          <w:szCs w:val="20"/>
        </w:rPr>
      </w:pPr>
    </w:p>
    <w:p>
      <w:pPr>
        <w:pStyle w:val="2"/>
        <w:jc w:val="center"/>
      </w:pPr>
      <w:r>
        <w:rPr>
          <w:rFonts w:hint="eastAsia" w:ascii="仿宋" w:hAnsi="仿宋" w:eastAsia="仿宋"/>
          <w:sz w:val="28"/>
          <w:szCs w:val="28"/>
        </w:rPr>
        <w:t>2023年1-5月份全市政府性基金预算支出构成情况</w:t>
      </w:r>
    </w:p>
    <w:p>
      <w:pPr>
        <w:pStyle w:val="2"/>
      </w:pPr>
    </w:p>
    <w:p>
      <w:pPr>
        <w:pStyle w:val="2"/>
        <w:jc w:val="center"/>
      </w:pPr>
      <w:r>
        <w:drawing>
          <wp:inline distT="0" distB="0" distL="0" distR="0">
            <wp:extent cx="4600575" cy="2952750"/>
            <wp:effectExtent l="19050" t="0" r="9525" b="0"/>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napToGrid w:val="0"/>
        <w:ind w:firstLine="643" w:firstLineChars="200"/>
        <w:rPr>
          <w:rFonts w:cs="宋体" w:asciiTheme="majorEastAsia" w:hAnsiTheme="majorEastAsia" w:eastAsiaTheme="majorEastAsia"/>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（三）国有资本经营预算支出</w:t>
      </w:r>
    </w:p>
    <w:p>
      <w:pPr>
        <w:snapToGrid w:val="0"/>
        <w:ind w:firstLine="640" w:firstLineChars="200"/>
        <w:rPr>
          <w:rFonts w:ascii="仿宋" w:hAnsi="仿宋" w:eastAsia="仿宋" w:cs="宋体"/>
          <w:bCs/>
          <w:kern w:val="0"/>
          <w:sz w:val="32"/>
          <w:szCs w:val="32"/>
        </w:rPr>
      </w:pPr>
      <w:r>
        <w:rPr>
          <w:rFonts w:hint="eastAsia" w:ascii="仿宋_GB2312" w:hAnsi="仿宋" w:eastAsia="仿宋_GB2312" w:cs="宋体"/>
          <w:bCs/>
          <w:kern w:val="0"/>
          <w:sz w:val="32"/>
          <w:szCs w:val="32"/>
        </w:rPr>
        <w:t>2023年1-5月份全市国有资本经营预算支出2.0亿元，同比减少1.15亿元，下降36.5%。其中盘山县1.2亿元，同比减少1.6亿元，</w:t>
      </w:r>
      <w:r>
        <w:rPr>
          <w:rFonts w:hint="eastAsia" w:ascii="仿宋" w:hAnsi="仿宋" w:eastAsia="仿宋" w:cs="宋体"/>
          <w:bCs/>
          <w:kern w:val="0"/>
          <w:sz w:val="32"/>
          <w:szCs w:val="32"/>
        </w:rPr>
        <w:t>大洼区2,610万元，同比减少1,345万元</w:t>
      </w:r>
      <w:r>
        <w:rPr>
          <w:rFonts w:hint="eastAsia" w:ascii="仿宋_GB2312" w:hAnsi="仿宋" w:eastAsia="仿宋_GB2312" w:cs="宋体"/>
          <w:bCs/>
          <w:kern w:val="0"/>
          <w:sz w:val="32"/>
          <w:szCs w:val="32"/>
        </w:rPr>
        <w:t>主要是对国有企业资本金注入支出减少</w:t>
      </w:r>
      <w:r>
        <w:rPr>
          <w:rFonts w:hint="eastAsia" w:ascii="仿宋" w:hAnsi="仿宋" w:eastAsia="仿宋" w:cs="宋体"/>
          <w:bCs/>
          <w:kern w:val="0"/>
          <w:sz w:val="32"/>
          <w:szCs w:val="32"/>
        </w:rPr>
        <w:t>；辽滨经开区3,352万元,同期为零，主要是二界沟农场支出；兴隆台</w:t>
      </w:r>
      <w:r>
        <w:rPr>
          <w:rFonts w:hint="eastAsia" w:ascii="仿宋" w:hAnsi="仿宋" w:eastAsia="仿宋" w:cs="宋体"/>
          <w:bCs/>
          <w:kern w:val="0"/>
          <w:sz w:val="32"/>
          <w:szCs w:val="32"/>
          <w:lang w:eastAsia="zh-CN"/>
        </w:rPr>
        <w:t>区</w:t>
      </w:r>
      <w:r>
        <w:rPr>
          <w:rFonts w:hint="eastAsia" w:ascii="仿宋" w:hAnsi="仿宋" w:eastAsia="仿宋" w:cs="宋体"/>
          <w:bCs/>
          <w:kern w:val="0"/>
          <w:sz w:val="32"/>
          <w:szCs w:val="32"/>
        </w:rPr>
        <w:t>2,413万元，同比增加2,294万元，主要是国企退休人员社会化管理专项支出增加。</w:t>
      </w: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2023年1-5月份全市国有资本经营预算支出变动情况表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8"/>
        <w:tblW w:w="5903" w:type="dxa"/>
        <w:jc w:val="center"/>
        <w:tblLayout w:type="fixed"/>
        <w:tblCellMar>
          <w:top w:w="0" w:type="dxa"/>
          <w:left w:w="108" w:type="dxa"/>
          <w:bottom w:w="0" w:type="dxa"/>
          <w:right w:w="108" w:type="dxa"/>
        </w:tblCellMar>
      </w:tblPr>
      <w:tblGrid>
        <w:gridCol w:w="1643"/>
        <w:gridCol w:w="1170"/>
        <w:gridCol w:w="1005"/>
        <w:gridCol w:w="1005"/>
        <w:gridCol w:w="1080"/>
      </w:tblGrid>
      <w:tr>
        <w:tblPrEx>
          <w:tblCellMar>
            <w:top w:w="0" w:type="dxa"/>
            <w:left w:w="108" w:type="dxa"/>
            <w:bottom w:w="0" w:type="dxa"/>
            <w:right w:w="108" w:type="dxa"/>
          </w:tblCellMar>
        </w:tblPrEx>
        <w:trPr>
          <w:trHeight w:val="270" w:hRule="atLeast"/>
          <w:jc w:val="center"/>
        </w:trPr>
        <w:tc>
          <w:tcPr>
            <w:tcW w:w="16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分地区</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  期</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同  期</w:t>
            </w:r>
          </w:p>
        </w:tc>
        <w:tc>
          <w:tcPr>
            <w:tcW w:w="10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增减额</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增减%</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全市合计</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20,051</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31,583</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-11,532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-36.5</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市本级</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县区小计</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20,051</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31,583</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-11,532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-36.5</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盘山县</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11,669</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27,509</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-15,840</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-57.6</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双台子区</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7</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兴隆台区</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2,413</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119</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2,294</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1927.7</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大洼区</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2,610</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3,955</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-1,345</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-34.0</w:t>
            </w:r>
          </w:p>
        </w:tc>
      </w:tr>
      <w:tr>
        <w:tblPrEx>
          <w:tblCellMar>
            <w:top w:w="0" w:type="dxa"/>
            <w:left w:w="108" w:type="dxa"/>
            <w:bottom w:w="0" w:type="dxa"/>
            <w:right w:w="108" w:type="dxa"/>
          </w:tblCellMar>
        </w:tblPrEx>
        <w:trPr>
          <w:trHeight w:val="270" w:hRule="atLeast"/>
          <w:jc w:val="center"/>
        </w:trPr>
        <w:tc>
          <w:tcPr>
            <w:tcW w:w="164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辽滨经开区</w:t>
            </w:r>
          </w:p>
        </w:tc>
        <w:tc>
          <w:tcPr>
            <w:tcW w:w="117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3,352</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c>
          <w:tcPr>
            <w:tcW w:w="1005"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3,352</w:t>
            </w:r>
          </w:p>
        </w:tc>
        <w:tc>
          <w:tcPr>
            <w:tcW w:w="1080"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color w:val="000000"/>
                <w:sz w:val="18"/>
                <w:szCs w:val="18"/>
              </w:rPr>
            </w:pPr>
            <w:r>
              <w:rPr>
                <w:rFonts w:hint="eastAsia" w:asciiTheme="minorEastAsia" w:hAnsiTheme="minorEastAsia"/>
                <w:color w:val="000000"/>
                <w:sz w:val="18"/>
                <w:szCs w:val="18"/>
              </w:rPr>
              <w:t>-</w:t>
            </w:r>
          </w:p>
        </w:tc>
      </w:tr>
    </w:tbl>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snapToGrid w:val="0"/>
        <w:rPr>
          <w:rFonts w:cs="宋体" w:asciiTheme="minorEastAsia" w:hAnsiTheme="minorEastAsia"/>
          <w:b/>
          <w:bCs/>
          <w:kern w:val="0"/>
          <w:sz w:val="18"/>
          <w:szCs w:val="18"/>
        </w:rPr>
      </w:pPr>
    </w:p>
    <w:p>
      <w:pPr>
        <w:snapToGrid w:val="0"/>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三、财政预算执行主要特点</w:t>
      </w:r>
    </w:p>
    <w:p>
      <w:pPr>
        <w:pStyle w:val="2"/>
        <w:ind w:firstLine="630" w:firstLineChars="196"/>
      </w:pPr>
      <w:r>
        <w:rPr>
          <w:rFonts w:hint="eastAsia" w:cs="宋体" w:asciiTheme="majorEastAsia" w:hAnsiTheme="majorEastAsia" w:eastAsiaTheme="majorEastAsia"/>
          <w:b/>
          <w:bCs/>
          <w:kern w:val="0"/>
          <w:sz w:val="32"/>
          <w:szCs w:val="32"/>
        </w:rPr>
        <w:t>（一）财政收入降幅有所收窄</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w:t>
      </w:r>
      <w:r>
        <w:rPr>
          <w:rFonts w:hint="eastAsia" w:ascii="仿宋_GB2312" w:hAnsi="仿宋" w:eastAsia="仿宋_GB2312" w:cs="宋体"/>
          <w:bCs/>
          <w:kern w:val="0"/>
          <w:sz w:val="32"/>
          <w:szCs w:val="32"/>
          <w:lang w:eastAsia="zh-CN"/>
        </w:rPr>
        <w:t>前</w:t>
      </w:r>
      <w:r>
        <w:rPr>
          <w:rFonts w:hint="eastAsia" w:ascii="仿宋_GB2312" w:hAnsi="仿宋" w:eastAsia="仿宋_GB2312" w:cs="宋体"/>
          <w:bCs/>
          <w:kern w:val="0"/>
          <w:sz w:val="32"/>
          <w:szCs w:val="32"/>
          <w:lang w:val="en-US" w:eastAsia="zh-CN"/>
        </w:rPr>
        <w:t>5个月，我市经济处于疫情后的恢复期，财政收入存在较多不确定性，全</w:t>
      </w:r>
      <w:r>
        <w:rPr>
          <w:rFonts w:hint="eastAsia" w:ascii="仿宋_GB2312" w:hAnsi="仿宋" w:eastAsia="仿宋_GB2312" w:cs="宋体"/>
          <w:bCs/>
          <w:kern w:val="0"/>
          <w:sz w:val="32"/>
          <w:szCs w:val="32"/>
        </w:rPr>
        <w:t>市一般公共预算收入增速持续低位运行。各级财政部门克服减收压力，动态掌握收入进度，加强收入变化分析研判，做到应收尽收。1-5月份全市一般公共预算收入、税收收入降幅分别较4月份收窄3.8、7.0个百分点。各级财政坚持税收是财政收入的主要来源，优化财政收入结构，1-5月份全市非税占比25.9%，低于全省平均占比4.3个百分点。</w:t>
      </w:r>
    </w:p>
    <w:p>
      <w:pPr>
        <w:pStyle w:val="2"/>
        <w:rPr>
          <w:rFonts w:ascii="仿宋_GB2312" w:hAnsi="仿宋" w:eastAsia="仿宋_GB2312" w:cs="宋体"/>
          <w:bCs/>
          <w:kern w:val="0"/>
          <w:sz w:val="32"/>
          <w:szCs w:val="32"/>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2023年1-5月份全市主要收入指标增幅情况（%）</w:t>
      </w:r>
    </w:p>
    <w:p>
      <w:pPr>
        <w:pStyle w:val="2"/>
        <w:spacing w:line="300" w:lineRule="exact"/>
        <w:jc w:val="center"/>
        <w:rPr>
          <w:rFonts w:ascii="仿宋" w:hAnsi="仿宋" w:eastAsia="仿宋"/>
          <w:sz w:val="28"/>
          <w:szCs w:val="28"/>
        </w:rPr>
      </w:pPr>
    </w:p>
    <w:p>
      <w:pPr>
        <w:pStyle w:val="2"/>
        <w:rPr>
          <w:rFonts w:ascii="仿宋_GB2312" w:hAnsi="仿宋" w:eastAsia="仿宋_GB2312" w:cs="宋体"/>
          <w:bCs/>
          <w:kern w:val="0"/>
          <w:sz w:val="32"/>
          <w:szCs w:val="32"/>
        </w:rPr>
      </w:pPr>
      <w:r>
        <w:drawing>
          <wp:inline distT="0" distB="0" distL="114300" distR="114300">
            <wp:extent cx="5269230" cy="1958340"/>
            <wp:effectExtent l="4445" t="4445" r="14605" b="1841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napToGrid w:val="0"/>
        <w:ind w:firstLine="640" w:firstLineChars="200"/>
        <w:rPr>
          <w:rFonts w:ascii="仿宋_GB2312" w:hAnsi="仿宋" w:eastAsia="仿宋_GB2312" w:cs="宋体"/>
          <w:bCs/>
          <w:kern w:val="0"/>
          <w:sz w:val="32"/>
          <w:szCs w:val="32"/>
        </w:rPr>
      </w:pP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分县区看，1-5月份，市本级和各县区一般公共预算收入、税收入收入增幅均高于4月份。但受北方沥青燃料有限公司大幅减收、填海罚没收入减少因素影响，辽滨经开区一般公共预算收入同比下降17.0%，拉低了全市收入增幅6.1个百分点；市本级受中国石油天然气股份有限公司辽河油田分公司、北方华锦化学工业股份有限公司减收影响，一般公共预算收入同比下降2.9%；其余县区均实现增长。</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从全省排名看，我市一般公共预算收入总量居全省第五位，收入增幅居全省第十三位，财政收入依旧低位运行。</w:t>
      </w:r>
    </w:p>
    <w:p>
      <w:pPr>
        <w:pStyle w:val="2"/>
        <w:spacing w:line="300" w:lineRule="exact"/>
        <w:jc w:val="center"/>
        <w:rPr>
          <w:rFonts w:ascii="仿宋_GB2312" w:hAnsi="仿宋" w:eastAsia="仿宋_GB2312" w:cs="宋体"/>
          <w:bCs/>
          <w:kern w:val="0"/>
          <w:sz w:val="32"/>
          <w:szCs w:val="32"/>
        </w:rPr>
      </w:pPr>
    </w:p>
    <w:p>
      <w:pPr>
        <w:pStyle w:val="2"/>
        <w:spacing w:line="300" w:lineRule="exact"/>
        <w:jc w:val="center"/>
        <w:rPr>
          <w:rFonts w:ascii="仿宋_GB2312" w:hAnsi="仿宋" w:eastAsia="仿宋_GB2312" w:cs="宋体"/>
          <w:bCs/>
          <w:kern w:val="0"/>
          <w:sz w:val="32"/>
          <w:szCs w:val="32"/>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2023年1-5月份全市分地区一般公共预算收入完成情况表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单位：亿元</w:t>
      </w:r>
    </w:p>
    <w:p>
      <w:pPr>
        <w:pStyle w:val="2"/>
      </w:pPr>
    </w:p>
    <w:tbl>
      <w:tblPr>
        <w:tblStyle w:val="8"/>
        <w:tblW w:w="6120" w:type="dxa"/>
        <w:jc w:val="center"/>
        <w:tblLayout w:type="fixed"/>
        <w:tblCellMar>
          <w:top w:w="0" w:type="dxa"/>
          <w:left w:w="108" w:type="dxa"/>
          <w:bottom w:w="0" w:type="dxa"/>
          <w:right w:w="108" w:type="dxa"/>
        </w:tblCellMar>
      </w:tblPr>
      <w:tblGrid>
        <w:gridCol w:w="1080"/>
        <w:gridCol w:w="848"/>
        <w:gridCol w:w="832"/>
        <w:gridCol w:w="840"/>
        <w:gridCol w:w="840"/>
        <w:gridCol w:w="840"/>
        <w:gridCol w:w="840"/>
      </w:tblGrid>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  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总量</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增幅%</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进度%</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全省合计</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1253.2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14.5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18"/>
                <w:szCs w:val="18"/>
              </w:rPr>
            </w:pP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沈阳市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360.9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5</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大连市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343.1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18.6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42.8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13</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鞍山市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74.2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46.3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抚顺市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30.7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6</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本溪市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37.2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48.0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4</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丹东市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34.6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47.2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w:t>
            </w:r>
          </w:p>
        </w:tc>
      </w:tr>
      <w:tr>
        <w:tblPrEx>
          <w:tblCellMar>
            <w:top w:w="0" w:type="dxa"/>
            <w:left w:w="108" w:type="dxa"/>
            <w:bottom w:w="0" w:type="dxa"/>
            <w:right w:w="108" w:type="dxa"/>
          </w:tblCellMar>
        </w:tblPrEx>
        <w:trPr>
          <w:trHeight w:val="323"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锦州市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51.6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46.9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8</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营口市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68.7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16.2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阜新市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45.2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12</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辽阳市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35.1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-14.2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38.2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14</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铁岭市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48.7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3</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朝阳市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39.1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10.3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46.6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9</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盘锦市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67.1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-1.7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13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b/>
                <w:color w:val="000000"/>
                <w:kern w:val="0"/>
                <w:sz w:val="18"/>
                <w:szCs w:val="18"/>
              </w:rPr>
            </w:pPr>
            <w:r>
              <w:rPr>
                <w:rFonts w:hint="eastAsia" w:ascii="宋体" w:hAnsi="宋体" w:eastAsia="宋体" w:cs="宋体"/>
                <w:b/>
                <w:color w:val="000000"/>
                <w:kern w:val="0"/>
                <w:sz w:val="18"/>
                <w:szCs w:val="18"/>
              </w:rPr>
              <w:t>52.7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 w:val="18"/>
                <w:szCs w:val="18"/>
              </w:rPr>
            </w:pPr>
            <w:r>
              <w:rPr>
                <w:rFonts w:hint="eastAsia" w:ascii="宋体" w:hAnsi="宋体" w:eastAsia="宋体" w:cs="宋体"/>
                <w:b/>
                <w:bCs/>
                <w:kern w:val="0"/>
                <w:sz w:val="18"/>
                <w:szCs w:val="18"/>
              </w:rPr>
              <w:t>1</w:t>
            </w:r>
          </w:p>
        </w:tc>
      </w:tr>
      <w:tr>
        <w:tblPrEx>
          <w:tblCellMar>
            <w:top w:w="0" w:type="dxa"/>
            <w:left w:w="108" w:type="dxa"/>
            <w:bottom w:w="0" w:type="dxa"/>
            <w:right w:w="108"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葫芦岛市</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29.0</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17.8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46.2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18"/>
                <w:szCs w:val="18"/>
              </w:rPr>
            </w:pPr>
            <w:r>
              <w:rPr>
                <w:rFonts w:hint="eastAsia" w:ascii="宋体" w:hAnsi="宋体" w:eastAsia="宋体" w:cs="宋体"/>
                <w:kern w:val="0"/>
                <w:sz w:val="18"/>
                <w:szCs w:val="18"/>
              </w:rPr>
              <w:t>11</w:t>
            </w:r>
          </w:p>
        </w:tc>
      </w:tr>
    </w:tbl>
    <w:p>
      <w:pPr>
        <w:snapToGrid w:val="0"/>
        <w:ind w:firstLine="643" w:firstLineChars="200"/>
        <w:rPr>
          <w:rFonts w:cs="宋体" w:asciiTheme="majorEastAsia" w:hAnsiTheme="majorEastAsia" w:eastAsiaTheme="majorEastAsia"/>
          <w:b/>
          <w:bCs/>
          <w:kern w:val="0"/>
          <w:sz w:val="32"/>
          <w:szCs w:val="32"/>
        </w:rPr>
      </w:pPr>
    </w:p>
    <w:p>
      <w:pPr>
        <w:snapToGrid w:val="0"/>
        <w:ind w:firstLine="643" w:firstLineChars="200"/>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（二）财政支出增速较快</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2023年以来，全市各级财政部门强化财政资金统筹使用，</w:t>
      </w:r>
      <w:r>
        <w:rPr>
          <w:rFonts w:hint="eastAsia" w:ascii="仿宋_GB2312" w:hAnsi="仿宋" w:eastAsia="仿宋_GB2312" w:cs="宋体"/>
          <w:bCs/>
          <w:kern w:val="0"/>
          <w:sz w:val="32"/>
          <w:szCs w:val="32"/>
          <w:lang w:eastAsia="zh-CN"/>
        </w:rPr>
        <w:t>严格</w:t>
      </w:r>
      <w:r>
        <w:rPr>
          <w:rFonts w:hint="eastAsia" w:ascii="仿宋_GB2312" w:hAnsi="仿宋" w:eastAsia="仿宋_GB2312" w:cs="宋体"/>
          <w:bCs/>
          <w:kern w:val="0"/>
          <w:sz w:val="32"/>
          <w:szCs w:val="32"/>
        </w:rPr>
        <w:t>落实过紧日子常态化机制，严控一般性支出，</w:t>
      </w:r>
      <w:r>
        <w:rPr>
          <w:rFonts w:hint="eastAsia" w:ascii="仿宋_GB2312" w:hAnsi="仿宋" w:eastAsia="仿宋_GB2312" w:cs="宋体"/>
          <w:bCs/>
          <w:kern w:val="0"/>
          <w:sz w:val="32"/>
          <w:szCs w:val="32"/>
          <w:lang w:eastAsia="zh-CN"/>
        </w:rPr>
        <w:t>不断</w:t>
      </w:r>
      <w:r>
        <w:rPr>
          <w:rFonts w:hint="eastAsia" w:ascii="仿宋_GB2312" w:hAnsi="仿宋" w:eastAsia="仿宋_GB2312" w:cs="宋体"/>
          <w:bCs/>
          <w:kern w:val="0"/>
          <w:sz w:val="32"/>
          <w:szCs w:val="32"/>
        </w:rPr>
        <w:t>提高资金使用效益</w:t>
      </w:r>
      <w:r>
        <w:rPr>
          <w:rFonts w:hint="eastAsia" w:ascii="仿宋_GB2312" w:hAnsi="仿宋" w:eastAsia="仿宋_GB2312" w:cs="宋体"/>
          <w:bCs/>
          <w:kern w:val="0"/>
          <w:sz w:val="32"/>
          <w:szCs w:val="32"/>
          <w:lang w:eastAsia="zh-CN"/>
        </w:rPr>
        <w:t>。</w:t>
      </w:r>
      <w:r>
        <w:rPr>
          <w:rFonts w:hint="eastAsia" w:ascii="仿宋_GB2312" w:hAnsi="仿宋" w:eastAsia="仿宋_GB2312" w:cs="宋体"/>
          <w:bCs/>
          <w:kern w:val="0"/>
          <w:sz w:val="32"/>
          <w:szCs w:val="32"/>
        </w:rPr>
        <w:t>狠抓财政支出进度，保持必要的财政支出强度，为推动我市高质量发展提供及时、有力的财力保障。1-5月份，全市一般公共预算支出85.1亿元，同比增长9.3%，增速居全省第</w:t>
      </w:r>
      <w:r>
        <w:rPr>
          <w:rFonts w:hint="eastAsia" w:ascii="仿宋_GB2312" w:hAnsi="仿宋" w:eastAsia="仿宋_GB2312" w:cs="宋体"/>
          <w:bCs/>
          <w:kern w:val="0"/>
          <w:sz w:val="32"/>
          <w:szCs w:val="32"/>
          <w:lang w:eastAsia="zh-CN"/>
        </w:rPr>
        <w:t>二</w:t>
      </w:r>
      <w:r>
        <w:rPr>
          <w:rFonts w:hint="eastAsia" w:ascii="仿宋_GB2312" w:hAnsi="仿宋" w:eastAsia="仿宋_GB2312" w:cs="宋体"/>
          <w:bCs/>
          <w:kern w:val="0"/>
          <w:sz w:val="32"/>
          <w:szCs w:val="32"/>
        </w:rPr>
        <w:t>位。农林水、住房保障、社会保障和就业、节能环保、城乡社区等重点支出同比</w:t>
      </w:r>
      <w:r>
        <w:rPr>
          <w:rFonts w:hint="eastAsia" w:ascii="仿宋_GB2312" w:hAnsi="仿宋" w:eastAsia="仿宋_GB2312" w:cs="宋体"/>
          <w:bCs/>
          <w:kern w:val="0"/>
          <w:sz w:val="32"/>
          <w:szCs w:val="32"/>
          <w:lang w:eastAsia="zh-CN"/>
        </w:rPr>
        <w:t>均有所</w:t>
      </w:r>
      <w:r>
        <w:rPr>
          <w:rFonts w:hint="eastAsia" w:ascii="仿宋_GB2312" w:hAnsi="仿宋" w:eastAsia="仿宋_GB2312" w:cs="宋体"/>
          <w:bCs/>
          <w:kern w:val="0"/>
          <w:sz w:val="32"/>
          <w:szCs w:val="32"/>
        </w:rPr>
        <w:t>增</w:t>
      </w:r>
      <w:r>
        <w:rPr>
          <w:rFonts w:hint="eastAsia" w:ascii="仿宋_GB2312" w:hAnsi="仿宋" w:eastAsia="仿宋_GB2312" w:cs="宋体"/>
          <w:bCs/>
          <w:kern w:val="0"/>
          <w:sz w:val="32"/>
          <w:szCs w:val="32"/>
          <w:lang w:eastAsia="zh-CN"/>
        </w:rPr>
        <w:t>长</w:t>
      </w:r>
      <w:r>
        <w:rPr>
          <w:rFonts w:hint="eastAsia" w:ascii="仿宋_GB2312" w:hAnsi="仿宋" w:eastAsia="仿宋_GB2312" w:cs="宋体"/>
          <w:bCs/>
          <w:kern w:val="0"/>
          <w:sz w:val="32"/>
          <w:szCs w:val="32"/>
        </w:rPr>
        <w:t>。</w:t>
      </w:r>
    </w:p>
    <w:p>
      <w:pPr>
        <w:snapToGrid w:val="0"/>
        <w:ind w:firstLine="640" w:firstLineChars="200"/>
        <w:rPr>
          <w:rFonts w:ascii="仿宋_GB2312" w:hAnsi="仿宋" w:eastAsia="仿宋_GB2312" w:cs="宋体"/>
          <w:bCs/>
          <w:kern w:val="0"/>
          <w:sz w:val="32"/>
          <w:szCs w:val="32"/>
        </w:rPr>
      </w:pPr>
    </w:p>
    <w:p>
      <w:pPr>
        <w:pStyle w:val="2"/>
        <w:spacing w:line="300" w:lineRule="exact"/>
        <w:jc w:val="center"/>
        <w:rPr>
          <w:rFonts w:ascii="仿宋" w:hAnsi="仿宋" w:eastAsia="仿宋"/>
          <w:sz w:val="28"/>
          <w:szCs w:val="28"/>
        </w:rPr>
      </w:pPr>
    </w:p>
    <w:p>
      <w:pPr>
        <w:pStyle w:val="2"/>
        <w:spacing w:line="300" w:lineRule="exact"/>
        <w:jc w:val="center"/>
        <w:rPr>
          <w:rFonts w:ascii="仿宋" w:hAnsi="仿宋" w:eastAsia="仿宋"/>
          <w:sz w:val="28"/>
          <w:szCs w:val="28"/>
        </w:rPr>
      </w:pPr>
    </w:p>
    <w:p>
      <w:pPr>
        <w:pStyle w:val="2"/>
        <w:tabs>
          <w:tab w:val="left" w:pos="1525"/>
          <w:tab w:val="center" w:pos="4213"/>
        </w:tabs>
        <w:spacing w:line="300" w:lineRule="exact"/>
        <w:jc w:val="left"/>
        <w:rPr>
          <w:rFonts w:hint="eastAsia" w:ascii="仿宋" w:hAnsi="仿宋" w:eastAsia="仿宋"/>
          <w:sz w:val="28"/>
          <w:szCs w:val="28"/>
          <w:lang w:eastAsia="zh-CN"/>
        </w:rPr>
      </w:pPr>
      <w:r>
        <w:rPr>
          <w:rFonts w:hint="eastAsia" w:ascii="仿宋" w:hAnsi="仿宋" w:eastAsia="仿宋"/>
          <w:sz w:val="28"/>
          <w:szCs w:val="28"/>
          <w:lang w:eastAsia="zh-CN"/>
        </w:rPr>
        <w:tab/>
      </w:r>
    </w:p>
    <w:p>
      <w:pPr>
        <w:pStyle w:val="2"/>
        <w:tabs>
          <w:tab w:val="left" w:pos="1525"/>
          <w:tab w:val="center" w:pos="4213"/>
        </w:tabs>
        <w:spacing w:line="300" w:lineRule="exact"/>
        <w:jc w:val="left"/>
        <w:rPr>
          <w:rFonts w:ascii="仿宋" w:hAnsi="仿宋" w:eastAsia="仿宋"/>
          <w:sz w:val="28"/>
          <w:szCs w:val="28"/>
        </w:rPr>
      </w:pPr>
      <w:r>
        <w:rPr>
          <w:rFonts w:hint="eastAsia" w:ascii="仿宋" w:hAnsi="仿宋" w:eastAsia="仿宋"/>
          <w:sz w:val="28"/>
          <w:szCs w:val="28"/>
          <w:lang w:eastAsia="zh-CN"/>
        </w:rPr>
        <w:tab/>
      </w:r>
      <w:r>
        <w:rPr>
          <w:rFonts w:hint="eastAsia" w:ascii="仿宋" w:hAnsi="仿宋" w:eastAsia="仿宋"/>
          <w:sz w:val="28"/>
          <w:szCs w:val="28"/>
        </w:rPr>
        <w:t>2023年1-5月份全省各市支出执行情况表</w:t>
      </w:r>
    </w:p>
    <w:p>
      <w:pPr>
        <w:pStyle w:val="2"/>
        <w:spacing w:line="300" w:lineRule="exact"/>
        <w:jc w:val="center"/>
        <w:rPr>
          <w:rFonts w:ascii="仿宋" w:hAnsi="仿宋" w:eastAsia="仿宋"/>
          <w:sz w:val="28"/>
          <w:szCs w:val="28"/>
        </w:rPr>
      </w:pPr>
    </w:p>
    <w:tbl>
      <w:tblPr>
        <w:tblStyle w:val="8"/>
        <w:tblW w:w="5256" w:type="dxa"/>
        <w:jc w:val="center"/>
        <w:tblLayout w:type="fixed"/>
        <w:tblCellMar>
          <w:top w:w="0" w:type="dxa"/>
          <w:left w:w="108" w:type="dxa"/>
          <w:bottom w:w="0" w:type="dxa"/>
          <w:right w:w="108" w:type="dxa"/>
        </w:tblCellMar>
      </w:tblPr>
      <w:tblGrid>
        <w:gridCol w:w="1050"/>
        <w:gridCol w:w="1326"/>
        <w:gridCol w:w="930"/>
        <w:gridCol w:w="885"/>
        <w:gridCol w:w="1065"/>
      </w:tblGrid>
      <w:tr>
        <w:tblPrEx>
          <w:tblCellMar>
            <w:top w:w="0" w:type="dxa"/>
            <w:left w:w="108" w:type="dxa"/>
            <w:bottom w:w="0" w:type="dxa"/>
            <w:right w:w="108" w:type="dxa"/>
          </w:tblCellMar>
        </w:tblPrEx>
        <w:trPr>
          <w:trHeight w:val="50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各  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完成额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（亿元）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增减%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排名</w:t>
            </w:r>
          </w:p>
        </w:tc>
      </w:tr>
      <w:tr>
        <w:tblPrEx>
          <w:tblCellMar>
            <w:top w:w="0" w:type="dxa"/>
            <w:left w:w="108" w:type="dxa"/>
            <w:bottom w:w="0" w:type="dxa"/>
            <w:right w:w="108" w:type="dxa"/>
          </w:tblCellMar>
        </w:tblPrEx>
        <w:trPr>
          <w:trHeight w:val="354"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全省合计</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2526.4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沈阳市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423.6</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r>
      <w:tr>
        <w:tblPrEx>
          <w:tblCellMar>
            <w:top w:w="0" w:type="dxa"/>
            <w:left w:w="108" w:type="dxa"/>
            <w:bottom w:w="0" w:type="dxa"/>
            <w:right w:w="108" w:type="dxa"/>
          </w:tblCellMar>
        </w:tblPrEx>
        <w:trPr>
          <w:trHeight w:val="322"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大连市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390.1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鞍山市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116.4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抚顺市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63.2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本溪市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64.9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丹东市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锦州市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108.3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4.4</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营口市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89.0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阜新市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辽阳市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109.9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59.5</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铁岭市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84.5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朝阳市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112.7</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0.7</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r>
      <w:tr>
        <w:tblPrEx>
          <w:tblCellMar>
            <w:top w:w="0" w:type="dxa"/>
            <w:left w:w="108" w:type="dxa"/>
            <w:bottom w:w="0" w:type="dxa"/>
            <w:right w:w="108" w:type="dxa"/>
          </w:tblCellMar>
        </w:tblPrEx>
        <w:trPr>
          <w:trHeight w:val="270"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盘锦市</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85.1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r>
      <w:tr>
        <w:tblPrEx>
          <w:tblCellMar>
            <w:top w:w="0" w:type="dxa"/>
            <w:left w:w="108" w:type="dxa"/>
            <w:bottom w:w="0" w:type="dxa"/>
            <w:right w:w="108" w:type="dxa"/>
          </w:tblCellMar>
        </w:tblPrEx>
        <w:trPr>
          <w:trHeight w:val="267" w:hRule="atLeast"/>
          <w:jc w:val="center"/>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葫芦岛</w:t>
            </w:r>
          </w:p>
        </w:tc>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85.0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4.0</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r>
    </w:tbl>
    <w:p>
      <w:pPr>
        <w:widowControl/>
        <w:jc w:val="center"/>
        <w:textAlignment w:val="center"/>
        <w:rPr>
          <w:rFonts w:ascii="宋体" w:hAnsi="宋体" w:eastAsia="宋体" w:cs="宋体"/>
          <w:color w:val="000000"/>
          <w:kern w:val="0"/>
          <w:sz w:val="18"/>
          <w:szCs w:val="18"/>
        </w:rPr>
      </w:pPr>
    </w:p>
    <w:p>
      <w:pPr>
        <w:snapToGrid w:val="0"/>
        <w:ind w:firstLine="640" w:firstLineChars="200"/>
        <w:rPr>
          <w:rFonts w:cs="宋体" w:asciiTheme="majorEastAsia" w:hAnsiTheme="majorEastAsia" w:eastAsiaTheme="majorEastAsia"/>
          <w:b/>
          <w:bCs/>
          <w:kern w:val="0"/>
          <w:sz w:val="32"/>
          <w:szCs w:val="32"/>
        </w:rPr>
      </w:pPr>
      <w:r>
        <w:rPr>
          <w:rFonts w:hint="eastAsia" w:ascii="黑体" w:hAnsi="黑体" w:eastAsia="黑体" w:cs="宋体"/>
          <w:bCs/>
          <w:kern w:val="0"/>
          <w:sz w:val="32"/>
          <w:szCs w:val="32"/>
        </w:rPr>
        <w:t>（</w:t>
      </w:r>
      <w:r>
        <w:rPr>
          <w:rFonts w:hint="eastAsia" w:cs="宋体" w:asciiTheme="majorEastAsia" w:hAnsiTheme="majorEastAsia" w:eastAsiaTheme="majorEastAsia"/>
          <w:b/>
          <w:bCs/>
          <w:kern w:val="0"/>
          <w:sz w:val="32"/>
          <w:szCs w:val="32"/>
        </w:rPr>
        <w:t>三）第三产业增收带动效应明显</w:t>
      </w:r>
    </w:p>
    <w:p>
      <w:pPr>
        <w:snapToGrid w:val="0"/>
        <w:ind w:firstLine="640" w:firstLineChars="200"/>
        <w:rPr>
          <w:rFonts w:hint="eastAsia" w:ascii="仿宋_GB2312" w:hAnsi="仿宋" w:eastAsia="仿宋_GB2312" w:cs="宋体"/>
          <w:bCs/>
          <w:kern w:val="0"/>
          <w:sz w:val="32"/>
          <w:szCs w:val="32"/>
          <w:lang w:eastAsia="zh-CN"/>
        </w:rPr>
      </w:pPr>
      <w:r>
        <w:rPr>
          <w:rFonts w:hint="eastAsia" w:ascii="仿宋_GB2312" w:hAnsi="仿宋" w:eastAsia="仿宋_GB2312" w:cs="宋体"/>
          <w:bCs/>
          <w:kern w:val="0"/>
          <w:sz w:val="32"/>
          <w:szCs w:val="32"/>
        </w:rPr>
        <w:t>202</w:t>
      </w:r>
      <w:r>
        <w:rPr>
          <w:rFonts w:hint="eastAsia" w:ascii="仿宋_GB2312" w:hAnsi="仿宋" w:eastAsia="仿宋_GB2312" w:cs="宋体"/>
          <w:bCs/>
          <w:kern w:val="0"/>
          <w:sz w:val="32"/>
          <w:szCs w:val="32"/>
          <w:lang w:val="en-US" w:eastAsia="zh-CN"/>
        </w:rPr>
        <w:t>2年国家新出台组合式</w:t>
      </w:r>
      <w:r>
        <w:rPr>
          <w:rFonts w:hint="eastAsia" w:ascii="仿宋" w:hAnsi="仿宋" w:eastAsia="仿宋" w:cs="宋体"/>
          <w:bCs/>
          <w:kern w:val="0"/>
          <w:sz w:val="32"/>
          <w:szCs w:val="32"/>
        </w:rPr>
        <w:t>减税降费</w:t>
      </w:r>
      <w:r>
        <w:rPr>
          <w:rFonts w:hint="eastAsia" w:ascii="仿宋" w:hAnsi="仿宋" w:eastAsia="仿宋" w:cs="宋体"/>
          <w:bCs/>
          <w:kern w:val="0"/>
          <w:sz w:val="32"/>
          <w:szCs w:val="32"/>
          <w:lang w:eastAsia="zh-CN"/>
        </w:rPr>
        <w:t>、增值税</w:t>
      </w:r>
      <w:r>
        <w:rPr>
          <w:rFonts w:hint="eastAsia" w:ascii="仿宋" w:hAnsi="仿宋" w:eastAsia="仿宋" w:cs="宋体"/>
          <w:bCs/>
          <w:kern w:val="0"/>
          <w:sz w:val="32"/>
          <w:szCs w:val="32"/>
        </w:rPr>
        <w:t>留</w:t>
      </w:r>
      <w:r>
        <w:rPr>
          <w:rFonts w:hint="eastAsia" w:ascii="仿宋" w:hAnsi="仿宋" w:eastAsia="仿宋" w:cs="宋体"/>
          <w:bCs/>
          <w:kern w:val="0"/>
          <w:sz w:val="32"/>
          <w:szCs w:val="32"/>
          <w:lang w:eastAsia="zh-CN"/>
        </w:rPr>
        <w:t>抵</w:t>
      </w:r>
      <w:r>
        <w:rPr>
          <w:rFonts w:hint="eastAsia" w:ascii="仿宋" w:hAnsi="仿宋" w:eastAsia="仿宋" w:cs="宋体"/>
          <w:bCs/>
          <w:kern w:val="0"/>
          <w:sz w:val="32"/>
          <w:szCs w:val="32"/>
        </w:rPr>
        <w:t>退税</w:t>
      </w:r>
      <w:r>
        <w:rPr>
          <w:rFonts w:hint="eastAsia" w:ascii="仿宋" w:hAnsi="仿宋" w:eastAsia="仿宋" w:cs="宋体"/>
          <w:bCs/>
          <w:kern w:val="0"/>
          <w:sz w:val="32"/>
          <w:szCs w:val="32"/>
          <w:lang w:val="en-US" w:eastAsia="zh-CN"/>
        </w:rPr>
        <w:t>等助企纾困</w:t>
      </w:r>
      <w:r>
        <w:rPr>
          <w:rFonts w:hint="eastAsia" w:ascii="仿宋" w:hAnsi="仿宋" w:eastAsia="仿宋" w:cs="宋体"/>
          <w:bCs/>
          <w:kern w:val="0"/>
          <w:sz w:val="32"/>
          <w:szCs w:val="32"/>
        </w:rPr>
        <w:t>政策</w:t>
      </w:r>
      <w:r>
        <w:rPr>
          <w:rFonts w:hint="eastAsia" w:ascii="仿宋" w:hAnsi="仿宋" w:eastAsia="仿宋" w:cs="宋体"/>
          <w:bCs/>
          <w:kern w:val="0"/>
          <w:sz w:val="32"/>
          <w:szCs w:val="32"/>
          <w:lang w:eastAsia="zh-CN"/>
        </w:rPr>
        <w:t>，截至</w:t>
      </w:r>
      <w:r>
        <w:rPr>
          <w:rFonts w:hint="eastAsia" w:ascii="仿宋" w:hAnsi="仿宋" w:eastAsia="仿宋" w:cs="宋体"/>
          <w:bCs/>
          <w:kern w:val="0"/>
          <w:sz w:val="32"/>
          <w:szCs w:val="32"/>
          <w:lang w:val="en-US" w:eastAsia="zh-CN"/>
        </w:rPr>
        <w:t>5月底全市第三产业留抵退税额9.9亿元。2023年留抵退税因素对我市财政收入影响明显减弱，本期1-5月份第三产业增值税留抵退税额4,050万元，受同期增值税基数较低影响，第三产业税收收入</w:t>
      </w:r>
      <w:r>
        <w:rPr>
          <w:rFonts w:hint="eastAsia" w:ascii="仿宋_GB2312" w:hAnsi="仿宋" w:eastAsia="仿宋_GB2312" w:cs="宋体"/>
          <w:bCs/>
          <w:kern w:val="0"/>
          <w:sz w:val="32"/>
          <w:szCs w:val="32"/>
        </w:rPr>
        <w:t>同比增长38.6%，拉动全市税收收入增长8.7个百分点</w:t>
      </w:r>
      <w:r>
        <w:rPr>
          <w:rFonts w:hint="eastAsia" w:ascii="仿宋_GB2312" w:hAnsi="仿宋" w:eastAsia="仿宋_GB2312" w:cs="宋体"/>
          <w:bCs/>
          <w:kern w:val="0"/>
          <w:sz w:val="32"/>
          <w:szCs w:val="32"/>
          <w:lang w:eastAsia="zh-CN"/>
        </w:rPr>
        <w:t>。同时房地产企业项目集中结算、批发零售业销售规模扩大、盘锦瑞东石化贸易有限公司补缴企业所得税等因素也拉动了全市第三产业税收收入增长。</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lang w:eastAsia="zh-CN"/>
        </w:rPr>
        <w:t>但</w:t>
      </w:r>
      <w:r>
        <w:rPr>
          <w:rFonts w:hint="eastAsia" w:ascii="仿宋_GB2312" w:hAnsi="仿宋" w:eastAsia="仿宋_GB2312" w:cs="宋体"/>
          <w:bCs/>
          <w:kern w:val="0"/>
          <w:sz w:val="32"/>
          <w:szCs w:val="32"/>
        </w:rPr>
        <w:t>受</w:t>
      </w:r>
      <w:r>
        <w:rPr>
          <w:rFonts w:hint="eastAsia" w:ascii="仿宋_GB2312" w:hAnsi="仿宋" w:eastAsia="仿宋_GB2312" w:cs="宋体"/>
          <w:bCs/>
          <w:kern w:val="0"/>
          <w:sz w:val="32"/>
          <w:szCs w:val="32"/>
          <w:lang w:eastAsia="zh-CN"/>
        </w:rPr>
        <w:t>重点石化</w:t>
      </w:r>
      <w:r>
        <w:rPr>
          <w:rFonts w:hint="eastAsia" w:ascii="仿宋_GB2312" w:hAnsi="仿宋" w:eastAsia="仿宋_GB2312" w:cs="宋体"/>
          <w:bCs/>
          <w:kern w:val="0"/>
          <w:sz w:val="32"/>
          <w:szCs w:val="32"/>
        </w:rPr>
        <w:t>企业销售规模下降、进项税额增加</w:t>
      </w:r>
      <w:r>
        <w:rPr>
          <w:rFonts w:hint="eastAsia" w:ascii="仿宋_GB2312" w:hAnsi="仿宋" w:eastAsia="仿宋_GB2312" w:cs="宋体"/>
          <w:bCs/>
          <w:kern w:val="0"/>
          <w:sz w:val="32"/>
          <w:szCs w:val="32"/>
          <w:lang w:eastAsia="zh-CN"/>
        </w:rPr>
        <w:t>和</w:t>
      </w:r>
      <w:r>
        <w:rPr>
          <w:rFonts w:hint="eastAsia" w:ascii="仿宋_GB2312" w:hAnsi="仿宋" w:eastAsia="仿宋_GB2312" w:cs="宋体"/>
          <w:bCs/>
          <w:kern w:val="0"/>
          <w:sz w:val="32"/>
          <w:szCs w:val="32"/>
        </w:rPr>
        <w:t>原油价格走低等因素影响，第二产业税收收入一直呈下降态势，其中石油开产业、石化行业分别拉低全市税收收入</w:t>
      </w:r>
      <w:r>
        <w:rPr>
          <w:rFonts w:hint="eastAsia" w:ascii="仿宋_GB2312" w:hAnsi="仿宋" w:eastAsia="仿宋_GB2312" w:cs="宋体"/>
          <w:bCs/>
          <w:kern w:val="0"/>
          <w:sz w:val="32"/>
          <w:szCs w:val="32"/>
          <w:lang w:eastAsia="zh-CN"/>
        </w:rPr>
        <w:t>下降</w:t>
      </w:r>
      <w:r>
        <w:rPr>
          <w:rFonts w:hint="eastAsia" w:ascii="仿宋_GB2312" w:hAnsi="仿宋" w:eastAsia="仿宋_GB2312" w:cs="宋体"/>
          <w:bCs/>
          <w:kern w:val="0"/>
          <w:sz w:val="32"/>
          <w:szCs w:val="32"/>
        </w:rPr>
        <w:t>4.4、12.2个百分点。</w:t>
      </w:r>
    </w:p>
    <w:p>
      <w:pPr>
        <w:pStyle w:val="2"/>
        <w:jc w:val="center"/>
        <w:rPr>
          <w:rFonts w:hint="eastAsia" w:ascii="仿宋" w:hAnsi="仿宋" w:eastAsia="仿宋"/>
          <w:sz w:val="28"/>
          <w:szCs w:val="28"/>
        </w:rPr>
      </w:pPr>
    </w:p>
    <w:p>
      <w:pPr>
        <w:pStyle w:val="2"/>
        <w:jc w:val="center"/>
        <w:rPr>
          <w:rFonts w:hint="eastAsia" w:ascii="仿宋" w:hAnsi="仿宋" w:eastAsia="仿宋"/>
          <w:sz w:val="28"/>
          <w:szCs w:val="28"/>
        </w:rPr>
      </w:pPr>
    </w:p>
    <w:p>
      <w:pPr>
        <w:pStyle w:val="2"/>
        <w:jc w:val="center"/>
        <w:rPr>
          <w:rFonts w:ascii="仿宋_GB2312" w:hAnsi="仿宋" w:eastAsia="仿宋_GB2312" w:cs="宋体"/>
          <w:bCs/>
          <w:kern w:val="0"/>
          <w:sz w:val="32"/>
          <w:szCs w:val="32"/>
        </w:rPr>
      </w:pPr>
      <w:r>
        <w:rPr>
          <w:rFonts w:hint="eastAsia" w:ascii="仿宋" w:hAnsi="仿宋" w:eastAsia="仿宋"/>
          <w:sz w:val="28"/>
          <w:szCs w:val="28"/>
        </w:rPr>
        <w:t>2023年一季度以来盘锦市三大产业税收走势</w:t>
      </w:r>
    </w:p>
    <w:p>
      <w:pPr>
        <w:pStyle w:val="2"/>
      </w:pPr>
      <w:r>
        <w:drawing>
          <wp:inline distT="0" distB="0" distL="0" distR="0">
            <wp:extent cx="5274310" cy="2053590"/>
            <wp:effectExtent l="19050" t="0" r="21590" b="3227"/>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
        <w:spacing w:line="300" w:lineRule="exact"/>
        <w:jc w:val="center"/>
        <w:rPr>
          <w:rFonts w:ascii="仿宋_GB2312" w:hAnsi="仿宋" w:eastAsia="仿宋_GB2312" w:cs="宋体"/>
          <w:bCs/>
          <w:kern w:val="0"/>
          <w:sz w:val="32"/>
          <w:szCs w:val="32"/>
        </w:rPr>
      </w:pPr>
    </w:p>
    <w:p>
      <w:pPr>
        <w:pStyle w:val="2"/>
        <w:spacing w:line="300" w:lineRule="exact"/>
        <w:jc w:val="center"/>
        <w:rPr>
          <w:rFonts w:ascii="仿宋" w:hAnsi="仿宋" w:eastAsia="仿宋"/>
          <w:sz w:val="28"/>
          <w:szCs w:val="28"/>
        </w:rPr>
      </w:pPr>
      <w:r>
        <w:rPr>
          <w:rFonts w:hint="eastAsia" w:ascii="仿宋" w:hAnsi="仿宋" w:eastAsia="仿宋"/>
          <w:sz w:val="28"/>
          <w:szCs w:val="28"/>
        </w:rPr>
        <w:t>2023年1-5月份全市重点税源企业税收收入完成情况表</w:t>
      </w:r>
    </w:p>
    <w:p>
      <w:pPr>
        <w:pStyle w:val="2"/>
        <w:spacing w:line="300" w:lineRule="exact"/>
        <w:jc w:val="center"/>
        <w:rPr>
          <w:rFonts w:ascii="仿宋" w:hAnsi="仿宋" w:eastAsia="仿宋"/>
          <w:sz w:val="28"/>
          <w:szCs w:val="28"/>
        </w:rPr>
      </w:pPr>
      <w:r>
        <w:rPr>
          <w:rFonts w:hint="eastAsia" w:ascii="仿宋" w:hAnsi="仿宋" w:eastAsia="仿宋"/>
          <w:sz w:val="28"/>
          <w:szCs w:val="28"/>
        </w:rPr>
        <w:t>单位：万元</w:t>
      </w:r>
    </w:p>
    <w:p>
      <w:pPr>
        <w:pStyle w:val="2"/>
        <w:spacing w:line="300" w:lineRule="exact"/>
        <w:jc w:val="center"/>
        <w:rPr>
          <w:rFonts w:ascii="仿宋" w:hAnsi="仿宋" w:eastAsia="仿宋"/>
          <w:sz w:val="28"/>
          <w:szCs w:val="28"/>
        </w:rPr>
      </w:pPr>
    </w:p>
    <w:tbl>
      <w:tblPr>
        <w:tblStyle w:val="8"/>
        <w:tblW w:w="7103" w:type="dxa"/>
        <w:jc w:val="center"/>
        <w:tblLayout w:type="autofit"/>
        <w:tblCellMar>
          <w:top w:w="0" w:type="dxa"/>
          <w:left w:w="108" w:type="dxa"/>
          <w:bottom w:w="0" w:type="dxa"/>
          <w:right w:w="108" w:type="dxa"/>
        </w:tblCellMar>
      </w:tblPr>
      <w:tblGrid>
        <w:gridCol w:w="3984"/>
        <w:gridCol w:w="993"/>
        <w:gridCol w:w="992"/>
        <w:gridCol w:w="1134"/>
      </w:tblGrid>
      <w:tr>
        <w:tblPrEx>
          <w:tblCellMar>
            <w:top w:w="0" w:type="dxa"/>
            <w:left w:w="108" w:type="dxa"/>
            <w:bottom w:w="0" w:type="dxa"/>
            <w:right w:w="108" w:type="dxa"/>
          </w:tblCellMar>
        </w:tblPrEx>
        <w:trPr>
          <w:trHeight w:val="315" w:hRule="atLeast"/>
          <w:jc w:val="center"/>
        </w:trPr>
        <w:tc>
          <w:tcPr>
            <w:tcW w:w="3984"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企业名称</w:t>
            </w:r>
          </w:p>
        </w:tc>
        <w:tc>
          <w:tcPr>
            <w:tcW w:w="993"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本期</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同期</w:t>
            </w:r>
          </w:p>
        </w:tc>
        <w:tc>
          <w:tcPr>
            <w:tcW w:w="1134"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18"/>
                <w:szCs w:val="18"/>
              </w:rPr>
            </w:pPr>
            <w:r>
              <w:rPr>
                <w:rFonts w:hint="eastAsia" w:ascii="宋体" w:hAnsi="宋体" w:eastAsia="宋体" w:cs="Arial"/>
                <w:color w:val="000000"/>
                <w:kern w:val="0"/>
                <w:sz w:val="18"/>
                <w:szCs w:val="18"/>
              </w:rPr>
              <w:t>增减额</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中国石油天然气股份有限公司辽河石化分公司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33,238</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13,242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19,995</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北方华锦化学工业集团有限公司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9,297</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2,136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7,160</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辽河石油勘探局有限公司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18,267</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16,906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1,361</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宝来利安德巴赛尔石化有限公司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3,237</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-8,772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12,009</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中国石油长城钻探工程有限公司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4,739</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783.3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3,956</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中国石油天然气股份有限公司辽河油田分公司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89,956</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108,715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-18,759</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盘锦浩业化工有限公司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5,042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8,462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-3,420</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盘锦北方沥青燃料有限公司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54,921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98,292</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-43,371</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北方华锦化学工业股份有限公司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5,382</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37,676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-32,294</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盘锦北方沥青股份有限公司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7,181</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13,873</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-6,692</w:t>
            </w:r>
          </w:p>
        </w:tc>
      </w:tr>
      <w:tr>
        <w:tblPrEx>
          <w:tblCellMar>
            <w:top w:w="0" w:type="dxa"/>
            <w:left w:w="108" w:type="dxa"/>
            <w:bottom w:w="0" w:type="dxa"/>
            <w:right w:w="108" w:type="dxa"/>
          </w:tblCellMar>
        </w:tblPrEx>
        <w:trPr>
          <w:trHeight w:val="315" w:hRule="atLeast"/>
          <w:jc w:val="center"/>
        </w:trPr>
        <w:tc>
          <w:tcPr>
            <w:tcW w:w="398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长连化工（盘锦）有限公司</w:t>
            </w:r>
          </w:p>
        </w:tc>
        <w:tc>
          <w:tcPr>
            <w:tcW w:w="993"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727.5</w:t>
            </w:r>
          </w:p>
        </w:tc>
        <w:tc>
          <w:tcPr>
            <w:tcW w:w="992"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13,260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cs="Arial" w:asciiTheme="minorEastAsia" w:hAnsiTheme="minorEastAsia"/>
                <w:color w:val="000000"/>
                <w:sz w:val="18"/>
                <w:szCs w:val="18"/>
              </w:rPr>
            </w:pPr>
            <w:r>
              <w:rPr>
                <w:rFonts w:hint="eastAsia" w:cs="Arial" w:asciiTheme="minorEastAsia" w:hAnsiTheme="minorEastAsia"/>
                <w:color w:val="000000"/>
                <w:sz w:val="18"/>
                <w:szCs w:val="18"/>
              </w:rPr>
              <w:t>-12,532</w:t>
            </w:r>
          </w:p>
        </w:tc>
      </w:tr>
    </w:tbl>
    <w:p>
      <w:pPr>
        <w:pStyle w:val="2"/>
      </w:pPr>
    </w:p>
    <w:p>
      <w:pPr>
        <w:pStyle w:val="2"/>
      </w:pPr>
    </w:p>
    <w:p>
      <w:pPr>
        <w:spacing w:line="600" w:lineRule="exact"/>
        <w:ind w:firstLine="639" w:firstLineChars="199"/>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（四）全市财政收支矛盾压力依旧较大</w:t>
      </w:r>
    </w:p>
    <w:p>
      <w:pPr>
        <w:snapToGrid w:val="0"/>
        <w:ind w:firstLine="640" w:firstLineChars="200"/>
        <w:rPr>
          <w:rFonts w:ascii="仿宋_GB2312" w:hAnsi="仿宋" w:eastAsia="仿宋_GB2312" w:cs="宋体"/>
          <w:bCs/>
          <w:kern w:val="0"/>
          <w:sz w:val="32"/>
          <w:szCs w:val="32"/>
        </w:rPr>
      </w:pPr>
      <w:r>
        <w:rPr>
          <w:rFonts w:hint="eastAsia" w:ascii="仿宋_GB2312" w:hAnsi="仿宋" w:eastAsia="仿宋_GB2312" w:cs="宋体"/>
          <w:bCs/>
          <w:kern w:val="0"/>
          <w:sz w:val="32"/>
          <w:szCs w:val="32"/>
        </w:rPr>
        <w:t>前5个月，减税降费、成品油市场整治等减收因素对财政收入的影响并未好转，财政收入持续增长基础仍不稳固。与此同时，“三保”等刚性支出有增无减，债务存量规模大、风险等级高，还本付息压力巨大，全市财政收支矛盾仍然</w:t>
      </w:r>
      <w:r>
        <w:rPr>
          <w:rFonts w:hint="eastAsia" w:ascii="仿宋_GB2312" w:hAnsi="仿宋" w:eastAsia="仿宋_GB2312" w:cs="宋体"/>
          <w:bCs/>
          <w:kern w:val="0"/>
          <w:sz w:val="32"/>
          <w:szCs w:val="32"/>
          <w:lang w:eastAsia="zh-CN"/>
        </w:rPr>
        <w:t>十分</w:t>
      </w:r>
      <w:r>
        <w:rPr>
          <w:rFonts w:hint="eastAsia" w:ascii="仿宋_GB2312" w:hAnsi="仿宋" w:eastAsia="仿宋_GB2312" w:cs="宋体"/>
          <w:bCs/>
          <w:kern w:val="0"/>
          <w:sz w:val="32"/>
          <w:szCs w:val="32"/>
        </w:rPr>
        <w:t>突出。</w:t>
      </w:r>
    </w:p>
    <w:p>
      <w:pPr>
        <w:snapToGrid w:val="0"/>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四、下一步工作安排</w:t>
      </w:r>
    </w:p>
    <w:p>
      <w:pPr>
        <w:snapToGrid w:val="0"/>
        <w:ind w:firstLine="643" w:firstLineChars="200"/>
        <w:rPr>
          <w:rFonts w:ascii="仿宋_GB2312" w:hAnsi="仿宋" w:eastAsia="仿宋_GB2312" w:cs="宋体"/>
          <w:bCs/>
          <w:kern w:val="0"/>
          <w:sz w:val="32"/>
          <w:szCs w:val="32"/>
        </w:rPr>
      </w:pPr>
      <w:r>
        <w:rPr>
          <w:rFonts w:hint="eastAsia" w:ascii="仿宋_GB2312" w:hAnsi="仿宋" w:eastAsia="仿宋_GB2312" w:cs="宋体"/>
          <w:b/>
          <w:bCs/>
          <w:kern w:val="0"/>
          <w:sz w:val="32"/>
          <w:szCs w:val="32"/>
        </w:rPr>
        <w:t>收入方面：</w:t>
      </w:r>
      <w:r>
        <w:rPr>
          <w:rFonts w:hint="eastAsia" w:ascii="仿宋_GB2312" w:hAnsi="仿宋" w:eastAsia="仿宋_GB2312" w:cs="宋体"/>
          <w:bCs/>
          <w:kern w:val="0"/>
          <w:sz w:val="32"/>
          <w:szCs w:val="32"/>
        </w:rPr>
        <w:t>认真分析研究经济形势，提高组织收入的前瞻性和准确性。督促各县区、经开区切实履行组织收入主体责任，针对财政收入大幅减收问题，研究制定切实有效的具体措施。打开收入结构，加强财税部门协同联动，确保重点税源税收及时入库，狠抓零散税源征管，确保应收尽收。加强非税收入征缴，努力弥补税收短收。</w:t>
      </w:r>
    </w:p>
    <w:p>
      <w:pPr>
        <w:snapToGrid w:val="0"/>
        <w:ind w:firstLine="643" w:firstLineChars="200"/>
      </w:pPr>
      <w:r>
        <w:rPr>
          <w:rFonts w:hint="eastAsia" w:ascii="仿宋_GB2312" w:hAnsi="仿宋" w:eastAsia="仿宋_GB2312" w:cs="宋体"/>
          <w:b/>
          <w:bCs/>
          <w:kern w:val="0"/>
          <w:sz w:val="32"/>
          <w:szCs w:val="32"/>
        </w:rPr>
        <w:t>支出方面：</w:t>
      </w:r>
      <w:r>
        <w:rPr>
          <w:rFonts w:hint="eastAsia" w:ascii="仿宋_GB2312" w:hAnsi="仿宋" w:eastAsia="仿宋_GB2312" w:cs="宋体"/>
          <w:bCs/>
          <w:kern w:val="0"/>
          <w:sz w:val="32"/>
          <w:szCs w:val="32"/>
        </w:rPr>
        <w:t>大力提倡简朴作风，把勤俭办一切事业的要求切实贯彻和体现到经费支出的全过程和各方面，</w:t>
      </w:r>
      <w:r>
        <w:rPr>
          <w:rFonts w:hint="eastAsia" w:ascii="仿宋_GB2312" w:hAnsi="仿宋" w:eastAsia="仿宋_GB2312" w:cs="宋体"/>
          <w:bCs/>
          <w:kern w:val="0"/>
          <w:sz w:val="32"/>
          <w:szCs w:val="32"/>
          <w:lang w:eastAsia="zh-CN"/>
        </w:rPr>
        <w:t>严控</w:t>
      </w:r>
      <w:r>
        <w:rPr>
          <w:rFonts w:hint="eastAsia" w:ascii="仿宋_GB2312" w:hAnsi="仿宋" w:eastAsia="仿宋_GB2312" w:cs="宋体"/>
          <w:bCs/>
          <w:kern w:val="0"/>
          <w:sz w:val="32"/>
          <w:szCs w:val="32"/>
        </w:rPr>
        <w:t>一般性支出，强化“三公”经费预算管理。优化支出结构，加强对基本民生、重点领域的财力保障，</w:t>
      </w:r>
      <w:r>
        <w:rPr>
          <w:rFonts w:hint="eastAsia" w:ascii="仿宋_GB2312" w:hAnsi="仿宋" w:eastAsia="仿宋_GB2312" w:cs="宋体"/>
          <w:bCs/>
          <w:kern w:val="0"/>
          <w:sz w:val="32"/>
          <w:szCs w:val="32"/>
          <w:lang w:eastAsia="zh-CN"/>
        </w:rPr>
        <w:t>确保</w:t>
      </w:r>
      <w:r>
        <w:rPr>
          <w:rFonts w:hint="eastAsia" w:ascii="仿宋_GB2312" w:hAnsi="仿宋" w:eastAsia="仿宋_GB2312" w:cs="宋体"/>
          <w:bCs/>
          <w:kern w:val="0"/>
          <w:sz w:val="32"/>
          <w:szCs w:val="32"/>
        </w:rPr>
        <w:t>“基本民生支出只增不减，重点领域支出切实保障”，不断加大投入力度，提高资金使用绩效。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06103"/>
    </w:sdtPr>
    <w:sdtContent>
      <w:p>
        <w:pPr>
          <w:pStyle w:val="4"/>
          <w:jc w:val="center"/>
        </w:pPr>
        <w:r>
          <w:fldChar w:fldCharType="begin"/>
        </w:r>
        <w:r>
          <w:instrText xml:space="preserve"> PAGE   \* MERGEFORMAT </w:instrText>
        </w:r>
        <w:r>
          <w:fldChar w:fldCharType="separate"/>
        </w:r>
        <w:r>
          <w:rPr>
            <w:lang w:val="zh-CN"/>
          </w:rPr>
          <w:t>18</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UxZGUzOWViMmFhYTY3NDBmNzI5ODNlZDY0N2EzM2UifQ=="/>
  </w:docVars>
  <w:rsids>
    <w:rsidRoot w:val="00795867"/>
    <w:rsid w:val="00000272"/>
    <w:rsid w:val="00000E66"/>
    <w:rsid w:val="000025E7"/>
    <w:rsid w:val="00004759"/>
    <w:rsid w:val="00005567"/>
    <w:rsid w:val="000109FC"/>
    <w:rsid w:val="000136E0"/>
    <w:rsid w:val="00013FA7"/>
    <w:rsid w:val="000155D4"/>
    <w:rsid w:val="0001578E"/>
    <w:rsid w:val="000172B3"/>
    <w:rsid w:val="000177B6"/>
    <w:rsid w:val="000201D0"/>
    <w:rsid w:val="00020212"/>
    <w:rsid w:val="000203E2"/>
    <w:rsid w:val="00024D5E"/>
    <w:rsid w:val="00026EAB"/>
    <w:rsid w:val="000305EC"/>
    <w:rsid w:val="000327C3"/>
    <w:rsid w:val="00033226"/>
    <w:rsid w:val="0003365F"/>
    <w:rsid w:val="00033C4A"/>
    <w:rsid w:val="00035A1C"/>
    <w:rsid w:val="000421DA"/>
    <w:rsid w:val="000449F7"/>
    <w:rsid w:val="00044D42"/>
    <w:rsid w:val="00044DE0"/>
    <w:rsid w:val="00046D18"/>
    <w:rsid w:val="00053804"/>
    <w:rsid w:val="00057F3D"/>
    <w:rsid w:val="00057FCD"/>
    <w:rsid w:val="0006059F"/>
    <w:rsid w:val="00060E7A"/>
    <w:rsid w:val="000622AC"/>
    <w:rsid w:val="00063E39"/>
    <w:rsid w:val="0006555E"/>
    <w:rsid w:val="00072E21"/>
    <w:rsid w:val="000736ED"/>
    <w:rsid w:val="000752F3"/>
    <w:rsid w:val="00080385"/>
    <w:rsid w:val="00082685"/>
    <w:rsid w:val="00086EFF"/>
    <w:rsid w:val="00095492"/>
    <w:rsid w:val="000A4C7A"/>
    <w:rsid w:val="000A4F12"/>
    <w:rsid w:val="000A5177"/>
    <w:rsid w:val="000A5386"/>
    <w:rsid w:val="000A7BD2"/>
    <w:rsid w:val="000A7F74"/>
    <w:rsid w:val="000B0BF8"/>
    <w:rsid w:val="000B1E0D"/>
    <w:rsid w:val="000B1F16"/>
    <w:rsid w:val="000B21AA"/>
    <w:rsid w:val="000B3D08"/>
    <w:rsid w:val="000C2D2B"/>
    <w:rsid w:val="000C5AE6"/>
    <w:rsid w:val="000C61D2"/>
    <w:rsid w:val="000C624C"/>
    <w:rsid w:val="000D00D9"/>
    <w:rsid w:val="000D10B7"/>
    <w:rsid w:val="000D5D4F"/>
    <w:rsid w:val="000D6131"/>
    <w:rsid w:val="000D6140"/>
    <w:rsid w:val="000D676C"/>
    <w:rsid w:val="000F4C16"/>
    <w:rsid w:val="00100DC5"/>
    <w:rsid w:val="00102AB9"/>
    <w:rsid w:val="001034E0"/>
    <w:rsid w:val="00103D16"/>
    <w:rsid w:val="00105F3F"/>
    <w:rsid w:val="00106809"/>
    <w:rsid w:val="00106CDD"/>
    <w:rsid w:val="00114D60"/>
    <w:rsid w:val="0011575A"/>
    <w:rsid w:val="001170D4"/>
    <w:rsid w:val="00120BC8"/>
    <w:rsid w:val="00140399"/>
    <w:rsid w:val="00142F79"/>
    <w:rsid w:val="00143DB8"/>
    <w:rsid w:val="0014423E"/>
    <w:rsid w:val="00146399"/>
    <w:rsid w:val="00147123"/>
    <w:rsid w:val="001476FF"/>
    <w:rsid w:val="00154764"/>
    <w:rsid w:val="0015555F"/>
    <w:rsid w:val="00156374"/>
    <w:rsid w:val="00166D0E"/>
    <w:rsid w:val="00176C0C"/>
    <w:rsid w:val="001827AB"/>
    <w:rsid w:val="00186439"/>
    <w:rsid w:val="001871C1"/>
    <w:rsid w:val="00195ABA"/>
    <w:rsid w:val="001A1F2E"/>
    <w:rsid w:val="001A3807"/>
    <w:rsid w:val="001A4558"/>
    <w:rsid w:val="001A4B94"/>
    <w:rsid w:val="001B185C"/>
    <w:rsid w:val="001B27F8"/>
    <w:rsid w:val="001B3E95"/>
    <w:rsid w:val="001B5BC5"/>
    <w:rsid w:val="001B6F63"/>
    <w:rsid w:val="001C279F"/>
    <w:rsid w:val="001C2EAE"/>
    <w:rsid w:val="001C6F08"/>
    <w:rsid w:val="001D126C"/>
    <w:rsid w:val="001D3D45"/>
    <w:rsid w:val="001D4575"/>
    <w:rsid w:val="001D6B94"/>
    <w:rsid w:val="001E1FDF"/>
    <w:rsid w:val="001F2D63"/>
    <w:rsid w:val="0020059C"/>
    <w:rsid w:val="002027FB"/>
    <w:rsid w:val="002044D2"/>
    <w:rsid w:val="00205399"/>
    <w:rsid w:val="00207324"/>
    <w:rsid w:val="00211008"/>
    <w:rsid w:val="0021377A"/>
    <w:rsid w:val="00215285"/>
    <w:rsid w:val="00216981"/>
    <w:rsid w:val="002217E8"/>
    <w:rsid w:val="00222394"/>
    <w:rsid w:val="00223B81"/>
    <w:rsid w:val="00226630"/>
    <w:rsid w:val="0023303B"/>
    <w:rsid w:val="00233F68"/>
    <w:rsid w:val="002341AB"/>
    <w:rsid w:val="00240843"/>
    <w:rsid w:val="00243C50"/>
    <w:rsid w:val="00243EB2"/>
    <w:rsid w:val="00244A98"/>
    <w:rsid w:val="00263FCE"/>
    <w:rsid w:val="002662C7"/>
    <w:rsid w:val="002666D5"/>
    <w:rsid w:val="0027107B"/>
    <w:rsid w:val="00271DE8"/>
    <w:rsid w:val="00272251"/>
    <w:rsid w:val="00272C4E"/>
    <w:rsid w:val="002746E8"/>
    <w:rsid w:val="00274A07"/>
    <w:rsid w:val="00275E5D"/>
    <w:rsid w:val="00277986"/>
    <w:rsid w:val="002824C1"/>
    <w:rsid w:val="00282683"/>
    <w:rsid w:val="002853EE"/>
    <w:rsid w:val="00297F86"/>
    <w:rsid w:val="002A233A"/>
    <w:rsid w:val="002A2403"/>
    <w:rsid w:val="002A4F11"/>
    <w:rsid w:val="002A5364"/>
    <w:rsid w:val="002A5836"/>
    <w:rsid w:val="002B059A"/>
    <w:rsid w:val="002B2231"/>
    <w:rsid w:val="002B4778"/>
    <w:rsid w:val="002B4E4F"/>
    <w:rsid w:val="002B6987"/>
    <w:rsid w:val="002B7DC6"/>
    <w:rsid w:val="002C0E24"/>
    <w:rsid w:val="002C18B2"/>
    <w:rsid w:val="002C2525"/>
    <w:rsid w:val="002D1F24"/>
    <w:rsid w:val="002D61F2"/>
    <w:rsid w:val="002D7E8D"/>
    <w:rsid w:val="002E7135"/>
    <w:rsid w:val="002F16D2"/>
    <w:rsid w:val="002F1790"/>
    <w:rsid w:val="002F284E"/>
    <w:rsid w:val="003078B8"/>
    <w:rsid w:val="003107E9"/>
    <w:rsid w:val="00311590"/>
    <w:rsid w:val="003118F5"/>
    <w:rsid w:val="00314E5E"/>
    <w:rsid w:val="003157BB"/>
    <w:rsid w:val="0032135F"/>
    <w:rsid w:val="0032286A"/>
    <w:rsid w:val="00326C49"/>
    <w:rsid w:val="00340F1E"/>
    <w:rsid w:val="00341914"/>
    <w:rsid w:val="0034357C"/>
    <w:rsid w:val="00350478"/>
    <w:rsid w:val="00352058"/>
    <w:rsid w:val="00352FB4"/>
    <w:rsid w:val="003556C8"/>
    <w:rsid w:val="0035729A"/>
    <w:rsid w:val="003636AC"/>
    <w:rsid w:val="003661BB"/>
    <w:rsid w:val="003669C3"/>
    <w:rsid w:val="00367E47"/>
    <w:rsid w:val="003708F4"/>
    <w:rsid w:val="00373088"/>
    <w:rsid w:val="00376DF3"/>
    <w:rsid w:val="00381953"/>
    <w:rsid w:val="003829EE"/>
    <w:rsid w:val="00382BF8"/>
    <w:rsid w:val="00384E62"/>
    <w:rsid w:val="00391970"/>
    <w:rsid w:val="00391FC6"/>
    <w:rsid w:val="003924AA"/>
    <w:rsid w:val="00394F9F"/>
    <w:rsid w:val="00395BC7"/>
    <w:rsid w:val="00396139"/>
    <w:rsid w:val="003B35CC"/>
    <w:rsid w:val="003B42EB"/>
    <w:rsid w:val="003B7CC9"/>
    <w:rsid w:val="003C0F42"/>
    <w:rsid w:val="003C1B04"/>
    <w:rsid w:val="003C4C09"/>
    <w:rsid w:val="003C5E28"/>
    <w:rsid w:val="003D03BC"/>
    <w:rsid w:val="003D0CA2"/>
    <w:rsid w:val="003D1DC8"/>
    <w:rsid w:val="003D7212"/>
    <w:rsid w:val="003E03E7"/>
    <w:rsid w:val="003E07B8"/>
    <w:rsid w:val="003E22EF"/>
    <w:rsid w:val="003E45B5"/>
    <w:rsid w:val="003E4887"/>
    <w:rsid w:val="003F3CF4"/>
    <w:rsid w:val="003F63DF"/>
    <w:rsid w:val="003F6D94"/>
    <w:rsid w:val="003F76B0"/>
    <w:rsid w:val="003F7993"/>
    <w:rsid w:val="00411364"/>
    <w:rsid w:val="004157C9"/>
    <w:rsid w:val="0041582D"/>
    <w:rsid w:val="0041617A"/>
    <w:rsid w:val="0041648A"/>
    <w:rsid w:val="00417522"/>
    <w:rsid w:val="004203BA"/>
    <w:rsid w:val="004334E2"/>
    <w:rsid w:val="00434C0A"/>
    <w:rsid w:val="0043608B"/>
    <w:rsid w:val="004414F4"/>
    <w:rsid w:val="004423ED"/>
    <w:rsid w:val="004453BD"/>
    <w:rsid w:val="00454E96"/>
    <w:rsid w:val="00457C98"/>
    <w:rsid w:val="00460141"/>
    <w:rsid w:val="00462F83"/>
    <w:rsid w:val="00463817"/>
    <w:rsid w:val="00472357"/>
    <w:rsid w:val="0047569F"/>
    <w:rsid w:val="00476FBE"/>
    <w:rsid w:val="004774F2"/>
    <w:rsid w:val="00482E50"/>
    <w:rsid w:val="00483B0A"/>
    <w:rsid w:val="00484410"/>
    <w:rsid w:val="00485A3F"/>
    <w:rsid w:val="00485AE0"/>
    <w:rsid w:val="00492E9C"/>
    <w:rsid w:val="004A1116"/>
    <w:rsid w:val="004A2932"/>
    <w:rsid w:val="004A44C6"/>
    <w:rsid w:val="004A522C"/>
    <w:rsid w:val="004A5F60"/>
    <w:rsid w:val="004A6E9E"/>
    <w:rsid w:val="004B330B"/>
    <w:rsid w:val="004B3965"/>
    <w:rsid w:val="004B7A1C"/>
    <w:rsid w:val="004C4C78"/>
    <w:rsid w:val="004C60DC"/>
    <w:rsid w:val="004C66F3"/>
    <w:rsid w:val="004C74E8"/>
    <w:rsid w:val="004D3644"/>
    <w:rsid w:val="004D43C6"/>
    <w:rsid w:val="004E3ABF"/>
    <w:rsid w:val="004F05AE"/>
    <w:rsid w:val="004F2248"/>
    <w:rsid w:val="004F2FF6"/>
    <w:rsid w:val="004F4257"/>
    <w:rsid w:val="004F4479"/>
    <w:rsid w:val="004F619C"/>
    <w:rsid w:val="004F74D1"/>
    <w:rsid w:val="005045A3"/>
    <w:rsid w:val="0050591B"/>
    <w:rsid w:val="005068B2"/>
    <w:rsid w:val="00513A61"/>
    <w:rsid w:val="005146AB"/>
    <w:rsid w:val="005170C9"/>
    <w:rsid w:val="005215D1"/>
    <w:rsid w:val="00524DCD"/>
    <w:rsid w:val="00525D93"/>
    <w:rsid w:val="00527241"/>
    <w:rsid w:val="0053052D"/>
    <w:rsid w:val="00534B03"/>
    <w:rsid w:val="00540136"/>
    <w:rsid w:val="005411D8"/>
    <w:rsid w:val="00546569"/>
    <w:rsid w:val="00552D92"/>
    <w:rsid w:val="0055312C"/>
    <w:rsid w:val="005556C8"/>
    <w:rsid w:val="00560BA5"/>
    <w:rsid w:val="00562B0D"/>
    <w:rsid w:val="0056583F"/>
    <w:rsid w:val="005658DD"/>
    <w:rsid w:val="0057058D"/>
    <w:rsid w:val="00572606"/>
    <w:rsid w:val="00575B91"/>
    <w:rsid w:val="005831A6"/>
    <w:rsid w:val="00586A18"/>
    <w:rsid w:val="00587B2D"/>
    <w:rsid w:val="00587D4F"/>
    <w:rsid w:val="00591A90"/>
    <w:rsid w:val="0059254A"/>
    <w:rsid w:val="00596D66"/>
    <w:rsid w:val="00597CF5"/>
    <w:rsid w:val="005A31F0"/>
    <w:rsid w:val="005A448A"/>
    <w:rsid w:val="005A52C0"/>
    <w:rsid w:val="005B00C3"/>
    <w:rsid w:val="005B19FA"/>
    <w:rsid w:val="005B4F60"/>
    <w:rsid w:val="005B50B8"/>
    <w:rsid w:val="005C0D27"/>
    <w:rsid w:val="005C2E8B"/>
    <w:rsid w:val="005C3B78"/>
    <w:rsid w:val="005C72B0"/>
    <w:rsid w:val="005D06D2"/>
    <w:rsid w:val="005D65AC"/>
    <w:rsid w:val="005D7B3A"/>
    <w:rsid w:val="005E362C"/>
    <w:rsid w:val="005E69C4"/>
    <w:rsid w:val="005F4DD3"/>
    <w:rsid w:val="00600E4C"/>
    <w:rsid w:val="00601A06"/>
    <w:rsid w:val="006028DB"/>
    <w:rsid w:val="0060782B"/>
    <w:rsid w:val="0061019A"/>
    <w:rsid w:val="006113FA"/>
    <w:rsid w:val="006134B8"/>
    <w:rsid w:val="00620AB5"/>
    <w:rsid w:val="00622DDF"/>
    <w:rsid w:val="00630BAA"/>
    <w:rsid w:val="00630DDD"/>
    <w:rsid w:val="00632110"/>
    <w:rsid w:val="006334E0"/>
    <w:rsid w:val="0063479F"/>
    <w:rsid w:val="00635BAC"/>
    <w:rsid w:val="00640C24"/>
    <w:rsid w:val="006435DF"/>
    <w:rsid w:val="00643914"/>
    <w:rsid w:val="00643A66"/>
    <w:rsid w:val="00652640"/>
    <w:rsid w:val="00652DDD"/>
    <w:rsid w:val="00656954"/>
    <w:rsid w:val="00660088"/>
    <w:rsid w:val="0066065D"/>
    <w:rsid w:val="006617CF"/>
    <w:rsid w:val="006650FC"/>
    <w:rsid w:val="00665392"/>
    <w:rsid w:val="0066554B"/>
    <w:rsid w:val="00666F28"/>
    <w:rsid w:val="00670E72"/>
    <w:rsid w:val="00672D28"/>
    <w:rsid w:val="00685FF5"/>
    <w:rsid w:val="0068754C"/>
    <w:rsid w:val="00690486"/>
    <w:rsid w:val="00695A7E"/>
    <w:rsid w:val="00695F62"/>
    <w:rsid w:val="006979AB"/>
    <w:rsid w:val="006A0B47"/>
    <w:rsid w:val="006A13D8"/>
    <w:rsid w:val="006A1A3A"/>
    <w:rsid w:val="006A3C9D"/>
    <w:rsid w:val="006A6B31"/>
    <w:rsid w:val="006B029A"/>
    <w:rsid w:val="006B79B2"/>
    <w:rsid w:val="006C0812"/>
    <w:rsid w:val="006C265C"/>
    <w:rsid w:val="006D3310"/>
    <w:rsid w:val="006D3DA3"/>
    <w:rsid w:val="006D5DDA"/>
    <w:rsid w:val="006E1277"/>
    <w:rsid w:val="006E17E8"/>
    <w:rsid w:val="006E2AB4"/>
    <w:rsid w:val="006E4A49"/>
    <w:rsid w:val="006E718B"/>
    <w:rsid w:val="006F072D"/>
    <w:rsid w:val="007009FD"/>
    <w:rsid w:val="007029D3"/>
    <w:rsid w:val="007033F7"/>
    <w:rsid w:val="00704BFA"/>
    <w:rsid w:val="00705751"/>
    <w:rsid w:val="00711655"/>
    <w:rsid w:val="00712378"/>
    <w:rsid w:val="00712EF9"/>
    <w:rsid w:val="0071365E"/>
    <w:rsid w:val="00721F0B"/>
    <w:rsid w:val="00725106"/>
    <w:rsid w:val="00725BC5"/>
    <w:rsid w:val="00731563"/>
    <w:rsid w:val="0073387B"/>
    <w:rsid w:val="00735A8D"/>
    <w:rsid w:val="00742C8F"/>
    <w:rsid w:val="00746A6D"/>
    <w:rsid w:val="00754FF5"/>
    <w:rsid w:val="007560F9"/>
    <w:rsid w:val="007567AC"/>
    <w:rsid w:val="00756E3E"/>
    <w:rsid w:val="007626DB"/>
    <w:rsid w:val="0076614E"/>
    <w:rsid w:val="0076748B"/>
    <w:rsid w:val="00776BEF"/>
    <w:rsid w:val="0078026C"/>
    <w:rsid w:val="0078748F"/>
    <w:rsid w:val="00787FAC"/>
    <w:rsid w:val="007919F0"/>
    <w:rsid w:val="00792ED6"/>
    <w:rsid w:val="00795867"/>
    <w:rsid w:val="007A251B"/>
    <w:rsid w:val="007A3085"/>
    <w:rsid w:val="007B00FE"/>
    <w:rsid w:val="007B4EEC"/>
    <w:rsid w:val="007B7CE1"/>
    <w:rsid w:val="007C2192"/>
    <w:rsid w:val="007C2CF9"/>
    <w:rsid w:val="007C6C8A"/>
    <w:rsid w:val="007D2B5A"/>
    <w:rsid w:val="007D3819"/>
    <w:rsid w:val="007E0C85"/>
    <w:rsid w:val="007E3459"/>
    <w:rsid w:val="007E5DD3"/>
    <w:rsid w:val="007E60BD"/>
    <w:rsid w:val="007F0A7E"/>
    <w:rsid w:val="007F3533"/>
    <w:rsid w:val="007F59A5"/>
    <w:rsid w:val="007F61C8"/>
    <w:rsid w:val="008010CD"/>
    <w:rsid w:val="00804FE8"/>
    <w:rsid w:val="008073F7"/>
    <w:rsid w:val="00810137"/>
    <w:rsid w:val="00814C26"/>
    <w:rsid w:val="008209C7"/>
    <w:rsid w:val="00820E4E"/>
    <w:rsid w:val="00821242"/>
    <w:rsid w:val="0082162F"/>
    <w:rsid w:val="00827862"/>
    <w:rsid w:val="008340AB"/>
    <w:rsid w:val="00834BCE"/>
    <w:rsid w:val="00852136"/>
    <w:rsid w:val="0085351B"/>
    <w:rsid w:val="00857152"/>
    <w:rsid w:val="00861C22"/>
    <w:rsid w:val="00861F0E"/>
    <w:rsid w:val="0086628C"/>
    <w:rsid w:val="00870F03"/>
    <w:rsid w:val="00873575"/>
    <w:rsid w:val="00875419"/>
    <w:rsid w:val="0087553F"/>
    <w:rsid w:val="0087682A"/>
    <w:rsid w:val="00880B81"/>
    <w:rsid w:val="00882064"/>
    <w:rsid w:val="00885F7C"/>
    <w:rsid w:val="00891C09"/>
    <w:rsid w:val="00893F65"/>
    <w:rsid w:val="00895A84"/>
    <w:rsid w:val="00897D70"/>
    <w:rsid w:val="008A0838"/>
    <w:rsid w:val="008A44A9"/>
    <w:rsid w:val="008A6BFD"/>
    <w:rsid w:val="008A6EA1"/>
    <w:rsid w:val="008A7F1A"/>
    <w:rsid w:val="008B3CE1"/>
    <w:rsid w:val="008B4691"/>
    <w:rsid w:val="008B7F3E"/>
    <w:rsid w:val="008C1D6A"/>
    <w:rsid w:val="008C5C18"/>
    <w:rsid w:val="008C7251"/>
    <w:rsid w:val="008C7AC9"/>
    <w:rsid w:val="008D32B8"/>
    <w:rsid w:val="008D4504"/>
    <w:rsid w:val="008D6397"/>
    <w:rsid w:val="008D6C54"/>
    <w:rsid w:val="008D6F48"/>
    <w:rsid w:val="008F3022"/>
    <w:rsid w:val="008F3D63"/>
    <w:rsid w:val="008F4ED8"/>
    <w:rsid w:val="008F6926"/>
    <w:rsid w:val="00905857"/>
    <w:rsid w:val="009079CB"/>
    <w:rsid w:val="009134C7"/>
    <w:rsid w:val="00914A72"/>
    <w:rsid w:val="00924803"/>
    <w:rsid w:val="00924D77"/>
    <w:rsid w:val="00931E75"/>
    <w:rsid w:val="0093653E"/>
    <w:rsid w:val="00936DB1"/>
    <w:rsid w:val="00941710"/>
    <w:rsid w:val="009417BD"/>
    <w:rsid w:val="00941C46"/>
    <w:rsid w:val="009420E3"/>
    <w:rsid w:val="00943A4E"/>
    <w:rsid w:val="00950B0C"/>
    <w:rsid w:val="00952E23"/>
    <w:rsid w:val="00956E7B"/>
    <w:rsid w:val="00961B51"/>
    <w:rsid w:val="009727B3"/>
    <w:rsid w:val="00982D64"/>
    <w:rsid w:val="00984998"/>
    <w:rsid w:val="00994615"/>
    <w:rsid w:val="009946F7"/>
    <w:rsid w:val="00994D14"/>
    <w:rsid w:val="00996520"/>
    <w:rsid w:val="009A0509"/>
    <w:rsid w:val="009A3CDD"/>
    <w:rsid w:val="009A6080"/>
    <w:rsid w:val="009A6315"/>
    <w:rsid w:val="009B3F9B"/>
    <w:rsid w:val="009B41CA"/>
    <w:rsid w:val="009B7F23"/>
    <w:rsid w:val="009C22C2"/>
    <w:rsid w:val="009C61AD"/>
    <w:rsid w:val="009D1B5E"/>
    <w:rsid w:val="009D23D4"/>
    <w:rsid w:val="009D26B6"/>
    <w:rsid w:val="009D6815"/>
    <w:rsid w:val="009D6A55"/>
    <w:rsid w:val="009E0CA0"/>
    <w:rsid w:val="009E3957"/>
    <w:rsid w:val="009E4359"/>
    <w:rsid w:val="009F284B"/>
    <w:rsid w:val="009F3DAB"/>
    <w:rsid w:val="009F3DC3"/>
    <w:rsid w:val="00A01278"/>
    <w:rsid w:val="00A02770"/>
    <w:rsid w:val="00A05CCB"/>
    <w:rsid w:val="00A05F49"/>
    <w:rsid w:val="00A11A8D"/>
    <w:rsid w:val="00A14EF3"/>
    <w:rsid w:val="00A155E5"/>
    <w:rsid w:val="00A16166"/>
    <w:rsid w:val="00A165C6"/>
    <w:rsid w:val="00A171D2"/>
    <w:rsid w:val="00A1727B"/>
    <w:rsid w:val="00A204F4"/>
    <w:rsid w:val="00A227B5"/>
    <w:rsid w:val="00A2414D"/>
    <w:rsid w:val="00A33322"/>
    <w:rsid w:val="00A345D7"/>
    <w:rsid w:val="00A3532F"/>
    <w:rsid w:val="00A356BB"/>
    <w:rsid w:val="00A36061"/>
    <w:rsid w:val="00A41774"/>
    <w:rsid w:val="00A423A5"/>
    <w:rsid w:val="00A51BE6"/>
    <w:rsid w:val="00A5560A"/>
    <w:rsid w:val="00A57EE8"/>
    <w:rsid w:val="00A627E5"/>
    <w:rsid w:val="00A6423B"/>
    <w:rsid w:val="00A64CFE"/>
    <w:rsid w:val="00A650B5"/>
    <w:rsid w:val="00A65EB4"/>
    <w:rsid w:val="00A6615F"/>
    <w:rsid w:val="00A705AC"/>
    <w:rsid w:val="00A72B7B"/>
    <w:rsid w:val="00A74D98"/>
    <w:rsid w:val="00A778E4"/>
    <w:rsid w:val="00A8281A"/>
    <w:rsid w:val="00A83C7B"/>
    <w:rsid w:val="00A84C92"/>
    <w:rsid w:val="00A85AC5"/>
    <w:rsid w:val="00A86641"/>
    <w:rsid w:val="00A9584B"/>
    <w:rsid w:val="00AA50D7"/>
    <w:rsid w:val="00AA5580"/>
    <w:rsid w:val="00AA6A89"/>
    <w:rsid w:val="00AA7351"/>
    <w:rsid w:val="00AA73B3"/>
    <w:rsid w:val="00AB24B1"/>
    <w:rsid w:val="00AB6974"/>
    <w:rsid w:val="00AC1D25"/>
    <w:rsid w:val="00AC7526"/>
    <w:rsid w:val="00AD1271"/>
    <w:rsid w:val="00AD2C4F"/>
    <w:rsid w:val="00AD31B2"/>
    <w:rsid w:val="00AE2B72"/>
    <w:rsid w:val="00AE6EA2"/>
    <w:rsid w:val="00AF0BEA"/>
    <w:rsid w:val="00AF4AB0"/>
    <w:rsid w:val="00B00CF1"/>
    <w:rsid w:val="00B01220"/>
    <w:rsid w:val="00B03833"/>
    <w:rsid w:val="00B04E08"/>
    <w:rsid w:val="00B068E7"/>
    <w:rsid w:val="00B1153E"/>
    <w:rsid w:val="00B121B8"/>
    <w:rsid w:val="00B1359B"/>
    <w:rsid w:val="00B212CE"/>
    <w:rsid w:val="00B21BFB"/>
    <w:rsid w:val="00B22EC1"/>
    <w:rsid w:val="00B23049"/>
    <w:rsid w:val="00B24ABD"/>
    <w:rsid w:val="00B25426"/>
    <w:rsid w:val="00B254B3"/>
    <w:rsid w:val="00B25AE9"/>
    <w:rsid w:val="00B26E6E"/>
    <w:rsid w:val="00B27680"/>
    <w:rsid w:val="00B30D00"/>
    <w:rsid w:val="00B31185"/>
    <w:rsid w:val="00B31A9D"/>
    <w:rsid w:val="00B40D56"/>
    <w:rsid w:val="00B40DD4"/>
    <w:rsid w:val="00B5519E"/>
    <w:rsid w:val="00B55CA3"/>
    <w:rsid w:val="00B662BC"/>
    <w:rsid w:val="00B67123"/>
    <w:rsid w:val="00B7368B"/>
    <w:rsid w:val="00B74F90"/>
    <w:rsid w:val="00B75931"/>
    <w:rsid w:val="00B809E5"/>
    <w:rsid w:val="00B839CE"/>
    <w:rsid w:val="00B84C60"/>
    <w:rsid w:val="00B92CC1"/>
    <w:rsid w:val="00B9484E"/>
    <w:rsid w:val="00B964DE"/>
    <w:rsid w:val="00B97F87"/>
    <w:rsid w:val="00BA2C73"/>
    <w:rsid w:val="00BA41BE"/>
    <w:rsid w:val="00BA429B"/>
    <w:rsid w:val="00BA6BAA"/>
    <w:rsid w:val="00BA78FA"/>
    <w:rsid w:val="00BB0692"/>
    <w:rsid w:val="00BB208D"/>
    <w:rsid w:val="00BB452E"/>
    <w:rsid w:val="00BB46C4"/>
    <w:rsid w:val="00BB4E10"/>
    <w:rsid w:val="00BB510F"/>
    <w:rsid w:val="00BB5418"/>
    <w:rsid w:val="00BB54C3"/>
    <w:rsid w:val="00BB663A"/>
    <w:rsid w:val="00BB7853"/>
    <w:rsid w:val="00BC08E6"/>
    <w:rsid w:val="00BC4620"/>
    <w:rsid w:val="00BD1742"/>
    <w:rsid w:val="00BE7051"/>
    <w:rsid w:val="00BF1240"/>
    <w:rsid w:val="00C03989"/>
    <w:rsid w:val="00C03DFC"/>
    <w:rsid w:val="00C05E4D"/>
    <w:rsid w:val="00C1159F"/>
    <w:rsid w:val="00C15D02"/>
    <w:rsid w:val="00C17E91"/>
    <w:rsid w:val="00C21644"/>
    <w:rsid w:val="00C21A1F"/>
    <w:rsid w:val="00C24F2F"/>
    <w:rsid w:val="00C25526"/>
    <w:rsid w:val="00C25615"/>
    <w:rsid w:val="00C256D4"/>
    <w:rsid w:val="00C27C61"/>
    <w:rsid w:val="00C335BF"/>
    <w:rsid w:val="00C33C29"/>
    <w:rsid w:val="00C34FC0"/>
    <w:rsid w:val="00C35634"/>
    <w:rsid w:val="00C40A5C"/>
    <w:rsid w:val="00C44F3F"/>
    <w:rsid w:val="00C50844"/>
    <w:rsid w:val="00C50EAF"/>
    <w:rsid w:val="00C5139E"/>
    <w:rsid w:val="00C518F2"/>
    <w:rsid w:val="00C520CC"/>
    <w:rsid w:val="00C56C2A"/>
    <w:rsid w:val="00C57046"/>
    <w:rsid w:val="00C650AE"/>
    <w:rsid w:val="00C65C01"/>
    <w:rsid w:val="00C65F59"/>
    <w:rsid w:val="00C66566"/>
    <w:rsid w:val="00C665AF"/>
    <w:rsid w:val="00C73F89"/>
    <w:rsid w:val="00C73FE4"/>
    <w:rsid w:val="00C80D2E"/>
    <w:rsid w:val="00C824D0"/>
    <w:rsid w:val="00C82D86"/>
    <w:rsid w:val="00C86394"/>
    <w:rsid w:val="00C869AA"/>
    <w:rsid w:val="00C873C7"/>
    <w:rsid w:val="00C87D16"/>
    <w:rsid w:val="00C87D65"/>
    <w:rsid w:val="00C9521C"/>
    <w:rsid w:val="00C952E0"/>
    <w:rsid w:val="00CA3015"/>
    <w:rsid w:val="00CA4D5B"/>
    <w:rsid w:val="00CA610F"/>
    <w:rsid w:val="00CA7690"/>
    <w:rsid w:val="00CA7C27"/>
    <w:rsid w:val="00CB2E9C"/>
    <w:rsid w:val="00CB31C3"/>
    <w:rsid w:val="00CB3A59"/>
    <w:rsid w:val="00CB5AAC"/>
    <w:rsid w:val="00CB741F"/>
    <w:rsid w:val="00CC1489"/>
    <w:rsid w:val="00CC1896"/>
    <w:rsid w:val="00CD2A4B"/>
    <w:rsid w:val="00CD3D97"/>
    <w:rsid w:val="00CD3FE0"/>
    <w:rsid w:val="00CD6989"/>
    <w:rsid w:val="00CE46BC"/>
    <w:rsid w:val="00CF06A6"/>
    <w:rsid w:val="00CF2A43"/>
    <w:rsid w:val="00CF3324"/>
    <w:rsid w:val="00CF4705"/>
    <w:rsid w:val="00D1390A"/>
    <w:rsid w:val="00D2066A"/>
    <w:rsid w:val="00D219B3"/>
    <w:rsid w:val="00D222F1"/>
    <w:rsid w:val="00D30C2E"/>
    <w:rsid w:val="00D361D6"/>
    <w:rsid w:val="00D4145A"/>
    <w:rsid w:val="00D41B50"/>
    <w:rsid w:val="00D429BD"/>
    <w:rsid w:val="00D472CE"/>
    <w:rsid w:val="00D51D6B"/>
    <w:rsid w:val="00D56575"/>
    <w:rsid w:val="00D57622"/>
    <w:rsid w:val="00D5784A"/>
    <w:rsid w:val="00D621E9"/>
    <w:rsid w:val="00D628A7"/>
    <w:rsid w:val="00D630C3"/>
    <w:rsid w:val="00D654DB"/>
    <w:rsid w:val="00D67596"/>
    <w:rsid w:val="00D743CB"/>
    <w:rsid w:val="00D74F26"/>
    <w:rsid w:val="00D7516E"/>
    <w:rsid w:val="00D75A9D"/>
    <w:rsid w:val="00D80F9B"/>
    <w:rsid w:val="00D82D1A"/>
    <w:rsid w:val="00D8454E"/>
    <w:rsid w:val="00D869C9"/>
    <w:rsid w:val="00D91476"/>
    <w:rsid w:val="00D92268"/>
    <w:rsid w:val="00D934C5"/>
    <w:rsid w:val="00D936FE"/>
    <w:rsid w:val="00DA1678"/>
    <w:rsid w:val="00DA43DF"/>
    <w:rsid w:val="00DA7B0B"/>
    <w:rsid w:val="00DB2B46"/>
    <w:rsid w:val="00DB4609"/>
    <w:rsid w:val="00DB4C36"/>
    <w:rsid w:val="00DB7DAA"/>
    <w:rsid w:val="00DC01FE"/>
    <w:rsid w:val="00DC7922"/>
    <w:rsid w:val="00DD35E3"/>
    <w:rsid w:val="00DE335B"/>
    <w:rsid w:val="00DE4D9C"/>
    <w:rsid w:val="00DF00CA"/>
    <w:rsid w:val="00DF25B7"/>
    <w:rsid w:val="00DF3B71"/>
    <w:rsid w:val="00DF6806"/>
    <w:rsid w:val="00DF699D"/>
    <w:rsid w:val="00E06630"/>
    <w:rsid w:val="00E07EE3"/>
    <w:rsid w:val="00E105B3"/>
    <w:rsid w:val="00E14E28"/>
    <w:rsid w:val="00E236A1"/>
    <w:rsid w:val="00E320B3"/>
    <w:rsid w:val="00E40DAF"/>
    <w:rsid w:val="00E41F86"/>
    <w:rsid w:val="00E428E0"/>
    <w:rsid w:val="00E442E7"/>
    <w:rsid w:val="00E4579D"/>
    <w:rsid w:val="00E4698B"/>
    <w:rsid w:val="00E47D4A"/>
    <w:rsid w:val="00E513AB"/>
    <w:rsid w:val="00E52B36"/>
    <w:rsid w:val="00E53A01"/>
    <w:rsid w:val="00E54628"/>
    <w:rsid w:val="00E578AF"/>
    <w:rsid w:val="00E607AD"/>
    <w:rsid w:val="00E710DD"/>
    <w:rsid w:val="00E71247"/>
    <w:rsid w:val="00E7204B"/>
    <w:rsid w:val="00E723B5"/>
    <w:rsid w:val="00E738DA"/>
    <w:rsid w:val="00E75346"/>
    <w:rsid w:val="00E75CF8"/>
    <w:rsid w:val="00E76557"/>
    <w:rsid w:val="00E80CD5"/>
    <w:rsid w:val="00E8467D"/>
    <w:rsid w:val="00E84832"/>
    <w:rsid w:val="00E84845"/>
    <w:rsid w:val="00E84F95"/>
    <w:rsid w:val="00E91E3F"/>
    <w:rsid w:val="00E9446C"/>
    <w:rsid w:val="00E9784F"/>
    <w:rsid w:val="00EA26D5"/>
    <w:rsid w:val="00EA3E52"/>
    <w:rsid w:val="00EA7F38"/>
    <w:rsid w:val="00EB2E74"/>
    <w:rsid w:val="00EB3385"/>
    <w:rsid w:val="00EB479C"/>
    <w:rsid w:val="00EC1416"/>
    <w:rsid w:val="00EC2509"/>
    <w:rsid w:val="00EC4459"/>
    <w:rsid w:val="00ED27D8"/>
    <w:rsid w:val="00ED63AF"/>
    <w:rsid w:val="00ED7231"/>
    <w:rsid w:val="00EE5413"/>
    <w:rsid w:val="00EE58BB"/>
    <w:rsid w:val="00EF0A45"/>
    <w:rsid w:val="00EF0C5F"/>
    <w:rsid w:val="00EF3993"/>
    <w:rsid w:val="00F00990"/>
    <w:rsid w:val="00F013F9"/>
    <w:rsid w:val="00F01969"/>
    <w:rsid w:val="00F019F8"/>
    <w:rsid w:val="00F02A2C"/>
    <w:rsid w:val="00F07398"/>
    <w:rsid w:val="00F10936"/>
    <w:rsid w:val="00F14968"/>
    <w:rsid w:val="00F2006B"/>
    <w:rsid w:val="00F231CB"/>
    <w:rsid w:val="00F25FAC"/>
    <w:rsid w:val="00F271ED"/>
    <w:rsid w:val="00F300B8"/>
    <w:rsid w:val="00F31936"/>
    <w:rsid w:val="00F34C72"/>
    <w:rsid w:val="00F36CCF"/>
    <w:rsid w:val="00F414E0"/>
    <w:rsid w:val="00F41F85"/>
    <w:rsid w:val="00F44DDE"/>
    <w:rsid w:val="00F51DBA"/>
    <w:rsid w:val="00F56D16"/>
    <w:rsid w:val="00F611A7"/>
    <w:rsid w:val="00F62EF5"/>
    <w:rsid w:val="00F63B34"/>
    <w:rsid w:val="00F650F0"/>
    <w:rsid w:val="00F6586F"/>
    <w:rsid w:val="00F71508"/>
    <w:rsid w:val="00F74F18"/>
    <w:rsid w:val="00F76916"/>
    <w:rsid w:val="00F76C0A"/>
    <w:rsid w:val="00F807A0"/>
    <w:rsid w:val="00F825E7"/>
    <w:rsid w:val="00F87123"/>
    <w:rsid w:val="00F94691"/>
    <w:rsid w:val="00F96325"/>
    <w:rsid w:val="00FA0F18"/>
    <w:rsid w:val="00FA1D1A"/>
    <w:rsid w:val="00FA3CBF"/>
    <w:rsid w:val="00FA7508"/>
    <w:rsid w:val="00FB462E"/>
    <w:rsid w:val="00FB5261"/>
    <w:rsid w:val="00FC3390"/>
    <w:rsid w:val="00FC5BC7"/>
    <w:rsid w:val="00FC676F"/>
    <w:rsid w:val="00FC6AB5"/>
    <w:rsid w:val="00FE14B1"/>
    <w:rsid w:val="00FE19DF"/>
    <w:rsid w:val="00FE1EBB"/>
    <w:rsid w:val="00FE25CF"/>
    <w:rsid w:val="00FE3757"/>
    <w:rsid w:val="00FE60B8"/>
    <w:rsid w:val="00FE6E2D"/>
    <w:rsid w:val="00FE79BB"/>
    <w:rsid w:val="00FF0ABB"/>
    <w:rsid w:val="00FF0F68"/>
    <w:rsid w:val="00FF69E1"/>
    <w:rsid w:val="018674FB"/>
    <w:rsid w:val="028C5FD1"/>
    <w:rsid w:val="038920C0"/>
    <w:rsid w:val="040B1EEC"/>
    <w:rsid w:val="05F37BA0"/>
    <w:rsid w:val="067D16DB"/>
    <w:rsid w:val="06A921F5"/>
    <w:rsid w:val="07444E8B"/>
    <w:rsid w:val="07CD0914"/>
    <w:rsid w:val="0883496F"/>
    <w:rsid w:val="0940627C"/>
    <w:rsid w:val="09944D7E"/>
    <w:rsid w:val="09AC169F"/>
    <w:rsid w:val="09B05D5A"/>
    <w:rsid w:val="09BB7A83"/>
    <w:rsid w:val="09EF17FD"/>
    <w:rsid w:val="0A4D76C9"/>
    <w:rsid w:val="0AAB4C95"/>
    <w:rsid w:val="0B3F4C17"/>
    <w:rsid w:val="0CCB6789"/>
    <w:rsid w:val="0D827A70"/>
    <w:rsid w:val="0D9419CA"/>
    <w:rsid w:val="0EA02226"/>
    <w:rsid w:val="0EA178F7"/>
    <w:rsid w:val="0FBA2C1F"/>
    <w:rsid w:val="108C6184"/>
    <w:rsid w:val="138A56C5"/>
    <w:rsid w:val="13A06598"/>
    <w:rsid w:val="13C457DA"/>
    <w:rsid w:val="14F41716"/>
    <w:rsid w:val="15AE169A"/>
    <w:rsid w:val="162E4C09"/>
    <w:rsid w:val="16912C05"/>
    <w:rsid w:val="16992D7B"/>
    <w:rsid w:val="16A74CF6"/>
    <w:rsid w:val="16C009F6"/>
    <w:rsid w:val="16D115CB"/>
    <w:rsid w:val="1833101C"/>
    <w:rsid w:val="1892248F"/>
    <w:rsid w:val="19F65BA0"/>
    <w:rsid w:val="19FF7D14"/>
    <w:rsid w:val="1A0B01B8"/>
    <w:rsid w:val="1A6B305F"/>
    <w:rsid w:val="1AB7582C"/>
    <w:rsid w:val="1AEE3431"/>
    <w:rsid w:val="1BF75485"/>
    <w:rsid w:val="1C4D1A29"/>
    <w:rsid w:val="1CF65701"/>
    <w:rsid w:val="1D2A61F2"/>
    <w:rsid w:val="1DED09BE"/>
    <w:rsid w:val="1E420852"/>
    <w:rsid w:val="1E4D568D"/>
    <w:rsid w:val="1EC11344"/>
    <w:rsid w:val="1FB70BA1"/>
    <w:rsid w:val="20542DD9"/>
    <w:rsid w:val="207721EC"/>
    <w:rsid w:val="213F02E5"/>
    <w:rsid w:val="22BE4B14"/>
    <w:rsid w:val="231C180B"/>
    <w:rsid w:val="237B394F"/>
    <w:rsid w:val="24013396"/>
    <w:rsid w:val="24145DC9"/>
    <w:rsid w:val="245446C2"/>
    <w:rsid w:val="25C46313"/>
    <w:rsid w:val="260E7DAD"/>
    <w:rsid w:val="263B3A00"/>
    <w:rsid w:val="2696532A"/>
    <w:rsid w:val="26E30E3D"/>
    <w:rsid w:val="27F41183"/>
    <w:rsid w:val="284B5B9C"/>
    <w:rsid w:val="28862DFE"/>
    <w:rsid w:val="296373BD"/>
    <w:rsid w:val="296800E4"/>
    <w:rsid w:val="29E31DB9"/>
    <w:rsid w:val="2A230C0F"/>
    <w:rsid w:val="2A3C521A"/>
    <w:rsid w:val="2A5C3D79"/>
    <w:rsid w:val="2ADE7425"/>
    <w:rsid w:val="2B1028A5"/>
    <w:rsid w:val="2BD674F0"/>
    <w:rsid w:val="2C801DEC"/>
    <w:rsid w:val="2DAD1113"/>
    <w:rsid w:val="2EAF7063"/>
    <w:rsid w:val="2EF567B3"/>
    <w:rsid w:val="2F750169"/>
    <w:rsid w:val="30615FCC"/>
    <w:rsid w:val="3061727C"/>
    <w:rsid w:val="30FD481D"/>
    <w:rsid w:val="31054D0F"/>
    <w:rsid w:val="316A539D"/>
    <w:rsid w:val="336D6C7A"/>
    <w:rsid w:val="33881D35"/>
    <w:rsid w:val="3417580E"/>
    <w:rsid w:val="34687FB9"/>
    <w:rsid w:val="353D58AC"/>
    <w:rsid w:val="35521EA1"/>
    <w:rsid w:val="358936B5"/>
    <w:rsid w:val="35C27D43"/>
    <w:rsid w:val="385A7215"/>
    <w:rsid w:val="386A2FE0"/>
    <w:rsid w:val="387007A8"/>
    <w:rsid w:val="389D6CEE"/>
    <w:rsid w:val="389F1C37"/>
    <w:rsid w:val="392873C1"/>
    <w:rsid w:val="39680C91"/>
    <w:rsid w:val="399023AD"/>
    <w:rsid w:val="3C550D66"/>
    <w:rsid w:val="3C583114"/>
    <w:rsid w:val="3CC26AD9"/>
    <w:rsid w:val="3CC277AC"/>
    <w:rsid w:val="3CD06101"/>
    <w:rsid w:val="3CFF75B3"/>
    <w:rsid w:val="3E991A51"/>
    <w:rsid w:val="3EE12CA3"/>
    <w:rsid w:val="3EE502EB"/>
    <w:rsid w:val="427D6422"/>
    <w:rsid w:val="43F53C21"/>
    <w:rsid w:val="456A5930"/>
    <w:rsid w:val="45EA2B19"/>
    <w:rsid w:val="46552487"/>
    <w:rsid w:val="46BB51D9"/>
    <w:rsid w:val="46FD5285"/>
    <w:rsid w:val="472B3236"/>
    <w:rsid w:val="47326F1F"/>
    <w:rsid w:val="477041E8"/>
    <w:rsid w:val="477A771E"/>
    <w:rsid w:val="47A32688"/>
    <w:rsid w:val="484B4431"/>
    <w:rsid w:val="49B06998"/>
    <w:rsid w:val="49CE5B85"/>
    <w:rsid w:val="4A391899"/>
    <w:rsid w:val="4A4C3DC8"/>
    <w:rsid w:val="4AD22605"/>
    <w:rsid w:val="4ADE7D87"/>
    <w:rsid w:val="4B0258BF"/>
    <w:rsid w:val="4C8F630A"/>
    <w:rsid w:val="4C985D43"/>
    <w:rsid w:val="4CF30C9C"/>
    <w:rsid w:val="4D90177C"/>
    <w:rsid w:val="4DC93B2E"/>
    <w:rsid w:val="4DF261C1"/>
    <w:rsid w:val="4E283419"/>
    <w:rsid w:val="4F4F2E4A"/>
    <w:rsid w:val="4F6C6EE1"/>
    <w:rsid w:val="4F8E2A12"/>
    <w:rsid w:val="50407514"/>
    <w:rsid w:val="50815314"/>
    <w:rsid w:val="50BF0F02"/>
    <w:rsid w:val="519746F2"/>
    <w:rsid w:val="51F03EDC"/>
    <w:rsid w:val="51FA20CD"/>
    <w:rsid w:val="526A5F90"/>
    <w:rsid w:val="54EA5039"/>
    <w:rsid w:val="55A26922"/>
    <w:rsid w:val="561869C6"/>
    <w:rsid w:val="571266DB"/>
    <w:rsid w:val="576120A5"/>
    <w:rsid w:val="585C547F"/>
    <w:rsid w:val="58B277B4"/>
    <w:rsid w:val="591B0F27"/>
    <w:rsid w:val="59267C07"/>
    <w:rsid w:val="594262E2"/>
    <w:rsid w:val="595A5744"/>
    <w:rsid w:val="59600DE5"/>
    <w:rsid w:val="59CF142D"/>
    <w:rsid w:val="59F12012"/>
    <w:rsid w:val="5AB90244"/>
    <w:rsid w:val="5B4A18C1"/>
    <w:rsid w:val="5B9936E0"/>
    <w:rsid w:val="5C23262D"/>
    <w:rsid w:val="5C2F3374"/>
    <w:rsid w:val="5C7C5AE3"/>
    <w:rsid w:val="5CEF1CB7"/>
    <w:rsid w:val="5D5C00BA"/>
    <w:rsid w:val="5DAE1F98"/>
    <w:rsid w:val="5DF50713"/>
    <w:rsid w:val="5EC55952"/>
    <w:rsid w:val="5F221AA2"/>
    <w:rsid w:val="5F237BD5"/>
    <w:rsid w:val="5F4245EF"/>
    <w:rsid w:val="5FE07003"/>
    <w:rsid w:val="600F5B3D"/>
    <w:rsid w:val="60C50F78"/>
    <w:rsid w:val="61293EBD"/>
    <w:rsid w:val="61926DDD"/>
    <w:rsid w:val="61976AD8"/>
    <w:rsid w:val="625B7097"/>
    <w:rsid w:val="626132A5"/>
    <w:rsid w:val="6285617C"/>
    <w:rsid w:val="62F61DED"/>
    <w:rsid w:val="62FA2B20"/>
    <w:rsid w:val="63C916EE"/>
    <w:rsid w:val="63DF2082"/>
    <w:rsid w:val="640E6139"/>
    <w:rsid w:val="65596420"/>
    <w:rsid w:val="65971726"/>
    <w:rsid w:val="659F3438"/>
    <w:rsid w:val="65F411A4"/>
    <w:rsid w:val="666C29E3"/>
    <w:rsid w:val="67463125"/>
    <w:rsid w:val="67EC0A2D"/>
    <w:rsid w:val="68BD044F"/>
    <w:rsid w:val="68CA7FE1"/>
    <w:rsid w:val="69273DA9"/>
    <w:rsid w:val="69977DE8"/>
    <w:rsid w:val="6B8C2844"/>
    <w:rsid w:val="6BDA0978"/>
    <w:rsid w:val="6E104321"/>
    <w:rsid w:val="6F0A19B2"/>
    <w:rsid w:val="705F3A99"/>
    <w:rsid w:val="70A72700"/>
    <w:rsid w:val="71816674"/>
    <w:rsid w:val="71D9298D"/>
    <w:rsid w:val="720A7032"/>
    <w:rsid w:val="72852CF3"/>
    <w:rsid w:val="72D95D17"/>
    <w:rsid w:val="72FA0063"/>
    <w:rsid w:val="73285CCC"/>
    <w:rsid w:val="73E947AC"/>
    <w:rsid w:val="741816CD"/>
    <w:rsid w:val="741C282E"/>
    <w:rsid w:val="74416142"/>
    <w:rsid w:val="744B05C9"/>
    <w:rsid w:val="748F5F03"/>
    <w:rsid w:val="753716DB"/>
    <w:rsid w:val="75A30107"/>
    <w:rsid w:val="75BC5963"/>
    <w:rsid w:val="75FD7F37"/>
    <w:rsid w:val="763A3D57"/>
    <w:rsid w:val="763B3BFD"/>
    <w:rsid w:val="766278DB"/>
    <w:rsid w:val="76705668"/>
    <w:rsid w:val="76FC0FC2"/>
    <w:rsid w:val="77007082"/>
    <w:rsid w:val="770742C3"/>
    <w:rsid w:val="772C20D0"/>
    <w:rsid w:val="78102D98"/>
    <w:rsid w:val="78193DB2"/>
    <w:rsid w:val="7821553D"/>
    <w:rsid w:val="78614BC5"/>
    <w:rsid w:val="78AE3C82"/>
    <w:rsid w:val="78BE706D"/>
    <w:rsid w:val="78CF6AE6"/>
    <w:rsid w:val="78E60DAE"/>
    <w:rsid w:val="794A7F16"/>
    <w:rsid w:val="794F228D"/>
    <w:rsid w:val="7A1A4F71"/>
    <w:rsid w:val="7A9F2AC6"/>
    <w:rsid w:val="7B15780F"/>
    <w:rsid w:val="7B8D4006"/>
    <w:rsid w:val="7BE4159D"/>
    <w:rsid w:val="7C944FA0"/>
    <w:rsid w:val="7CD56D84"/>
    <w:rsid w:val="7DB25F82"/>
    <w:rsid w:val="7E817A8D"/>
    <w:rsid w:val="7F433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style>
  <w:style w:type="paragraph" w:styleId="3">
    <w:name w:val="Balloon Text"/>
    <w:basedOn w:val="1"/>
    <w:link w:val="12"/>
    <w:qFormat/>
    <w:uiPriority w:val="0"/>
    <w:rPr>
      <w:sz w:val="18"/>
      <w:szCs w:val="18"/>
    </w:rPr>
  </w:style>
  <w:style w:type="paragraph" w:styleId="4">
    <w:name w:val="footer"/>
    <w:basedOn w:val="1"/>
    <w:link w:val="15"/>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link w:val="14"/>
    <w:qFormat/>
    <w:uiPriority w:val="10"/>
    <w:pPr>
      <w:spacing w:before="240" w:after="60"/>
      <w:jc w:val="center"/>
      <w:outlineLvl w:val="0"/>
    </w:pPr>
    <w:rPr>
      <w:rFonts w:ascii="Arial" w:hAnsi="Arial" w:eastAsia="宋体" w:cs="Arial"/>
      <w:b/>
      <w:bCs/>
      <w:sz w:val="32"/>
      <w:szCs w:val="32"/>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10"/>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标题 Char"/>
    <w:basedOn w:val="10"/>
    <w:link w:val="7"/>
    <w:qFormat/>
    <w:uiPriority w:val="10"/>
    <w:rPr>
      <w:rFonts w:ascii="Arial" w:hAnsi="Arial" w:cs="Arial"/>
      <w:b/>
      <w:bCs/>
      <w:kern w:val="2"/>
      <w:sz w:val="32"/>
      <w:szCs w:val="32"/>
    </w:rPr>
  </w:style>
  <w:style w:type="character" w:customStyle="1" w:styleId="15">
    <w:name w:val="页脚 Char"/>
    <w:basedOn w:val="10"/>
    <w:link w:val="4"/>
    <w:qFormat/>
    <w:uiPriority w:val="99"/>
    <w:rPr>
      <w:rFonts w:ascii="Calibri" w:hAnsi="Calibri" w:eastAsiaTheme="minorEastAsia" w:cstheme="minorBidi"/>
      <w:kern w:val="2"/>
      <w:sz w:val="18"/>
      <w:szCs w:val="18"/>
    </w:rPr>
  </w:style>
  <w:style w:type="character" w:customStyle="1" w:styleId="16">
    <w:name w:val="font11"/>
    <w:basedOn w:val="10"/>
    <w:qFormat/>
    <w:uiPriority w:val="0"/>
    <w:rPr>
      <w:rFonts w:hint="eastAsia" w:ascii="宋体" w:hAnsi="宋体" w:eastAsia="宋体" w:cs="宋体"/>
      <w:color w:val="000000"/>
      <w:sz w:val="20"/>
      <w:szCs w:val="20"/>
      <w:u w:val="none"/>
    </w:rPr>
  </w:style>
  <w:style w:type="character" w:customStyle="1" w:styleId="17">
    <w:name w:val="font31"/>
    <w:basedOn w:val="10"/>
    <w:qFormat/>
    <w:uiPriority w:val="0"/>
    <w:rPr>
      <w:rFonts w:hint="default" w:ascii="Arial" w:hAnsi="Arial" w:cs="Arial"/>
      <w:color w:val="000000"/>
      <w:sz w:val="20"/>
      <w:szCs w:val="20"/>
      <w:u w:val="none"/>
    </w:rPr>
  </w:style>
  <w:style w:type="paragraph" w:customStyle="1" w:styleId="18">
    <w:name w:val="Char Char Char2 Char Char Char Char"/>
    <w:basedOn w:val="1"/>
    <w:qFormat/>
    <w:uiPriority w:val="0"/>
    <w:pPr>
      <w:widowControl/>
      <w:spacing w:after="160" w:line="240" w:lineRule="exact"/>
      <w:jc w:val="left"/>
    </w:pPr>
    <w:rPr>
      <w:rFonts w:ascii="宋体" w:hAnsi="宋体"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5.xml"/><Relationship Id="rId18" Type="http://schemas.openxmlformats.org/officeDocument/2006/relationships/chart" Target="charts/chart14.xml"/><Relationship Id="rId17" Type="http://schemas.openxmlformats.org/officeDocument/2006/relationships/chart" Target="charts/chart13.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023&#24180;5&#26376;&#20221;\&#39044;&#31639;&#26376;&#25253;&#3492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enovo\Desktop\202305(2023061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novo\Desktop\202305(20230615).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novo\Desktop\202305(2023061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I:\2023&#24180;5&#26376;&#20221;\&#39044;&#31639;&#26376;&#25253;&#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930555555555561"/>
          <c:y val="0.025462962962963"/>
          <c:w val="0.906944444444446"/>
          <c:h val="0.861111111111111"/>
        </c:manualLayout>
      </c:layout>
      <c:pie3DChart>
        <c:varyColors val="1"/>
        <c:ser>
          <c:idx val="0"/>
          <c:order val="0"/>
          <c:explosion val="25"/>
          <c:dPt>
            <c:idx val="0"/>
            <c:bubble3D val="0"/>
          </c:dPt>
          <c:dPt>
            <c:idx val="1"/>
            <c:bubble3D val="0"/>
          </c:dPt>
          <c:dLbls>
            <c:dLbl>
              <c:idx val="0"/>
              <c:layout>
                <c:manualLayout>
                  <c:x val="-0.329625"/>
                  <c:y val="-0.218023840769904"/>
                </c:manualLayout>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税收收入</a:t>
                    </a:r>
                    <a:endParaRPr lang="en-US" altLang="zh-CN" sz="1200" b="1"/>
                  </a:p>
                  <a:p>
                    <a:pPr>
                      <a:defRPr lang="zh-CN" sz="1200" b="1" i="0" u="none" strike="noStrike" kern="1200" baseline="0">
                        <a:solidFill>
                          <a:schemeClr val="tx1"/>
                        </a:solidFill>
                        <a:latin typeface="+mn-lt"/>
                        <a:ea typeface="+mn-ea"/>
                        <a:cs typeface="+mn-cs"/>
                      </a:defRPr>
                    </a:pPr>
                    <a:r>
                      <a:rPr lang="en-US" altLang="en-US" sz="1200" b="1"/>
                      <a:t>74.1</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非税收入</a:t>
                    </a:r>
                    <a:endParaRPr lang="en-US" altLang="zh-CN" sz="1200" b="1"/>
                  </a:p>
                  <a:p>
                    <a:pPr>
                      <a:defRPr lang="zh-CN" sz="1200" b="1" i="0" u="none" strike="noStrike" kern="1200" baseline="0">
                        <a:solidFill>
                          <a:schemeClr val="tx1"/>
                        </a:solidFill>
                        <a:latin typeface="+mn-lt"/>
                        <a:ea typeface="+mn-ea"/>
                        <a:cs typeface="+mn-cs"/>
                      </a:defRPr>
                    </a:pPr>
                    <a:r>
                      <a:rPr lang="en-US" altLang="en-US" sz="1200" b="1"/>
                      <a:t>25.9</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 (2)'!$N$5:$N$6</c:f>
              <c:strCache>
                <c:ptCount val="2"/>
                <c:pt idx="0">
                  <c:v>税收收入</c:v>
                </c:pt>
                <c:pt idx="1">
                  <c:v>非税收入</c:v>
                </c:pt>
              </c:strCache>
            </c:strRef>
          </c:cat>
          <c:val>
            <c:numRef>
              <c:f>'一般公共 (2)'!$O$5:$O$6</c:f>
              <c:numCache>
                <c:formatCode>General</c:formatCode>
                <c:ptCount val="2"/>
                <c:pt idx="0">
                  <c:v>497641</c:v>
                </c:pt>
                <c:pt idx="1">
                  <c:v>173716</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86240017870107"/>
          <c:y val="9.46310282643248e-5"/>
          <c:w val="0.838931977252845"/>
          <c:h val="0.99537037037037"/>
        </c:manualLayout>
      </c:layout>
      <c:ofPieChart>
        <c:ofPieType val="pie"/>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975177304964539"/>
                  <c:y val="0.00835431285375045"/>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200" b="1"/>
                      <a:t>市本级</a:t>
                    </a:r>
                    <a:endParaRPr lang="en-US" altLang="zh-CN" sz="1200" b="1"/>
                  </a:p>
                  <a:p>
                    <a:pPr>
                      <a:defRPr lang="zh-CN" sz="1100" b="0" i="0" u="none" strike="noStrike" kern="1200" baseline="0">
                        <a:solidFill>
                          <a:schemeClr val="tx1"/>
                        </a:solidFill>
                        <a:latin typeface="+mn-lt"/>
                        <a:ea typeface="+mn-ea"/>
                        <a:cs typeface="+mn-cs"/>
                      </a:defRPr>
                    </a:pPr>
                    <a:r>
                      <a:rPr lang="en-US" altLang="en-US" sz="1200" b="1"/>
                      <a:t>24.1</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68092552260755"/>
                  <c:y val="-0.002782509329191"/>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100" b="0"/>
                      <a:t>盘山县</a:t>
                    </a:r>
                    <a:r>
                      <a:rPr lang="en-US" altLang="en-US" sz="1100" b="0"/>
                      <a:t>147393</a:t>
                    </a:r>
                    <a:endParaRPr lang="en-US" altLang="en-US" sz="1100" b="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2958805681205"/>
                  <c:y val="0.0615901583730604"/>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100"/>
                      <a:t>双台子区</a:t>
                    </a:r>
                    <a:r>
                      <a:rPr lang="en-US" altLang="en-US" sz="1100"/>
                      <a:t>74693</a:t>
                    </a:r>
                    <a:endParaRPr lang="en-US" altLang="en-US" sz="11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100"/>
                      <a:t>兴隆台区</a:t>
                    </a:r>
                    <a:r>
                      <a:rPr lang="en-US" altLang="en-US" sz="1100"/>
                      <a:t>82318</a:t>
                    </a:r>
                    <a:endParaRPr lang="en-US" altLang="en-US" sz="1100"/>
                  </a:p>
                </c:rich>
              </c:tx>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100"/>
                      <a:t>大洼区</a:t>
                    </a:r>
                    <a:r>
                      <a:rPr lang="en-US" altLang="en-US" sz="1100"/>
                      <a:t>142815</a:t>
                    </a:r>
                    <a:endParaRPr lang="en-US" altLang="en-US" sz="1100"/>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100"/>
                      <a:t>辽滨经开区</a:t>
                    </a:r>
                    <a:r>
                      <a:rPr lang="en-US" altLang="en-US" sz="1100"/>
                      <a:t>198799</a:t>
                    </a:r>
                    <a:endParaRPr lang="en-US" altLang="en-US" sz="1100"/>
                  </a:p>
                </c:rich>
              </c:tx>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0.157128869529607"/>
                  <c:y val="0.0151570339421858"/>
                </c:manualLayout>
              </c:layout>
              <c:tx>
                <c:rich>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r>
                      <a:rPr lang="zh-CN" altLang="en-US" sz="1200" b="1"/>
                      <a:t>县区级</a:t>
                    </a:r>
                    <a:endParaRPr lang="en-US" altLang="zh-CN" sz="1200" b="1"/>
                  </a:p>
                  <a:p>
                    <a:pPr>
                      <a:defRPr lang="zh-CN" sz="1100" b="0" i="0" u="none" strike="noStrike" kern="1200" baseline="0">
                        <a:solidFill>
                          <a:schemeClr val="tx1"/>
                        </a:solidFill>
                        <a:latin typeface="+mn-lt"/>
                        <a:ea typeface="+mn-ea"/>
                        <a:cs typeface="+mn-cs"/>
                      </a:defRPr>
                    </a:pPr>
                    <a:r>
                      <a:rPr lang="en-US" altLang="en-US" sz="1200" b="1"/>
                      <a:t>75.9</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表三!$I$5:$I$10</c:f>
              <c:strCache>
                <c:ptCount val="6"/>
                <c:pt idx="0">
                  <c:v>  市本级</c:v>
                </c:pt>
                <c:pt idx="1">
                  <c:v>  盘山县</c:v>
                </c:pt>
                <c:pt idx="2">
                  <c:v>  双台子区</c:v>
                </c:pt>
                <c:pt idx="3">
                  <c:v>  兴隆台区</c:v>
                </c:pt>
                <c:pt idx="4">
                  <c:v>  大洼区</c:v>
                </c:pt>
                <c:pt idx="5">
                  <c:v>辽滨经开区</c:v>
                </c:pt>
              </c:strCache>
            </c:strRef>
          </c:cat>
          <c:val>
            <c:numRef>
              <c:f>表三!$J$5:$J$10</c:f>
              <c:numCache>
                <c:formatCode>General</c:formatCode>
                <c:ptCount val="6"/>
                <c:pt idx="0">
                  <c:v>205359</c:v>
                </c:pt>
                <c:pt idx="1">
                  <c:v>147393</c:v>
                </c:pt>
                <c:pt idx="2">
                  <c:v>74693</c:v>
                </c:pt>
                <c:pt idx="3">
                  <c:v>82318</c:v>
                </c:pt>
                <c:pt idx="4">
                  <c:v>142815</c:v>
                </c:pt>
                <c:pt idx="5">
                  <c:v>198799</c:v>
                </c:pt>
              </c:numCache>
            </c:numRef>
          </c:val>
        </c:ser>
        <c:dLbls>
          <c:showLegendKey val="0"/>
          <c:showVal val="1"/>
          <c:showCatName val="0"/>
          <c:showSerName val="0"/>
          <c:showPercent val="0"/>
          <c:showBubbleSize val="0"/>
          <c:showLeaderLines val="1"/>
        </c:dLbls>
        <c:gapWidth val="100"/>
        <c:splitType val="pos"/>
        <c:splitPos val="5"/>
        <c:secondPieSize val="78"/>
        <c:serLines/>
      </c:ofPieChart>
    </c:plotArea>
    <c:plotVisOnly val="1"/>
    <c:dispBlanksAs val="zero"/>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表三!$J$4</c:f>
              <c:strCache>
                <c:ptCount val="1"/>
                <c:pt idx="0">
                  <c:v>本  期</c:v>
                </c:pt>
              </c:strCache>
            </c:strRef>
          </c:tx>
          <c:invertIfNegative val="0"/>
          <c:dLbls>
            <c:delete val="1"/>
          </c:dLbls>
          <c:cat>
            <c:strRef>
              <c:f>表三!$I$5:$I$10</c:f>
              <c:strCache>
                <c:ptCount val="6"/>
                <c:pt idx="0">
                  <c:v>  市本级</c:v>
                </c:pt>
                <c:pt idx="1">
                  <c:v>  盘山县</c:v>
                </c:pt>
                <c:pt idx="2">
                  <c:v>  双台子区</c:v>
                </c:pt>
                <c:pt idx="3">
                  <c:v>  兴隆台区</c:v>
                </c:pt>
                <c:pt idx="4">
                  <c:v>  大洼区</c:v>
                </c:pt>
                <c:pt idx="5">
                  <c:v>辽滨经开区</c:v>
                </c:pt>
              </c:strCache>
            </c:strRef>
          </c:cat>
          <c:val>
            <c:numRef>
              <c:f>表三!$J$5:$J$10</c:f>
              <c:numCache>
                <c:formatCode>General</c:formatCode>
                <c:ptCount val="6"/>
                <c:pt idx="0">
                  <c:v>205359</c:v>
                </c:pt>
                <c:pt idx="1">
                  <c:v>147393</c:v>
                </c:pt>
                <c:pt idx="2">
                  <c:v>74693</c:v>
                </c:pt>
                <c:pt idx="3">
                  <c:v>82318</c:v>
                </c:pt>
                <c:pt idx="4">
                  <c:v>142815</c:v>
                </c:pt>
                <c:pt idx="5">
                  <c:v>198799</c:v>
                </c:pt>
              </c:numCache>
            </c:numRef>
          </c:val>
        </c:ser>
        <c:ser>
          <c:idx val="1"/>
          <c:order val="1"/>
          <c:tx>
            <c:strRef>
              <c:f>表三!$K$4</c:f>
              <c:strCache>
                <c:ptCount val="1"/>
                <c:pt idx="0">
                  <c:v>同  期</c:v>
                </c:pt>
              </c:strCache>
            </c:strRef>
          </c:tx>
          <c:invertIfNegative val="0"/>
          <c:dLbls>
            <c:delete val="1"/>
          </c:dLbls>
          <c:cat>
            <c:strRef>
              <c:f>表三!$I$5:$I$10</c:f>
              <c:strCache>
                <c:ptCount val="6"/>
                <c:pt idx="0">
                  <c:v>  市本级</c:v>
                </c:pt>
                <c:pt idx="1">
                  <c:v>  盘山县</c:v>
                </c:pt>
                <c:pt idx="2">
                  <c:v>  双台子区</c:v>
                </c:pt>
                <c:pt idx="3">
                  <c:v>  兴隆台区</c:v>
                </c:pt>
                <c:pt idx="4">
                  <c:v>  大洼区</c:v>
                </c:pt>
                <c:pt idx="5">
                  <c:v>辽滨经开区</c:v>
                </c:pt>
              </c:strCache>
            </c:strRef>
          </c:cat>
          <c:val>
            <c:numRef>
              <c:f>表三!$K$5:$K$10</c:f>
              <c:numCache>
                <c:formatCode>General</c:formatCode>
                <c:ptCount val="6"/>
                <c:pt idx="0">
                  <c:v>214765</c:v>
                </c:pt>
                <c:pt idx="1">
                  <c:v>134113</c:v>
                </c:pt>
                <c:pt idx="2">
                  <c:v>53590</c:v>
                </c:pt>
                <c:pt idx="3">
                  <c:v>87882</c:v>
                </c:pt>
                <c:pt idx="4">
                  <c:v>132805</c:v>
                </c:pt>
                <c:pt idx="5">
                  <c:v>155610</c:v>
                </c:pt>
              </c:numCache>
            </c:numRef>
          </c:val>
        </c:ser>
        <c:dLbls>
          <c:showLegendKey val="0"/>
          <c:showVal val="0"/>
          <c:showCatName val="0"/>
          <c:showSerName val="0"/>
          <c:showPercent val="0"/>
          <c:showBubbleSize val="0"/>
        </c:dLbls>
        <c:gapWidth val="150"/>
        <c:axId val="105224448"/>
        <c:axId val="105230336"/>
      </c:barChart>
      <c:catAx>
        <c:axId val="105224448"/>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230336"/>
        <c:crosses val="autoZero"/>
        <c:auto val="1"/>
        <c:lblAlgn val="ctr"/>
        <c:lblOffset val="100"/>
        <c:noMultiLvlLbl val="0"/>
      </c:catAx>
      <c:valAx>
        <c:axId val="105230336"/>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224448"/>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22468199328489"/>
          <c:y val="0.00764000206593139"/>
          <c:w val="0.946698913944659"/>
          <c:h val="0.970408725742911"/>
        </c:manualLayout>
      </c:layout>
      <c:doughnut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Pt>
            <c:idx val="13"/>
            <c:bubble3D val="0"/>
          </c:dPt>
          <c:dPt>
            <c:idx val="14"/>
            <c:bubble3D val="0"/>
          </c:dPt>
          <c:dPt>
            <c:idx val="15"/>
            <c:bubble3D val="0"/>
          </c:dPt>
          <c:dPt>
            <c:idx val="16"/>
            <c:bubble3D val="0"/>
          </c:dPt>
          <c:dPt>
            <c:idx val="17"/>
            <c:bubble3D val="0"/>
          </c:dPt>
          <c:dPt>
            <c:idx val="18"/>
            <c:bubble3D val="0"/>
          </c:dPt>
          <c:dPt>
            <c:idx val="19"/>
            <c:bubble3D val="0"/>
          </c:dPt>
          <c:dPt>
            <c:idx val="20"/>
            <c:bubble3D val="0"/>
          </c:dPt>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一般公共服务</a:t>
                    </a:r>
                    <a:endParaRPr lang="en-US" altLang="zh-CN"/>
                  </a:p>
                  <a:p>
                    <a:pPr>
                      <a:defRPr lang="zh-CN" sz="1000" b="0" i="0" u="none" strike="noStrike" kern="1200" baseline="0">
                        <a:solidFill>
                          <a:schemeClr val="tx1"/>
                        </a:solidFill>
                        <a:latin typeface="+mn-lt"/>
                        <a:ea typeface="+mn-ea"/>
                        <a:cs typeface="+mn-cs"/>
                      </a:defRPr>
                    </a:pPr>
                    <a:r>
                      <a:rPr lang="en-US" altLang="en-US"/>
                      <a:t>8.8</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0558464223385689"/>
                  <c:y val="-0.10971973762671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国防</a:t>
                    </a:r>
                    <a:endParaRPr lang="en-US" altLang="zh-CN"/>
                  </a:p>
                  <a:p>
                    <a:pPr>
                      <a:defRPr lang="zh-CN" sz="1000" b="0" i="0" u="none" strike="noStrike" kern="1200" baseline="0">
                        <a:solidFill>
                          <a:schemeClr val="tx1"/>
                        </a:solidFill>
                        <a:latin typeface="+mn-lt"/>
                        <a:ea typeface="+mn-ea"/>
                        <a:cs typeface="+mn-cs"/>
                      </a:defRPr>
                    </a:pPr>
                    <a:r>
                      <a:rPr lang="en-US" altLang="en-US"/>
                      <a:t>0.03</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6346713205352"/>
                  <c:y val="-0.088252832438879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公共安全</a:t>
                    </a:r>
                    <a:endParaRPr lang="en-US" altLang="zh-CN"/>
                  </a:p>
                  <a:p>
                    <a:pPr>
                      <a:defRPr lang="zh-CN" sz="1000" b="0" i="0" u="none" strike="noStrike" kern="1200" baseline="0">
                        <a:solidFill>
                          <a:schemeClr val="tx1"/>
                        </a:solidFill>
                        <a:latin typeface="+mn-lt"/>
                        <a:ea typeface="+mn-ea"/>
                        <a:cs typeface="+mn-cs"/>
                      </a:defRPr>
                    </a:pPr>
                    <a:r>
                      <a:rPr lang="en-US" altLang="en-US"/>
                      <a:t>3.3</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教育</a:t>
                    </a:r>
                    <a:endParaRPr lang="en-US" altLang="zh-CN"/>
                  </a:p>
                  <a:p>
                    <a:pPr>
                      <a:defRPr lang="zh-CN" sz="1000" b="0" i="0" u="none" strike="noStrike" kern="1200" baseline="0">
                        <a:solidFill>
                          <a:schemeClr val="tx1"/>
                        </a:solidFill>
                        <a:latin typeface="+mn-lt"/>
                        <a:ea typeface="+mn-ea"/>
                        <a:cs typeface="+mn-cs"/>
                      </a:defRPr>
                    </a:pPr>
                    <a:r>
                      <a:rPr lang="en-US" altLang="en-US"/>
                      <a:t>8.9</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4"/>
              <c:layout>
                <c:manualLayout>
                  <c:x val="0.0209424083769634"/>
                  <c:y val="-0.0071556350626118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科技  </a:t>
                    </a:r>
                    <a:r>
                      <a:rPr lang="en-US" altLang="zh-CN"/>
                      <a:t>0.7%</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60558647446556"/>
                  <c:y val="0.0262373285629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文旅体传媒 </a:t>
                    </a:r>
                    <a:r>
                      <a:rPr lang="en-US" altLang="zh-CN"/>
                      <a:t>0.8%</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社保</a:t>
                    </a:r>
                    <a:endParaRPr lang="en-US" altLang="zh-CN"/>
                  </a:p>
                  <a:p>
                    <a:pPr>
                      <a:defRPr lang="zh-CN" sz="1000" b="0" i="0" u="none" strike="noStrike" kern="1200" baseline="0">
                        <a:solidFill>
                          <a:schemeClr val="tx1"/>
                        </a:solidFill>
                        <a:latin typeface="+mn-lt"/>
                        <a:ea typeface="+mn-ea"/>
                        <a:cs typeface="+mn-cs"/>
                      </a:defRPr>
                    </a:pPr>
                    <a:r>
                      <a:rPr lang="en-US" altLang="en-US"/>
                      <a:t>13.8</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7"/>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卫生健康</a:t>
                    </a:r>
                    <a:endParaRPr lang="en-US" altLang="zh-CN"/>
                  </a:p>
                  <a:p>
                    <a:pPr>
                      <a:defRPr lang="zh-CN" sz="1000" b="0" i="0" u="none" strike="noStrike" kern="1200" baseline="0">
                        <a:solidFill>
                          <a:schemeClr val="tx1"/>
                        </a:solidFill>
                        <a:latin typeface="+mn-lt"/>
                        <a:ea typeface="+mn-ea"/>
                        <a:cs typeface="+mn-cs"/>
                      </a:defRPr>
                    </a:pPr>
                    <a:r>
                      <a:rPr lang="en-US" altLang="en-US"/>
                      <a:t>4.6</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节能环保</a:t>
                    </a:r>
                    <a:endParaRPr lang="en-US" altLang="zh-CN"/>
                  </a:p>
                  <a:p>
                    <a:pPr>
                      <a:defRPr lang="zh-CN" sz="1000" b="0" i="0" u="none" strike="noStrike" kern="1200" baseline="0">
                        <a:solidFill>
                          <a:schemeClr val="tx1"/>
                        </a:solidFill>
                        <a:latin typeface="+mn-lt"/>
                        <a:ea typeface="+mn-ea"/>
                        <a:cs typeface="+mn-cs"/>
                      </a:defRPr>
                    </a:pPr>
                    <a:r>
                      <a:rPr lang="en-US" altLang="en-US"/>
                      <a:t>2.1</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9"/>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城乡社区</a:t>
                    </a:r>
                    <a:endParaRPr lang="en-US" altLang="zh-CN"/>
                  </a:p>
                  <a:p>
                    <a:pPr>
                      <a:defRPr lang="zh-CN" sz="1000" b="0" i="0" u="none" strike="noStrike" kern="1200" baseline="0">
                        <a:solidFill>
                          <a:schemeClr val="tx1"/>
                        </a:solidFill>
                        <a:latin typeface="+mn-lt"/>
                        <a:ea typeface="+mn-ea"/>
                        <a:cs typeface="+mn-cs"/>
                      </a:defRPr>
                    </a:pPr>
                    <a:r>
                      <a:rPr lang="en-US" altLang="en-US"/>
                      <a:t>17.3</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农林水</a:t>
                    </a:r>
                    <a:endParaRPr lang="en-US" altLang="zh-CN"/>
                  </a:p>
                  <a:p>
                    <a:pPr>
                      <a:defRPr lang="zh-CN" sz="1000" b="0" i="0" u="none" strike="noStrike" kern="1200" baseline="0">
                        <a:solidFill>
                          <a:schemeClr val="tx1"/>
                        </a:solidFill>
                        <a:latin typeface="+mn-lt"/>
                        <a:ea typeface="+mn-ea"/>
                        <a:cs typeface="+mn-cs"/>
                      </a:defRPr>
                    </a:pPr>
                    <a:r>
                      <a:rPr lang="en-US" altLang="en-US"/>
                      <a:t>8.8</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交通运输 </a:t>
                    </a:r>
                    <a:r>
                      <a:rPr lang="en-US" altLang="zh-CN"/>
                      <a:t>2.8%</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2"/>
              <c:layout>
                <c:manualLayout>
                  <c:x val="0.104711858661646"/>
                  <c:y val="0.0071556350626118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资源勘探</a:t>
                    </a:r>
                    <a:endParaRPr lang="en-US" altLang="zh-CN"/>
                  </a:p>
                  <a:p>
                    <a:pPr>
                      <a:defRPr lang="zh-CN" sz="1000" b="0" i="0" u="none" strike="noStrike" kern="1200" baseline="0">
                        <a:solidFill>
                          <a:schemeClr val="tx1"/>
                        </a:solidFill>
                        <a:latin typeface="+mn-lt"/>
                        <a:ea typeface="+mn-ea"/>
                        <a:cs typeface="+mn-cs"/>
                      </a:defRPr>
                    </a:pPr>
                    <a:r>
                      <a:rPr lang="zh-CN" altLang="en-US"/>
                      <a:t>工业信息 </a:t>
                    </a:r>
                    <a:r>
                      <a:rPr lang="en-US" altLang="zh-CN"/>
                      <a:t>1.8%</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104712041884817"/>
                  <c:y val="0.014311270125223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商业服务</a:t>
                    </a:r>
                    <a:r>
                      <a:rPr lang="zh-CN" altLang="en-US" baseline="0"/>
                      <a:t> </a:t>
                    </a:r>
                    <a:r>
                      <a:rPr lang="en-US" altLang="zh-CN" baseline="0"/>
                      <a:t>0.3%</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14"/>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自然资源</a:t>
                    </a:r>
                    <a:endParaRPr lang="en-US" altLang="zh-CN"/>
                  </a:p>
                  <a:p>
                    <a:pPr>
                      <a:defRPr lang="zh-CN" sz="1000" b="0" i="0" u="none" strike="noStrike" kern="1200" baseline="0">
                        <a:solidFill>
                          <a:schemeClr val="tx1"/>
                        </a:solidFill>
                        <a:latin typeface="+mn-lt"/>
                        <a:ea typeface="+mn-ea"/>
                        <a:cs typeface="+mn-cs"/>
                      </a:defRPr>
                    </a:pPr>
                    <a:r>
                      <a:rPr lang="zh-CN" altLang="en-US"/>
                      <a:t>海洋气象 </a:t>
                    </a:r>
                    <a:r>
                      <a:rPr lang="en-US" altLang="zh-CN"/>
                      <a:t>2.4%</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5"/>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住房保障 </a:t>
                    </a:r>
                    <a:r>
                      <a:rPr lang="en-US" altLang="zh-CN"/>
                      <a:t>4.1%</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6"/>
              <c:layout>
                <c:manualLayout>
                  <c:x val="0.111692844677138"/>
                  <c:y val="0.040548598688133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粮油物资储备 </a:t>
                    </a:r>
                    <a:r>
                      <a:rPr lang="en-US" altLang="zh-CN"/>
                      <a:t>0.1%</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837696335078537"/>
                  <c:y val="-0.042933810375670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灾害防治</a:t>
                    </a:r>
                    <a:endParaRPr lang="en-US" altLang="zh-CN"/>
                  </a:p>
                  <a:p>
                    <a:pPr>
                      <a:defRPr lang="zh-CN" sz="1000" b="0" i="0" u="none" strike="noStrike" kern="1200" baseline="0">
                        <a:solidFill>
                          <a:schemeClr val="tx1"/>
                        </a:solidFill>
                        <a:latin typeface="+mn-lt"/>
                        <a:ea typeface="+mn-ea"/>
                        <a:cs typeface="+mn-cs"/>
                      </a:defRPr>
                    </a:pPr>
                    <a:r>
                      <a:rPr lang="zh-CN" altLang="en-US"/>
                      <a:t>应急管理  </a:t>
                    </a:r>
                    <a:r>
                      <a:rPr lang="en-US" altLang="zh-CN"/>
                      <a:t>0.8%</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dLbl>
              <c:idx val="18"/>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其他支出</a:t>
                    </a:r>
                    <a:endParaRPr lang="en-US" altLang="zh-CN"/>
                  </a:p>
                  <a:p>
                    <a:pPr>
                      <a:defRPr lang="zh-CN" sz="1000" b="0" i="0" u="none" strike="noStrike" kern="1200" baseline="0">
                        <a:solidFill>
                          <a:schemeClr val="tx1"/>
                        </a:solidFill>
                        <a:latin typeface="+mn-lt"/>
                        <a:ea typeface="+mn-ea"/>
                        <a:cs typeface="+mn-cs"/>
                      </a:defRPr>
                    </a:pPr>
                    <a:r>
                      <a:rPr lang="en-US" altLang="en-US"/>
                      <a:t>10.8</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19"/>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债务付息</a:t>
                    </a:r>
                    <a:endParaRPr lang="en-US" altLang="zh-CN"/>
                  </a:p>
                  <a:p>
                    <a:pPr>
                      <a:defRPr lang="zh-CN" sz="1000" b="0" i="0" u="none" strike="noStrike" kern="1200" baseline="0">
                        <a:solidFill>
                          <a:schemeClr val="tx1"/>
                        </a:solidFill>
                        <a:latin typeface="+mn-lt"/>
                        <a:ea typeface="+mn-ea"/>
                        <a:cs typeface="+mn-cs"/>
                      </a:defRPr>
                    </a:pPr>
                    <a:r>
                      <a:rPr lang="en-US" altLang="en-US"/>
                      <a:t>8.0</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extLst>
            </c:dLbl>
            <c:dLbl>
              <c:idx val="20"/>
              <c:layout>
                <c:manualLayout>
                  <c:x val="0"/>
                  <c:y val="0.12164579606440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债务发行费</a:t>
                    </a:r>
                    <a:endParaRPr lang="en-US" altLang="zh-CN"/>
                  </a:p>
                  <a:p>
                    <a:pPr>
                      <a:defRPr lang="zh-CN" sz="1000" b="0" i="0" u="none" strike="noStrike" kern="1200" baseline="0">
                        <a:solidFill>
                          <a:schemeClr val="tx1"/>
                        </a:solidFill>
                        <a:latin typeface="+mn-lt"/>
                        <a:ea typeface="+mn-ea"/>
                        <a:cs typeface="+mn-cs"/>
                      </a:defRPr>
                    </a:pPr>
                    <a:r>
                      <a:rPr lang="en-US" altLang="en-US"/>
                      <a:t>0.03</a:t>
                    </a:r>
                    <a:r>
                      <a:rPr lang="en-US" altLang="zh-CN"/>
                      <a:t>%</a:t>
                    </a:r>
                    <a:endParaRPr lang="en-US" altLang="en-US"/>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支出!$A$35:$A$55</c:f>
              <c:strCache>
                <c:ptCount val="21"/>
                <c:pt idx="0">
                  <c:v>　一般公共服务支出</c:v>
                </c:pt>
                <c:pt idx="1">
                  <c:v>　国防支出</c:v>
                </c:pt>
                <c:pt idx="2">
                  <c:v>　公共安全支出</c:v>
                </c:pt>
                <c:pt idx="3">
                  <c:v>　教育支出</c:v>
                </c:pt>
                <c:pt idx="4">
                  <c:v>　科学技术支出</c:v>
                </c:pt>
                <c:pt idx="5">
                  <c:v>　文化旅游体育与传媒支出</c:v>
                </c:pt>
                <c:pt idx="6">
                  <c:v>　社会保障和就业支出</c:v>
                </c:pt>
                <c:pt idx="7">
                  <c:v>  卫生健康支出</c:v>
                </c:pt>
                <c:pt idx="8">
                  <c:v>　节能环保支出</c:v>
                </c:pt>
                <c:pt idx="9">
                  <c:v>　城乡社区支出</c:v>
                </c:pt>
                <c:pt idx="10">
                  <c:v>　农林水支出</c:v>
                </c:pt>
                <c:pt idx="11">
                  <c:v>　交通运输支出</c:v>
                </c:pt>
                <c:pt idx="12">
                  <c:v>  资源勘探工业信息等支出</c:v>
                </c:pt>
                <c:pt idx="13">
                  <c:v>  商业服务业等支出</c:v>
                </c:pt>
                <c:pt idx="14">
                  <c:v>  自然资源海洋气象等支出</c:v>
                </c:pt>
                <c:pt idx="15">
                  <c:v>  住房保障支出</c:v>
                </c:pt>
                <c:pt idx="16">
                  <c:v>　粮油物资储备支出</c:v>
                </c:pt>
                <c:pt idx="17">
                  <c:v>  灾害防治及应急管理支出</c:v>
                </c:pt>
                <c:pt idx="18">
                  <c:v>  其他支出</c:v>
                </c:pt>
                <c:pt idx="19">
                  <c:v>  债务付息支出</c:v>
                </c:pt>
                <c:pt idx="20">
                  <c:v>  债务发行费用支出</c:v>
                </c:pt>
              </c:strCache>
            </c:strRef>
          </c:cat>
          <c:val>
            <c:numRef>
              <c:f>支出!$B$35:$B$55</c:f>
              <c:numCache>
                <c:formatCode>General</c:formatCode>
                <c:ptCount val="21"/>
                <c:pt idx="0">
                  <c:v>74558</c:v>
                </c:pt>
                <c:pt idx="1">
                  <c:v>138</c:v>
                </c:pt>
                <c:pt idx="2">
                  <c:v>28360</c:v>
                </c:pt>
                <c:pt idx="3">
                  <c:v>75489</c:v>
                </c:pt>
                <c:pt idx="4">
                  <c:v>6141</c:v>
                </c:pt>
                <c:pt idx="5">
                  <c:v>6813</c:v>
                </c:pt>
                <c:pt idx="6">
                  <c:v>117278</c:v>
                </c:pt>
                <c:pt idx="7">
                  <c:v>39390</c:v>
                </c:pt>
                <c:pt idx="8">
                  <c:v>17801</c:v>
                </c:pt>
                <c:pt idx="9">
                  <c:v>147347</c:v>
                </c:pt>
                <c:pt idx="10">
                  <c:v>75103</c:v>
                </c:pt>
                <c:pt idx="11">
                  <c:v>23481</c:v>
                </c:pt>
                <c:pt idx="12">
                  <c:v>15319</c:v>
                </c:pt>
                <c:pt idx="13">
                  <c:v>2224</c:v>
                </c:pt>
                <c:pt idx="14">
                  <c:v>20249</c:v>
                </c:pt>
                <c:pt idx="15">
                  <c:v>34578</c:v>
                </c:pt>
                <c:pt idx="16">
                  <c:v>757</c:v>
                </c:pt>
                <c:pt idx="17">
                  <c:v>6387</c:v>
                </c:pt>
                <c:pt idx="18">
                  <c:v>91525</c:v>
                </c:pt>
                <c:pt idx="19">
                  <c:v>68201</c:v>
                </c:pt>
                <c:pt idx="20">
                  <c:v>238</c:v>
                </c:pt>
              </c:numCache>
            </c:numRef>
          </c:val>
        </c:ser>
        <c:dLbls>
          <c:showLegendKey val="0"/>
          <c:showVal val="1"/>
          <c:showCatName val="0"/>
          <c:showSerName val="0"/>
          <c:showPercent val="0"/>
          <c:showBubbleSize val="0"/>
          <c:showLeaderLines val="1"/>
        </c:dLbls>
        <c:firstSliceAng val="0"/>
        <c:holeSize val="50"/>
      </c:doughnutChart>
    </c:plotArea>
    <c:plotVisOnly val="1"/>
    <c:dispBlanksAs val="zero"/>
    <c:showDLblsOverMax val="0"/>
  </c:chart>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416839199447895"/>
          <c:y val="0.0821505376344086"/>
          <c:w val="0.911111111111111"/>
          <c:h val="0.911397849462366"/>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Lbls>
            <c:dLbl>
              <c:idx val="0"/>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社保</a:t>
                    </a:r>
                    <a:endParaRPr lang="en-US" altLang="zh-CN" sz="1100" b="1"/>
                  </a:p>
                  <a:p>
                    <a:pPr>
                      <a:defRPr lang="zh-CN" sz="1100" b="1" i="0" u="none" strike="noStrike" kern="1200" baseline="0">
                        <a:solidFill>
                          <a:schemeClr val="tx1"/>
                        </a:solidFill>
                        <a:latin typeface="+mn-lt"/>
                        <a:ea typeface="+mn-ea"/>
                        <a:cs typeface="+mn-cs"/>
                      </a:defRPr>
                    </a:pPr>
                    <a:r>
                      <a:rPr lang="en-US" altLang="en-US" sz="1100" b="1"/>
                      <a:t>1.7</a:t>
                    </a:r>
                    <a:r>
                      <a:rPr lang="en-US" altLang="zh-CN" sz="1100" b="1"/>
                      <a:t>%</a:t>
                    </a:r>
                    <a:r>
                      <a:rPr lang="en-US" altLang="en-US" sz="1100" b="1"/>
                      <a:t> </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城乡社区</a:t>
                    </a:r>
                    <a:endParaRPr lang="en-US" altLang="zh-CN" sz="1100" b="1"/>
                  </a:p>
                  <a:p>
                    <a:pPr>
                      <a:defRPr lang="zh-CN" sz="1100" b="1" i="0" u="none" strike="noStrike" kern="1200" baseline="0">
                        <a:solidFill>
                          <a:schemeClr val="tx1"/>
                        </a:solidFill>
                        <a:latin typeface="+mn-lt"/>
                        <a:ea typeface="+mn-ea"/>
                        <a:cs typeface="+mn-cs"/>
                      </a:defRPr>
                    </a:pPr>
                    <a:r>
                      <a:rPr lang="en-US" altLang="en-US" sz="1100" b="1"/>
                      <a:t>7.5 </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0.0666432633420823"/>
                  <c:y val="0.0669524642752989"/>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交通运输  </a:t>
                    </a:r>
                    <a:r>
                      <a:rPr lang="en-US" altLang="en-US" sz="1100" b="1"/>
                      <a:t>0.3</a:t>
                    </a:r>
                    <a:r>
                      <a:rPr lang="en-US" altLang="zh-CN" sz="1100" b="1"/>
                      <a:t>%</a:t>
                    </a:r>
                    <a:r>
                      <a:rPr lang="en-US" altLang="en-US" sz="1100" b="1"/>
                      <a:t> </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03640091863517"/>
                  <c:y val="-0.329239209682123"/>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其他  </a:t>
                    </a:r>
                    <a:r>
                      <a:rPr lang="en-US" altLang="en-US" sz="1100" b="1"/>
                      <a:t>76.9</a:t>
                    </a:r>
                    <a:r>
                      <a:rPr lang="en-US" altLang="zh-CN" sz="1100" b="1"/>
                      <a:t>%</a:t>
                    </a:r>
                    <a:r>
                      <a:rPr lang="en-US" altLang="en-US" sz="1100" b="1"/>
                      <a:t> </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56715879265092"/>
                  <c:y val="0.106337124526101"/>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债务发行费</a:t>
                    </a:r>
                    <a:r>
                      <a:rPr lang="en-US" altLang="en-US" sz="1100" b="1"/>
                      <a:t>0.02</a:t>
                    </a:r>
                    <a:r>
                      <a:rPr lang="en-US" altLang="zh-CN" sz="1100" b="1"/>
                      <a:t>%</a:t>
                    </a:r>
                    <a:r>
                      <a:rPr lang="en-US" altLang="en-US" sz="1100" b="1"/>
                      <a:t> </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480331262939959"/>
                  <c:y val="0.0154838709677419"/>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债务付息</a:t>
                    </a:r>
                    <a:endParaRPr lang="en-US" altLang="zh-CN" sz="1100" b="1"/>
                  </a:p>
                  <a:p>
                    <a:pPr>
                      <a:defRPr lang="zh-CN" sz="1100" b="1" i="0" u="none" strike="noStrike" kern="1200" baseline="0">
                        <a:solidFill>
                          <a:schemeClr val="tx1"/>
                        </a:solidFill>
                        <a:latin typeface="+mn-lt"/>
                        <a:ea typeface="+mn-ea"/>
                        <a:cs typeface="+mn-cs"/>
                      </a:defRPr>
                    </a:pPr>
                    <a:r>
                      <a:rPr lang="en-US" altLang="en-US" sz="1100" b="1"/>
                      <a:t>13.4</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43438268585992"/>
                  <c:y val="-0.0836304904091289"/>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抗疫特别国债安排的支出 </a:t>
                    </a:r>
                    <a:r>
                      <a:rPr lang="en-US" altLang="en-US" sz="1100" b="1"/>
                      <a:t>0.1</a:t>
                    </a:r>
                    <a:r>
                      <a:rPr lang="en-US" altLang="zh-CN" sz="1100" b="1"/>
                      <a:t>%</a:t>
                    </a:r>
                    <a:r>
                      <a:rPr lang="en-US" altLang="en-US" sz="1100" b="1"/>
                      <a:t> </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基支出!$A$34:$A$40</c:f>
              <c:strCache>
                <c:ptCount val="7"/>
                <c:pt idx="0">
                  <c:v>  社会保障和就业支出</c:v>
                </c:pt>
                <c:pt idx="1">
                  <c:v>  城乡社区支出</c:v>
                </c:pt>
                <c:pt idx="2">
                  <c:v>  交通运输支出</c:v>
                </c:pt>
                <c:pt idx="3">
                  <c:v>  其他支出</c:v>
                </c:pt>
                <c:pt idx="4">
                  <c:v>  债务发行费用支出</c:v>
                </c:pt>
                <c:pt idx="5">
                  <c:v>  债务付息支出</c:v>
                </c:pt>
                <c:pt idx="6">
                  <c:v>  抗疫特别国债安排的支出</c:v>
                </c:pt>
              </c:strCache>
            </c:strRef>
          </c:cat>
          <c:val>
            <c:numRef>
              <c:f>基支出!$B$34:$B$40</c:f>
              <c:numCache>
                <c:formatCode>0.0_ </c:formatCode>
                <c:ptCount val="7"/>
                <c:pt idx="0">
                  <c:v>1.70454545454545</c:v>
                </c:pt>
                <c:pt idx="1">
                  <c:v>7.50632777894959</c:v>
                </c:pt>
                <c:pt idx="2">
                  <c:v>0.324298671166421</c:v>
                </c:pt>
                <c:pt idx="3">
                  <c:v>76.8983336848766</c:v>
                </c:pt>
                <c:pt idx="4" c:formatCode="0.00_ ">
                  <c:v>0.0184560219363004</c:v>
                </c:pt>
                <c:pt idx="5">
                  <c:v>13.4043450748787</c:v>
                </c:pt>
                <c:pt idx="6">
                  <c:v>0.14369331364691</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8720728090807"/>
          <c:y val="0.0421052631578947"/>
          <c:w val="0.880703548420084"/>
          <c:h val="0.6064"/>
        </c:manualLayout>
      </c:layout>
      <c:lineChart>
        <c:grouping val="standard"/>
        <c:varyColors val="0"/>
        <c:ser>
          <c:idx val="0"/>
          <c:order val="0"/>
          <c:tx>
            <c:strRef>
              <c:f>[预算月报表.xlsx]表一!$B$45</c:f>
              <c:strCache>
                <c:ptCount val="1"/>
                <c:pt idx="0">
                  <c:v>一般公共预算收入</c:v>
                </c:pt>
              </c:strCache>
            </c:strRef>
          </c:tx>
          <c:spPr>
            <a:ln w="28575" cap="rnd">
              <a:solidFill>
                <a:schemeClr val="accent1"/>
              </a:solidFill>
              <a:round/>
            </a:ln>
            <a:effectLst/>
          </c:spPr>
          <c:marker>
            <c:symbol val="none"/>
          </c:marker>
          <c:dLbls>
            <c:dLbl>
              <c:idx val="3"/>
              <c:layout/>
              <c:dLblPos val="ctr"/>
              <c:showLegendKey val="0"/>
              <c:showVal val="1"/>
              <c:showCatName val="0"/>
              <c:showSerName val="0"/>
              <c:showPercent val="0"/>
              <c:showBubbleSize val="0"/>
              <c:extLst>
                <c:ext xmlns:c15="http://schemas.microsoft.com/office/drawing/2012/chart" uri="{CE6537A1-D6FC-4f65-9D91-7224C49458BB}">
                  <c15:layout>
                    <c:manualLayout>
                      <c:w val="0.0484454085321764"/>
                      <c:h val="0.087872892347600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[预算月报表.xlsx]表一!$C$44:$G$44</c:f>
              <c:strCache>
                <c:ptCount val="5"/>
                <c:pt idx="0">
                  <c:v>1月份</c:v>
                </c:pt>
                <c:pt idx="1">
                  <c:v>2月份</c:v>
                </c:pt>
                <c:pt idx="2">
                  <c:v>3月份</c:v>
                </c:pt>
                <c:pt idx="3">
                  <c:v>4月份</c:v>
                </c:pt>
                <c:pt idx="4">
                  <c:v>5月份</c:v>
                </c:pt>
              </c:strCache>
            </c:strRef>
          </c:cat>
          <c:val>
            <c:numRef>
              <c:f>[预算月报表.xlsx]表一!$C$45:$G$45</c:f>
              <c:numCache>
                <c:formatCode>0.0_ </c:formatCode>
                <c:ptCount val="5"/>
                <c:pt idx="0">
                  <c:v>-11.3135074546367</c:v>
                </c:pt>
                <c:pt idx="1">
                  <c:v>-7.7020309442493</c:v>
                </c:pt>
                <c:pt idx="2">
                  <c:v>2.71650806019369</c:v>
                </c:pt>
                <c:pt idx="3">
                  <c:v>-5.45041325022449</c:v>
                </c:pt>
                <c:pt idx="4">
                  <c:v>-1.74971060114472</c:v>
                </c:pt>
              </c:numCache>
            </c:numRef>
          </c:val>
          <c:smooth val="0"/>
        </c:ser>
        <c:ser>
          <c:idx val="1"/>
          <c:order val="1"/>
          <c:tx>
            <c:strRef>
              <c:f>[预算月报表.xlsx]表一!$B$46</c:f>
              <c:strCache>
                <c:ptCount val="1"/>
                <c:pt idx="0">
                  <c:v>税收收入</c:v>
                </c:pt>
              </c:strCache>
            </c:strRef>
          </c:tx>
          <c:spPr>
            <a:ln w="28575" cap="rnd">
              <a:solidFill>
                <a:schemeClr val="accent2"/>
              </a:solidFill>
              <a:round/>
            </a:ln>
            <a:effectLst/>
          </c:spPr>
          <c:marker>
            <c:symbol val="none"/>
          </c:marker>
          <c:dLbls>
            <c:dLbl>
              <c:idx val="3"/>
              <c:layout>
                <c:manualLayout>
                  <c:x val="0"/>
                  <c:y val="-0.081712062256809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[预算月报表.xlsx]表一!$C$44:$G$44</c:f>
              <c:strCache>
                <c:ptCount val="5"/>
                <c:pt idx="0">
                  <c:v>1月份</c:v>
                </c:pt>
                <c:pt idx="1">
                  <c:v>2月份</c:v>
                </c:pt>
                <c:pt idx="2">
                  <c:v>3月份</c:v>
                </c:pt>
                <c:pt idx="3">
                  <c:v>4月份</c:v>
                </c:pt>
                <c:pt idx="4">
                  <c:v>5月份</c:v>
                </c:pt>
              </c:strCache>
            </c:strRef>
          </c:cat>
          <c:val>
            <c:numRef>
              <c:f>[预算月报表.xlsx]表一!$C$46:$G$46</c:f>
              <c:numCache>
                <c:formatCode>0.0_ </c:formatCode>
                <c:ptCount val="5"/>
                <c:pt idx="0">
                  <c:v>-20.7314570051314</c:v>
                </c:pt>
                <c:pt idx="1">
                  <c:v>-18.4466774514684</c:v>
                </c:pt>
                <c:pt idx="2">
                  <c:v>-2.95728462286588</c:v>
                </c:pt>
                <c:pt idx="3">
                  <c:v>-5.1961272326934</c:v>
                </c:pt>
                <c:pt idx="4">
                  <c:v>1.8078820958912</c:v>
                </c:pt>
              </c:numCache>
            </c:numRef>
          </c:val>
          <c:smooth val="0"/>
        </c:ser>
        <c:dLbls>
          <c:showLegendKey val="0"/>
          <c:showVal val="1"/>
          <c:showCatName val="0"/>
          <c:showSerName val="0"/>
          <c:showPercent val="0"/>
          <c:showBubbleSize val="0"/>
        </c:dLbls>
        <c:marker val="0"/>
        <c:smooth val="0"/>
        <c:axId val="105410944"/>
        <c:axId val="105412480"/>
      </c:lineChart>
      <c:catAx>
        <c:axId val="10541094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412480"/>
        <c:crossesAt val="-25"/>
        <c:auto val="1"/>
        <c:lblAlgn val="ctr"/>
        <c:lblOffset val="100"/>
        <c:noMultiLvlLbl val="0"/>
      </c:catAx>
      <c:valAx>
        <c:axId val="105412480"/>
        <c:scaling>
          <c:orientation val="minMax"/>
        </c:scaling>
        <c:delete val="0"/>
        <c:axPos val="l"/>
        <c:majorGridlines>
          <c:spPr>
            <a:ln w="9525" cap="flat" cmpd="sng" algn="ctr">
              <a:solidFill>
                <a:schemeClr val="tx1">
                  <a:lumMod val="15000"/>
                  <a:lumOff val="85000"/>
                </a:schemeClr>
              </a:solidFill>
              <a:round/>
            </a:ln>
            <a:effectLst/>
          </c:spPr>
        </c:majorGridlines>
        <c:numFmt formatCode="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54109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对比!$C$75</c:f>
              <c:strCache>
                <c:ptCount val="1"/>
                <c:pt idx="0">
                  <c:v>第一产业</c:v>
                </c:pt>
              </c:strCache>
            </c:strRef>
          </c:tx>
          <c:marker>
            <c:symbol val="none"/>
          </c:marker>
          <c:dLbls>
            <c:delete val="1"/>
          </c:dLbls>
          <c:cat>
            <c:strRef>
              <c:f>对比!$D$74:$F$74</c:f>
              <c:strCache>
                <c:ptCount val="3"/>
                <c:pt idx="0">
                  <c:v>一季度</c:v>
                </c:pt>
                <c:pt idx="1">
                  <c:v>4月份</c:v>
                </c:pt>
                <c:pt idx="2">
                  <c:v>5月份</c:v>
                </c:pt>
              </c:strCache>
            </c:strRef>
          </c:cat>
          <c:val>
            <c:numRef>
              <c:f>对比!$D$75:$F$75</c:f>
              <c:numCache>
                <c:formatCode>0.0_ </c:formatCode>
                <c:ptCount val="3"/>
                <c:pt idx="0">
                  <c:v>28.0352298049204</c:v>
                </c:pt>
                <c:pt idx="1">
                  <c:v>25.9308431662778</c:v>
                </c:pt>
                <c:pt idx="2">
                  <c:v>10.8095100530394</c:v>
                </c:pt>
              </c:numCache>
            </c:numRef>
          </c:val>
          <c:smooth val="0"/>
        </c:ser>
        <c:ser>
          <c:idx val="1"/>
          <c:order val="1"/>
          <c:tx>
            <c:strRef>
              <c:f>对比!$C$76</c:f>
              <c:strCache>
                <c:ptCount val="1"/>
                <c:pt idx="0">
                  <c:v>第二产业</c:v>
                </c:pt>
              </c:strCache>
            </c:strRef>
          </c:tx>
          <c:marker>
            <c:symbol val="none"/>
          </c:marker>
          <c:dLbls>
            <c:delete val="1"/>
          </c:dLbls>
          <c:cat>
            <c:strRef>
              <c:f>对比!$D$74:$F$74</c:f>
              <c:strCache>
                <c:ptCount val="3"/>
                <c:pt idx="0">
                  <c:v>一季度</c:v>
                </c:pt>
                <c:pt idx="1">
                  <c:v>4月份</c:v>
                </c:pt>
                <c:pt idx="2">
                  <c:v>5月份</c:v>
                </c:pt>
              </c:strCache>
            </c:strRef>
          </c:cat>
          <c:val>
            <c:numRef>
              <c:f>对比!$D$76:$F$76</c:f>
              <c:numCache>
                <c:formatCode>0.0_ </c:formatCode>
                <c:ptCount val="3"/>
                <c:pt idx="0">
                  <c:v>-1.74145439390801</c:v>
                </c:pt>
                <c:pt idx="1">
                  <c:v>-6.80241268207532</c:v>
                </c:pt>
                <c:pt idx="2">
                  <c:v>-8.9596933025363</c:v>
                </c:pt>
              </c:numCache>
            </c:numRef>
          </c:val>
          <c:smooth val="0"/>
        </c:ser>
        <c:ser>
          <c:idx val="2"/>
          <c:order val="2"/>
          <c:tx>
            <c:strRef>
              <c:f>对比!$C$77</c:f>
              <c:strCache>
                <c:ptCount val="1"/>
                <c:pt idx="0">
                  <c:v>第三产业</c:v>
                </c:pt>
              </c:strCache>
            </c:strRef>
          </c:tx>
          <c:marker>
            <c:symbol val="none"/>
          </c:marker>
          <c:dLbls>
            <c:delete val="1"/>
          </c:dLbls>
          <c:cat>
            <c:strRef>
              <c:f>对比!$D$74:$F$74</c:f>
              <c:strCache>
                <c:ptCount val="3"/>
                <c:pt idx="0">
                  <c:v>一季度</c:v>
                </c:pt>
                <c:pt idx="1">
                  <c:v>4月份</c:v>
                </c:pt>
                <c:pt idx="2">
                  <c:v>5月份</c:v>
                </c:pt>
              </c:strCache>
            </c:strRef>
          </c:cat>
          <c:val>
            <c:numRef>
              <c:f>对比!$D$77:$F$77</c:f>
              <c:numCache>
                <c:formatCode>0.0_ </c:formatCode>
                <c:ptCount val="3"/>
                <c:pt idx="0">
                  <c:v>-6.33581728361291</c:v>
                </c:pt>
                <c:pt idx="1">
                  <c:v>-1.13610967811338</c:v>
                </c:pt>
                <c:pt idx="2">
                  <c:v>38.6211253276231</c:v>
                </c:pt>
              </c:numCache>
            </c:numRef>
          </c:val>
          <c:smooth val="0"/>
        </c:ser>
        <c:dLbls>
          <c:showLegendKey val="0"/>
          <c:showVal val="0"/>
          <c:showCatName val="0"/>
          <c:showSerName val="0"/>
          <c:showPercent val="0"/>
          <c:showBubbleSize val="0"/>
        </c:dLbls>
        <c:marker val="0"/>
        <c:smooth val="0"/>
        <c:axId val="105445632"/>
        <c:axId val="105525248"/>
      </c:lineChart>
      <c:catAx>
        <c:axId val="105445632"/>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525248"/>
        <c:crosses val="autoZero"/>
        <c:auto val="1"/>
        <c:lblAlgn val="ctr"/>
        <c:lblOffset val="100"/>
        <c:noMultiLvlLbl val="0"/>
      </c:catAx>
      <c:valAx>
        <c:axId val="105525248"/>
        <c:scaling>
          <c:orientation val="minMax"/>
        </c:scaling>
        <c:delete val="0"/>
        <c:axPos val="l"/>
        <c:majorGridlines/>
        <c:numFmt formatCode="0.0_ "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445632"/>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'一般公共 (2)'!$O$3</c:f>
              <c:strCache>
                <c:ptCount val="1"/>
                <c:pt idx="0">
                  <c:v>本  期</c:v>
                </c:pt>
              </c:strCache>
            </c:strRef>
          </c:tx>
          <c:invertIfNegative val="0"/>
          <c:dLbls>
            <c:delete val="1"/>
          </c:dLbls>
          <c:cat>
            <c:strRef>
              <c:f>'一般公共 (2)'!$N$4:$N$6</c:f>
              <c:strCache>
                <c:ptCount val="3"/>
                <c:pt idx="0">
                  <c:v>一般公共预算收入</c:v>
                </c:pt>
                <c:pt idx="1">
                  <c:v>税收收入</c:v>
                </c:pt>
                <c:pt idx="2">
                  <c:v>非税收入</c:v>
                </c:pt>
              </c:strCache>
            </c:strRef>
          </c:cat>
          <c:val>
            <c:numRef>
              <c:f>'一般公共 (2)'!$O$4:$O$6</c:f>
              <c:numCache>
                <c:formatCode>General</c:formatCode>
                <c:ptCount val="3"/>
                <c:pt idx="0">
                  <c:v>671357</c:v>
                </c:pt>
                <c:pt idx="1">
                  <c:v>497641</c:v>
                </c:pt>
                <c:pt idx="2">
                  <c:v>173716</c:v>
                </c:pt>
              </c:numCache>
            </c:numRef>
          </c:val>
        </c:ser>
        <c:ser>
          <c:idx val="1"/>
          <c:order val="1"/>
          <c:tx>
            <c:strRef>
              <c:f>'一般公共 (2)'!$P$3</c:f>
              <c:strCache>
                <c:ptCount val="1"/>
                <c:pt idx="0">
                  <c:v>同  期</c:v>
                </c:pt>
              </c:strCache>
            </c:strRef>
          </c:tx>
          <c:invertIfNegative val="0"/>
          <c:dLbls>
            <c:delete val="1"/>
          </c:dLbls>
          <c:cat>
            <c:strRef>
              <c:f>'一般公共 (2)'!$N$4:$N$6</c:f>
              <c:strCache>
                <c:ptCount val="3"/>
                <c:pt idx="0">
                  <c:v>一般公共预算收入</c:v>
                </c:pt>
                <c:pt idx="1">
                  <c:v>税收收入</c:v>
                </c:pt>
                <c:pt idx="2">
                  <c:v>非税收入</c:v>
                </c:pt>
              </c:strCache>
            </c:strRef>
          </c:cat>
          <c:val>
            <c:numRef>
              <c:f>'一般公共 (2)'!$P$4:$P$6</c:f>
              <c:numCache>
                <c:formatCode>General</c:formatCode>
                <c:ptCount val="3"/>
                <c:pt idx="0">
                  <c:v>683313</c:v>
                </c:pt>
                <c:pt idx="1">
                  <c:v>488804</c:v>
                </c:pt>
                <c:pt idx="2">
                  <c:v>194509</c:v>
                </c:pt>
              </c:numCache>
            </c:numRef>
          </c:val>
        </c:ser>
        <c:dLbls>
          <c:showLegendKey val="0"/>
          <c:showVal val="0"/>
          <c:showCatName val="0"/>
          <c:showSerName val="0"/>
          <c:showPercent val="0"/>
          <c:showBubbleSize val="0"/>
        </c:dLbls>
        <c:gapWidth val="150"/>
        <c:axId val="97195904"/>
        <c:axId val="97197440"/>
      </c:barChart>
      <c:catAx>
        <c:axId val="971959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197440"/>
        <c:crosses val="autoZero"/>
        <c:auto val="1"/>
        <c:lblAlgn val="ctr"/>
        <c:lblOffset val="100"/>
        <c:noMultiLvlLbl val="0"/>
      </c:catAx>
      <c:valAx>
        <c:axId val="97197440"/>
        <c:scaling>
          <c:orientation val="minMax"/>
          <c:max val="7000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195904"/>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3888888888889"/>
          <c:y val="0.0486111111111111"/>
          <c:w val="0.950000000000001"/>
          <c:h val="0.902777777777778"/>
        </c:manualLayout>
      </c:layout>
      <c:ofPieChart>
        <c:ofPieType val="pie"/>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市本级</a:t>
                    </a:r>
                    <a:endParaRPr lang="en-US" altLang="zh-CN" sz="1200" b="1"/>
                  </a:p>
                  <a:p>
                    <a:pPr>
                      <a:defRPr lang="zh-CN" sz="1200" b="1" i="0" u="none" strike="noStrike" kern="1200" baseline="0">
                        <a:solidFill>
                          <a:schemeClr val="tx1"/>
                        </a:solidFill>
                        <a:latin typeface="+mn-lt"/>
                        <a:ea typeface="+mn-ea"/>
                        <a:cs typeface="+mn-cs"/>
                      </a:defRPr>
                    </a:pPr>
                    <a:r>
                      <a:rPr lang="en-US" altLang="en-US" sz="1200" b="1"/>
                      <a:t>34.9</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000" b="0"/>
                      <a:t>盘山县</a:t>
                    </a:r>
                    <a:r>
                      <a:rPr lang="en-US" altLang="en-US" sz="1000" b="0"/>
                      <a:t>46821</a:t>
                    </a:r>
                    <a:endParaRPr lang="en-US" altLang="en-US" sz="1000" b="0"/>
                  </a:p>
                </c:rich>
              </c:tx>
              <c:dLblPos val="bestFit"/>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lgn="ctr" rtl="0">
                      <a:defRPr lang="zh-CN" altLang="en-US" sz="1000" b="0" i="0" u="none" strike="noStrike" kern="1200" baseline="0">
                        <a:solidFill>
                          <a:sysClr val="windowText" lastClr="000000"/>
                        </a:solidFill>
                        <a:latin typeface="+mn-lt"/>
                        <a:ea typeface="+mn-ea"/>
                        <a:cs typeface="+mn-cs"/>
                      </a:defRPr>
                    </a:pPr>
                    <a:r>
                      <a:rPr lang="zh-CN" altLang="en-US"/>
                      <a:t>双台子区 </a:t>
                    </a:r>
                    <a:r>
                      <a:rPr altLang="en-US"/>
                      <a:t>23589</a:t>
                    </a:r>
                    <a:endParaRPr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altLang="en-US" sz="10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algn="ctr" rtl="0">
                      <a:defRPr lang="zh-CN" altLang="en-US" sz="1000" b="0" i="0" u="none" strike="noStrike" kern="1200" baseline="0">
                        <a:solidFill>
                          <a:sysClr val="windowText" lastClr="000000"/>
                        </a:solidFill>
                        <a:latin typeface="+mn-lt"/>
                        <a:ea typeface="+mn-ea"/>
                        <a:cs typeface="+mn-cs"/>
                      </a:defRPr>
                    </a:pPr>
                    <a:r>
                      <a:rPr lang="zh-CN" altLang="en-US"/>
                      <a:t>兴隆台区</a:t>
                    </a:r>
                    <a:endParaRPr lang="en-US" altLang="zh-CN"/>
                  </a:p>
                  <a:p>
                    <a:pPr algn="ctr" rtl="0">
                      <a:defRPr lang="zh-CN" altLang="en-US" sz="1000" b="0" i="0" u="none" strike="noStrike" kern="1200" baseline="0">
                        <a:solidFill>
                          <a:sysClr val="windowText" lastClr="000000"/>
                        </a:solidFill>
                        <a:latin typeface="+mn-lt"/>
                        <a:ea typeface="+mn-ea"/>
                        <a:cs typeface="+mn-cs"/>
                      </a:defRPr>
                    </a:pPr>
                    <a:r>
                      <a:rPr altLang="en-US"/>
                      <a:t>113930</a:t>
                    </a:r>
                    <a:endParaRPr altLang="en-US"/>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altLang="en-US" sz="10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algn="ctr" rtl="0">
                      <a:defRPr lang="zh-CN" altLang="en-US" sz="1000" b="0" i="0" u="none" strike="noStrike" kern="1200" baseline="0">
                        <a:solidFill>
                          <a:sysClr val="windowText" lastClr="000000"/>
                        </a:solidFill>
                        <a:latin typeface="+mn-lt"/>
                        <a:ea typeface="+mn-ea"/>
                        <a:cs typeface="+mn-cs"/>
                      </a:defRPr>
                    </a:pPr>
                    <a:r>
                      <a:rPr lang="zh-CN" altLang="en-US" sz="1000" b="0" i="0" u="none" strike="noStrike" kern="1200" baseline="0">
                        <a:solidFill>
                          <a:sysClr val="windowText" lastClr="000000"/>
                        </a:solidFill>
                        <a:latin typeface="+mn-lt"/>
                        <a:ea typeface="+mn-ea"/>
                        <a:cs typeface="+mn-cs"/>
                      </a:rPr>
                      <a:t>大洼区47796</a:t>
                    </a:r>
                    <a:endParaRPr lang="zh-CN" altLang="en-US" sz="1000" b="0" i="0" u="none" strike="noStrike" kern="1200" baseline="0">
                      <a:solidFill>
                        <a:sysClr val="windowText" lastClr="000000"/>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altLang="en-US" sz="1000" b="0"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lgn="ctr" rtl="0">
                      <a:defRPr lang="zh-CN" altLang="en-US" sz="1200" b="1" i="0" u="none" strike="noStrike" kern="1200" baseline="0">
                        <a:solidFill>
                          <a:sysClr val="windowText" lastClr="000000"/>
                        </a:solidFill>
                        <a:latin typeface="+mn-lt"/>
                        <a:ea typeface="+mn-ea"/>
                        <a:cs typeface="+mn-cs"/>
                      </a:defRPr>
                    </a:pPr>
                    <a:r>
                      <a:rPr lang="zh-CN" altLang="en-US" sz="1000" b="0" i="0" u="none" strike="noStrike" kern="1200" baseline="0">
                        <a:solidFill>
                          <a:sysClr val="windowText" lastClr="000000"/>
                        </a:solidFill>
                        <a:latin typeface="+mn-lt"/>
                        <a:ea typeface="+mn-ea"/>
                        <a:cs typeface="+mn-cs"/>
                      </a:rPr>
                      <a:t>辽滨经开区204670</a:t>
                    </a:r>
                    <a:endParaRPr lang="zh-CN" altLang="en-US" sz="1000" b="0" i="0" u="none" strike="noStrike" kern="1200" baseline="0">
                      <a:solidFill>
                        <a:sysClr val="windowText" lastClr="000000"/>
                      </a:solidFill>
                      <a:latin typeface="+mn-lt"/>
                      <a:ea typeface="+mn-ea"/>
                      <a:cs typeface="+mn-cs"/>
                    </a:endParaRPr>
                  </a:p>
                </c:rich>
              </c:tx>
              <c:numFmt formatCode="General" sourceLinked="1"/>
              <c:spPr>
                <a:noFill/>
                <a:ln>
                  <a:noFill/>
                </a:ln>
                <a:effectLst/>
              </c:spPr>
              <c:txPr>
                <a:bodyPr rot="0" spcFirstLastPara="0" vertOverflow="ellipsis" vert="horz" wrap="square" lIns="38100" tIns="19050" rIns="38100" bIns="19050" anchor="ctr" anchorCtr="1"/>
                <a:lstStyle/>
                <a:p>
                  <a:pPr algn="ctr">
                    <a:defRPr lang="zh-CN" altLang="en-US" sz="1200" b="1" i="0" u="none" strike="noStrike" kern="1200" baseline="0">
                      <a:solidFill>
                        <a:sysClr val="windowText" lastClr="0000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0.126966754155731"/>
                  <c:y val="0.0166783318751823"/>
                </c:manualLayout>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县区级</a:t>
                    </a:r>
                    <a:endParaRPr lang="en-US" altLang="zh-CN" sz="1200" b="1"/>
                  </a:p>
                  <a:p>
                    <a:pPr>
                      <a:defRPr lang="zh-CN" sz="1200" b="1" i="0" u="none" strike="noStrike" kern="1200" baseline="0">
                        <a:solidFill>
                          <a:schemeClr val="tx1"/>
                        </a:solidFill>
                        <a:latin typeface="+mn-lt"/>
                        <a:ea typeface="+mn-ea"/>
                        <a:cs typeface="+mn-cs"/>
                      </a:defRPr>
                    </a:pPr>
                    <a:r>
                      <a:rPr lang="en-US" altLang="en-US" sz="1200" b="1"/>
                      <a:t>65.1</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表一!$I$5:$I$10</c:f>
              <c:strCache>
                <c:ptCount val="6"/>
                <c:pt idx="0">
                  <c:v>  市本级</c:v>
                </c:pt>
                <c:pt idx="1">
                  <c:v>  盘山县</c:v>
                </c:pt>
                <c:pt idx="2">
                  <c:v>  双台子区</c:v>
                </c:pt>
                <c:pt idx="3">
                  <c:v>  兴隆台区</c:v>
                </c:pt>
                <c:pt idx="4">
                  <c:v>  大洼区</c:v>
                </c:pt>
                <c:pt idx="5">
                  <c:v>辽滨经开区</c:v>
                </c:pt>
              </c:strCache>
            </c:strRef>
          </c:cat>
          <c:val>
            <c:numRef>
              <c:f>表一!$J$5:$J$10</c:f>
              <c:numCache>
                <c:formatCode>General</c:formatCode>
                <c:ptCount val="6"/>
                <c:pt idx="0">
                  <c:v>234551</c:v>
                </c:pt>
                <c:pt idx="1">
                  <c:v>46821</c:v>
                </c:pt>
                <c:pt idx="2">
                  <c:v>23589</c:v>
                </c:pt>
                <c:pt idx="3">
                  <c:v>113930</c:v>
                </c:pt>
                <c:pt idx="4">
                  <c:v>47796</c:v>
                </c:pt>
                <c:pt idx="5">
                  <c:v>204670</c:v>
                </c:pt>
              </c:numCache>
            </c:numRef>
          </c:val>
        </c:ser>
        <c:dLbls>
          <c:showLegendKey val="0"/>
          <c:showVal val="1"/>
          <c:showCatName val="0"/>
          <c:showSerName val="0"/>
          <c:showPercent val="0"/>
          <c:showBubbleSize val="0"/>
          <c:showLeaderLines val="1"/>
        </c:dLbls>
        <c:gapWidth val="100"/>
        <c:splitType val="pos"/>
        <c:splitPos val="5"/>
        <c:secondPieSize val="85"/>
        <c:serLines/>
      </c:ofPieChart>
    </c:plotArea>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表一!$J$4</c:f>
              <c:strCache>
                <c:ptCount val="1"/>
                <c:pt idx="0">
                  <c:v>本  期</c:v>
                </c:pt>
              </c:strCache>
            </c:strRef>
          </c:tx>
          <c:invertIfNegative val="0"/>
          <c:dLbls>
            <c:delete val="1"/>
          </c:dLbls>
          <c:cat>
            <c:strRef>
              <c:f>表一!$I$5:$I$10</c:f>
              <c:strCache>
                <c:ptCount val="6"/>
                <c:pt idx="0">
                  <c:v>  市本级</c:v>
                </c:pt>
                <c:pt idx="1">
                  <c:v>  盘山县</c:v>
                </c:pt>
                <c:pt idx="2">
                  <c:v>  双台子区</c:v>
                </c:pt>
                <c:pt idx="3">
                  <c:v>  兴隆台区</c:v>
                </c:pt>
                <c:pt idx="4">
                  <c:v>  大洼区</c:v>
                </c:pt>
                <c:pt idx="5">
                  <c:v>辽滨经开区</c:v>
                </c:pt>
              </c:strCache>
            </c:strRef>
          </c:cat>
          <c:val>
            <c:numRef>
              <c:f>表一!$J$5:$J$10</c:f>
              <c:numCache>
                <c:formatCode>General</c:formatCode>
                <c:ptCount val="6"/>
                <c:pt idx="0">
                  <c:v>234551</c:v>
                </c:pt>
                <c:pt idx="1">
                  <c:v>46821</c:v>
                </c:pt>
                <c:pt idx="2">
                  <c:v>23589</c:v>
                </c:pt>
                <c:pt idx="3">
                  <c:v>113930</c:v>
                </c:pt>
                <c:pt idx="4">
                  <c:v>47796</c:v>
                </c:pt>
                <c:pt idx="5">
                  <c:v>204670</c:v>
                </c:pt>
              </c:numCache>
            </c:numRef>
          </c:val>
        </c:ser>
        <c:ser>
          <c:idx val="1"/>
          <c:order val="1"/>
          <c:tx>
            <c:strRef>
              <c:f>表一!$K$4</c:f>
              <c:strCache>
                <c:ptCount val="1"/>
                <c:pt idx="0">
                  <c:v>同  期</c:v>
                </c:pt>
              </c:strCache>
            </c:strRef>
          </c:tx>
          <c:invertIfNegative val="0"/>
          <c:dLbls>
            <c:delete val="1"/>
          </c:dLbls>
          <c:cat>
            <c:strRef>
              <c:f>表一!$I$5:$I$10</c:f>
              <c:strCache>
                <c:ptCount val="6"/>
                <c:pt idx="0">
                  <c:v>  市本级</c:v>
                </c:pt>
                <c:pt idx="1">
                  <c:v>  盘山县</c:v>
                </c:pt>
                <c:pt idx="2">
                  <c:v>  双台子区</c:v>
                </c:pt>
                <c:pt idx="3">
                  <c:v>  兴隆台区</c:v>
                </c:pt>
                <c:pt idx="4">
                  <c:v>  大洼区</c:v>
                </c:pt>
                <c:pt idx="5">
                  <c:v>辽滨经开区</c:v>
                </c:pt>
              </c:strCache>
            </c:strRef>
          </c:cat>
          <c:val>
            <c:numRef>
              <c:f>表一!$K$5:$K$10</c:f>
              <c:numCache>
                <c:formatCode>General</c:formatCode>
                <c:ptCount val="6"/>
                <c:pt idx="0">
                  <c:v>241589</c:v>
                </c:pt>
                <c:pt idx="1">
                  <c:v>41449</c:v>
                </c:pt>
                <c:pt idx="2">
                  <c:v>15859</c:v>
                </c:pt>
                <c:pt idx="3">
                  <c:v>96761</c:v>
                </c:pt>
                <c:pt idx="4">
                  <c:v>40994</c:v>
                </c:pt>
                <c:pt idx="5">
                  <c:v>246661</c:v>
                </c:pt>
              </c:numCache>
            </c:numRef>
          </c:val>
        </c:ser>
        <c:dLbls>
          <c:showLegendKey val="0"/>
          <c:showVal val="0"/>
          <c:showCatName val="0"/>
          <c:showSerName val="0"/>
          <c:showPercent val="0"/>
          <c:showBubbleSize val="0"/>
        </c:dLbls>
        <c:gapWidth val="150"/>
        <c:axId val="100016896"/>
        <c:axId val="100018432"/>
      </c:barChart>
      <c:catAx>
        <c:axId val="10001689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018432"/>
        <c:crosses val="autoZero"/>
        <c:auto val="1"/>
        <c:lblAlgn val="ctr"/>
        <c:lblOffset val="100"/>
        <c:noMultiLvlLbl val="0"/>
      </c:catAx>
      <c:valAx>
        <c:axId val="100018432"/>
        <c:scaling>
          <c:orientation val="minMax"/>
          <c:max val="250000"/>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0016896"/>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13037037037037"/>
          <c:y val="0.0440677966101695"/>
          <c:w val="0.968888888888889"/>
          <c:h val="0.942937853107345"/>
        </c:manualLayout>
      </c:layout>
      <c:pie3DChart>
        <c:varyColors val="1"/>
        <c:ser>
          <c:idx val="0"/>
          <c:order val="0"/>
          <c:explosion val="25"/>
          <c:dPt>
            <c:idx val="0"/>
            <c:bubble3D val="0"/>
          </c:dPt>
          <c:dPt>
            <c:idx val="1"/>
            <c:bubble3D val="0"/>
          </c:dPt>
          <c:dPt>
            <c:idx val="2"/>
            <c:bubble3D val="0"/>
          </c:dPt>
          <c:dLbls>
            <c:dLbl>
              <c:idx val="0"/>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第一产业</a:t>
                    </a:r>
                    <a:endParaRPr lang="en-US" altLang="zh-CN" sz="1200" b="1"/>
                  </a:p>
                  <a:p>
                    <a:pPr>
                      <a:defRPr lang="zh-CN" sz="1200" b="1" i="0" u="none" strike="noStrike" kern="1200" baseline="0">
                        <a:solidFill>
                          <a:schemeClr val="tx1"/>
                        </a:solidFill>
                        <a:latin typeface="+mn-lt"/>
                        <a:ea typeface="+mn-ea"/>
                        <a:cs typeface="+mn-cs"/>
                      </a:defRPr>
                    </a:pPr>
                    <a:r>
                      <a:rPr lang="en-US" altLang="en-US" sz="1200" b="1"/>
                      <a:t>0.2</a:t>
                    </a:r>
                    <a:r>
                      <a:rPr lang="en-US" altLang="zh-CN" sz="1200" b="1"/>
                      <a:t>%</a:t>
                    </a:r>
                    <a:r>
                      <a:rPr lang="en-US" altLang="en-US" sz="1200" b="1"/>
                      <a:t> </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248149934383202"/>
                  <c:y val="-0.183464566929134"/>
                </c:manualLayout>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第二产业</a:t>
                    </a:r>
                    <a:endParaRPr lang="en-US" altLang="zh-CN" sz="1200" b="1"/>
                  </a:p>
                  <a:p>
                    <a:pPr>
                      <a:defRPr lang="zh-CN" sz="1200" b="1" i="0" u="none" strike="noStrike" kern="1200" baseline="0">
                        <a:solidFill>
                          <a:schemeClr val="tx1"/>
                        </a:solidFill>
                        <a:latin typeface="+mn-lt"/>
                        <a:ea typeface="+mn-ea"/>
                        <a:cs typeface="+mn-cs"/>
                      </a:defRPr>
                    </a:pPr>
                    <a:r>
                      <a:rPr lang="en-US" altLang="en-US" sz="1200" b="1"/>
                      <a:t>69.1</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r>
                      <a:rPr lang="zh-CN" altLang="en-US" sz="1200" b="1"/>
                      <a:t>第三产业</a:t>
                    </a:r>
                    <a:endParaRPr lang="en-US" altLang="zh-CN" sz="1200" b="1"/>
                  </a:p>
                  <a:p>
                    <a:pPr>
                      <a:defRPr lang="zh-CN" sz="1200" b="1" i="0" u="none" strike="noStrike" kern="1200" baseline="0">
                        <a:solidFill>
                          <a:schemeClr val="tx1"/>
                        </a:solidFill>
                        <a:latin typeface="+mn-lt"/>
                        <a:ea typeface="+mn-ea"/>
                        <a:cs typeface="+mn-cs"/>
                      </a:defRPr>
                    </a:pPr>
                    <a:r>
                      <a:rPr lang="en-US" altLang="en-US" sz="1200" b="1"/>
                      <a:t>30.7</a:t>
                    </a:r>
                    <a:r>
                      <a:rPr lang="en-US" altLang="zh-CN" sz="1200" b="1"/>
                      <a:t>%</a:t>
                    </a:r>
                    <a:endParaRPr lang="en-US" altLang="en-US" sz="1200" b="1"/>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对比!$I$4:$I$6</c:f>
              <c:strCache>
                <c:ptCount val="3"/>
                <c:pt idx="0">
                  <c:v>第一产业</c:v>
                </c:pt>
                <c:pt idx="1">
                  <c:v>第二产业</c:v>
                </c:pt>
                <c:pt idx="2">
                  <c:v>第三产业</c:v>
                </c:pt>
              </c:strCache>
            </c:strRef>
          </c:cat>
          <c:val>
            <c:numRef>
              <c:f>对比!$J$4:$J$6</c:f>
              <c:numCache>
                <c:formatCode>#,##0_ </c:formatCode>
                <c:ptCount val="3"/>
                <c:pt idx="0">
                  <c:v>746.856097757485</c:v>
                </c:pt>
                <c:pt idx="1">
                  <c:v>343944.061278542</c:v>
                </c:pt>
                <c:pt idx="2">
                  <c:v>152950.539185092</c:v>
                </c:pt>
              </c:numCache>
            </c:numRef>
          </c:val>
        </c:ser>
        <c:dLbls>
          <c:showLegendKey val="0"/>
          <c:showVal val="1"/>
          <c:showCatName val="0"/>
          <c:showSerName val="0"/>
          <c:showPercent val="0"/>
          <c:showBubbleSize val="0"/>
        </c:dLbls>
      </c:pie3DChart>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
          <c:y val="0.0115740740740741"/>
          <c:w val="1"/>
          <c:h val="0.967592592592593"/>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石油和天然气开采业</a:t>
                    </a:r>
                    <a:endParaRPr lang="en-US" altLang="zh-CN" sz="1100" b="1"/>
                  </a:p>
                  <a:p>
                    <a:pPr>
                      <a:defRPr lang="zh-CN" sz="1100" b="1" i="0" u="none" strike="noStrike" kern="1200" baseline="0">
                        <a:solidFill>
                          <a:schemeClr val="tx1"/>
                        </a:solidFill>
                        <a:latin typeface="+mn-lt"/>
                        <a:ea typeface="+mn-ea"/>
                        <a:cs typeface="+mn-cs"/>
                      </a:defRPr>
                    </a:pPr>
                    <a:r>
                      <a:rPr lang="en-US" altLang="en-US" sz="1100" b="1"/>
                      <a:t>19.1</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00328133888206941"/>
                  <c:y val="0.0651842652160593"/>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开采专业及辅助性活动</a:t>
                    </a:r>
                    <a:endParaRPr lang="en-US" altLang="zh-CN" sz="1100" b="1"/>
                  </a:p>
                  <a:p>
                    <a:pPr>
                      <a:defRPr lang="zh-CN" sz="1100" b="1" i="0" u="none" strike="noStrike" kern="1200" baseline="0">
                        <a:solidFill>
                          <a:schemeClr val="tx1"/>
                        </a:solidFill>
                        <a:latin typeface="+mn-lt"/>
                        <a:ea typeface="+mn-ea"/>
                        <a:cs typeface="+mn-cs"/>
                      </a:defRPr>
                    </a:pPr>
                    <a:r>
                      <a:rPr lang="en-US" altLang="en-US" sz="1100" b="1"/>
                      <a:t>4.3</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5399239543726"/>
                  <c:y val="-0.187804300487676"/>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石油、煤炭及其他燃料加工业</a:t>
                    </a:r>
                    <a:endParaRPr lang="en-US" altLang="zh-CN" sz="1100" b="1"/>
                  </a:p>
                  <a:p>
                    <a:pPr>
                      <a:defRPr lang="zh-CN" sz="1100" b="1" i="0" u="none" strike="noStrike" kern="1200" baseline="0">
                        <a:solidFill>
                          <a:schemeClr val="tx1"/>
                        </a:solidFill>
                        <a:latin typeface="+mn-lt"/>
                        <a:ea typeface="+mn-ea"/>
                        <a:cs typeface="+mn-cs"/>
                      </a:defRPr>
                    </a:pPr>
                    <a:r>
                      <a:rPr lang="en-US" altLang="en-US" sz="1100" b="1"/>
                      <a:t>22.2</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989501312335958"/>
                  <c:y val="-0.159137584142676"/>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化学原料和化学制品制造业</a:t>
                    </a:r>
                    <a:endParaRPr lang="en-US" altLang="zh-CN" sz="1100" b="1"/>
                  </a:p>
                  <a:p>
                    <a:pPr>
                      <a:defRPr lang="zh-CN" sz="1100" b="1" i="0" u="none" strike="noStrike" kern="1200" baseline="0">
                        <a:solidFill>
                          <a:schemeClr val="tx1"/>
                        </a:solidFill>
                        <a:latin typeface="+mn-lt"/>
                        <a:ea typeface="+mn-ea"/>
                        <a:cs typeface="+mn-cs"/>
                      </a:defRPr>
                    </a:pPr>
                    <a:r>
                      <a:rPr lang="en-US" altLang="en-US" sz="1100" b="1"/>
                      <a:t>6.7</a:t>
                    </a:r>
                    <a:r>
                      <a:rPr lang="en-US" altLang="zh-CN" sz="1100" b="1"/>
                      <a:t>%</a:t>
                    </a:r>
                    <a:r>
                      <a:rPr lang="en-US" altLang="en-US" sz="1100" b="1"/>
                      <a:t> </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建筑业</a:t>
                    </a:r>
                    <a:endParaRPr lang="en-US" altLang="zh-CN" sz="1100" b="1"/>
                  </a:p>
                  <a:p>
                    <a:pPr>
                      <a:defRPr lang="zh-CN" sz="1100" b="1" i="0" u="none" strike="noStrike" kern="1200" baseline="0">
                        <a:solidFill>
                          <a:schemeClr val="tx1"/>
                        </a:solidFill>
                        <a:latin typeface="+mn-lt"/>
                        <a:ea typeface="+mn-ea"/>
                        <a:cs typeface="+mn-cs"/>
                      </a:defRPr>
                    </a:pPr>
                    <a:r>
                      <a:rPr lang="en-US" altLang="en-US" sz="1100" b="1"/>
                      <a:t>6.2</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批发零售业</a:t>
                    </a:r>
                    <a:endParaRPr lang="en-US" altLang="zh-CN" sz="1100" b="1"/>
                  </a:p>
                  <a:p>
                    <a:pPr>
                      <a:defRPr lang="zh-CN" sz="1100" b="1" i="0" u="none" strike="noStrike" kern="1200" baseline="0">
                        <a:solidFill>
                          <a:schemeClr val="tx1"/>
                        </a:solidFill>
                        <a:latin typeface="+mn-lt"/>
                        <a:ea typeface="+mn-ea"/>
                        <a:cs typeface="+mn-cs"/>
                      </a:defRPr>
                    </a:pPr>
                    <a:r>
                      <a:rPr lang="en-US" altLang="en-US" sz="1100" b="1"/>
                      <a:t>8.9</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0.0192332564893267"/>
                  <c:y val="-0.1620954320773"/>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金融业 </a:t>
                    </a:r>
                    <a:r>
                      <a:rPr lang="en-US" altLang="zh-CN" sz="1100" b="1"/>
                      <a:t>4.5%</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房地产业 </a:t>
                    </a:r>
                    <a:r>
                      <a:rPr lang="en-US" altLang="zh-CN" sz="1100" b="1"/>
                      <a:t>9.6%</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dLbl>
              <c:idx val="8"/>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其他行业</a:t>
                    </a:r>
                    <a:r>
                      <a:rPr lang="en-US" altLang="zh-CN" sz="1100" b="1"/>
                      <a:t>18.6%</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对比!$B$51:$B$59</c:f>
              <c:strCache>
                <c:ptCount val="9"/>
                <c:pt idx="0">
                  <c:v>石油和天然气开采业  </c:v>
                </c:pt>
                <c:pt idx="1">
                  <c:v>开采专业及辅助性活动</c:v>
                </c:pt>
                <c:pt idx="2">
                  <c:v>石油、煤炭及其他燃料加工业</c:v>
                </c:pt>
                <c:pt idx="3">
                  <c:v>化学原料和化学制品制造业</c:v>
                </c:pt>
                <c:pt idx="4">
                  <c:v>建筑业</c:v>
                </c:pt>
                <c:pt idx="5">
                  <c:v>批发和零售业</c:v>
                </c:pt>
                <c:pt idx="6">
                  <c:v>金融业</c:v>
                </c:pt>
                <c:pt idx="7">
                  <c:v>房地产业</c:v>
                </c:pt>
                <c:pt idx="8">
                  <c:v>其他行业</c:v>
                </c:pt>
              </c:strCache>
            </c:strRef>
          </c:cat>
          <c:val>
            <c:numRef>
              <c:f>对比!$C$51:$C$59</c:f>
              <c:numCache>
                <c:formatCode>0_ </c:formatCode>
                <c:ptCount val="9"/>
                <c:pt idx="0">
                  <c:v>95208.4829672713</c:v>
                </c:pt>
                <c:pt idx="1">
                  <c:v>21389.1872882059</c:v>
                </c:pt>
                <c:pt idx="2">
                  <c:v>110303.627084743</c:v>
                </c:pt>
                <c:pt idx="3">
                  <c:v>33094.4905059141</c:v>
                </c:pt>
                <c:pt idx="4">
                  <c:v>30754.5052242128</c:v>
                </c:pt>
                <c:pt idx="5">
                  <c:v>44484.9340492047</c:v>
                </c:pt>
                <c:pt idx="6">
                  <c:v>22459.2122454268</c:v>
                </c:pt>
                <c:pt idx="7">
                  <c:v>47564.252744407</c:v>
                </c:pt>
                <c:pt idx="8" c:formatCode="#,##0_ ">
                  <c:v>92382</c:v>
                </c:pt>
              </c:numCache>
            </c:numRef>
          </c:val>
        </c:ser>
        <c:dLbls>
          <c:showLegendKey val="0"/>
          <c:showVal val="1"/>
          <c:showCatName val="0"/>
          <c:showSerName val="0"/>
          <c:showPercent val="0"/>
          <c:showBubbleSize val="0"/>
        </c:dLbls>
      </c:pie3DChart>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130656030807317"/>
          <c:y val="0.0185323848745788"/>
          <c:w val="0.981158025030945"/>
          <c:h val="0.966304754773493"/>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Lbls>
            <c:dLbl>
              <c:idx val="0"/>
              <c:layout>
                <c:manualLayout>
                  <c:x val="-0.207444006999125"/>
                  <c:y val="0.014718212306795"/>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增值税</a:t>
                    </a:r>
                    <a:endParaRPr lang="en-US" altLang="zh-CN" sz="1100" b="1"/>
                  </a:p>
                  <a:p>
                    <a:pPr>
                      <a:defRPr lang="zh-CN" sz="1100" b="1" i="0" u="none" strike="noStrike" kern="1200" baseline="0">
                        <a:solidFill>
                          <a:schemeClr val="tx1"/>
                        </a:solidFill>
                        <a:latin typeface="+mn-lt"/>
                        <a:ea typeface="+mn-ea"/>
                        <a:cs typeface="+mn-cs"/>
                      </a:defRPr>
                    </a:pPr>
                    <a:r>
                      <a:rPr lang="en-US" altLang="en-US" sz="1100" b="1"/>
                      <a:t>46.8</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75874890638671"/>
                  <c:y val="-0.0103164187809857"/>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车船税 </a:t>
                    </a:r>
                    <a:r>
                      <a:rPr lang="en-US" altLang="zh-CN" sz="1100" b="1"/>
                      <a:t>1.5%</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3118985126859"/>
                  <c:y val="-0.239791484397784"/>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企业所得税</a:t>
                    </a:r>
                    <a:endParaRPr lang="en-US" altLang="zh-CN" sz="1100" b="1"/>
                  </a:p>
                  <a:p>
                    <a:pPr>
                      <a:defRPr lang="zh-CN" sz="1100" b="1" i="0" u="none" strike="noStrike" kern="1200" baseline="0">
                        <a:solidFill>
                          <a:schemeClr val="tx1"/>
                        </a:solidFill>
                        <a:latin typeface="+mn-lt"/>
                        <a:ea typeface="+mn-ea"/>
                        <a:cs typeface="+mn-cs"/>
                      </a:defRPr>
                    </a:pPr>
                    <a:r>
                      <a:rPr lang="en-US" altLang="en-US" sz="1100" b="1"/>
                      <a:t>7.2</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78004155730534"/>
                  <c:y val="-0.0218292505103529"/>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个人所得税</a:t>
                    </a:r>
                    <a:endParaRPr lang="en-US" altLang="zh-CN" sz="1100" b="1"/>
                  </a:p>
                  <a:p>
                    <a:pPr>
                      <a:defRPr lang="zh-CN" sz="1100" b="1" i="0" u="none" strike="noStrike" kern="1200" baseline="0">
                        <a:solidFill>
                          <a:schemeClr val="tx1"/>
                        </a:solidFill>
                        <a:latin typeface="+mn-lt"/>
                        <a:ea typeface="+mn-ea"/>
                        <a:cs typeface="+mn-cs"/>
                      </a:defRPr>
                    </a:pPr>
                    <a:r>
                      <a:rPr lang="en-US" altLang="en-US" sz="1100" b="1"/>
                      <a:t>2.3</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32252843394577"/>
                  <c:y val="-0.164370443277924"/>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资源税</a:t>
                    </a:r>
                    <a:endParaRPr lang="en-US" altLang="zh-CN" sz="1100" b="1"/>
                  </a:p>
                  <a:p>
                    <a:pPr>
                      <a:defRPr lang="zh-CN" sz="1100" b="1" i="0" u="none" strike="noStrike" kern="1200" baseline="0">
                        <a:solidFill>
                          <a:schemeClr val="tx1"/>
                        </a:solidFill>
                        <a:latin typeface="+mn-lt"/>
                        <a:ea typeface="+mn-ea"/>
                        <a:cs typeface="+mn-cs"/>
                      </a:defRPr>
                    </a:pPr>
                    <a:r>
                      <a:rPr lang="en-US" altLang="en-US" sz="1100" b="1"/>
                      <a:t>7.0</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28957786526684"/>
                  <c:y val="-0.13091899970837"/>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城市维护</a:t>
                    </a:r>
                    <a:endParaRPr lang="en-US" altLang="zh-CN" sz="1100" b="1"/>
                  </a:p>
                  <a:p>
                    <a:pPr>
                      <a:defRPr lang="zh-CN" sz="1100" b="1" i="0" u="none" strike="noStrike" kern="1200" baseline="0">
                        <a:solidFill>
                          <a:schemeClr val="tx1"/>
                        </a:solidFill>
                        <a:latin typeface="+mn-lt"/>
                        <a:ea typeface="+mn-ea"/>
                        <a:cs typeface="+mn-cs"/>
                      </a:defRPr>
                    </a:pPr>
                    <a:r>
                      <a:rPr lang="zh-CN" altLang="en-US" sz="1100" b="1"/>
                      <a:t>建设税  </a:t>
                    </a:r>
                    <a:r>
                      <a:rPr lang="en-US" altLang="zh-CN" sz="1100" b="1"/>
                      <a:t>8.3%</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06944444444444"/>
                  <c:y val="-0.137973899095946"/>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a:t>印花税 </a:t>
                    </a:r>
                    <a:r>
                      <a:rPr lang="en-US" altLang="zh-CN"/>
                      <a:t>3.2%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30078393618484"/>
                  <c:y val="-0.0921003369524523"/>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a:t>环保和其他税收 </a:t>
                    </a:r>
                    <a:r>
                      <a:rPr lang="en-US" altLang="zh-CN"/>
                      <a:t>0.2%</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83566491688539"/>
                  <c:y val="0.0278481335666375"/>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土地和房地产相关税收</a:t>
                    </a:r>
                    <a:endParaRPr lang="en-US" altLang="zh-CN" sz="1100" b="1"/>
                  </a:p>
                  <a:p>
                    <a:pPr>
                      <a:defRPr lang="zh-CN" sz="1100" b="1" i="0" u="none" strike="noStrike" kern="1200" baseline="0">
                        <a:solidFill>
                          <a:schemeClr val="tx1"/>
                        </a:solidFill>
                        <a:latin typeface="+mn-lt"/>
                        <a:ea typeface="+mn-ea"/>
                        <a:cs typeface="+mn-cs"/>
                      </a:defRPr>
                    </a:pPr>
                    <a:r>
                      <a:rPr lang="en-US" altLang="en-US" sz="1100" b="1"/>
                      <a:t>23.5</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一般公共!$A$59:$A$67</c:f>
              <c:strCache>
                <c:ptCount val="9"/>
                <c:pt idx="0">
                  <c:v>增值税</c:v>
                </c:pt>
                <c:pt idx="1">
                  <c:v>车船税</c:v>
                </c:pt>
                <c:pt idx="2">
                  <c:v>企业所得税</c:v>
                </c:pt>
                <c:pt idx="3">
                  <c:v>个人所得税</c:v>
                </c:pt>
                <c:pt idx="4">
                  <c:v>资源税</c:v>
                </c:pt>
                <c:pt idx="5">
                  <c:v>城市维护建设税</c:v>
                </c:pt>
                <c:pt idx="6">
                  <c:v>印花税</c:v>
                </c:pt>
                <c:pt idx="7">
                  <c:v>环保和其他税收</c:v>
                </c:pt>
                <c:pt idx="8">
                  <c:v>土地和房地产相关税收</c:v>
                </c:pt>
              </c:strCache>
            </c:strRef>
          </c:cat>
          <c:val>
            <c:numRef>
              <c:f>一般公共!$B$59:$B$67</c:f>
              <c:numCache>
                <c:formatCode>General</c:formatCode>
                <c:ptCount val="9"/>
                <c:pt idx="0">
                  <c:v>232858</c:v>
                </c:pt>
                <c:pt idx="1">
                  <c:v>7280</c:v>
                </c:pt>
                <c:pt idx="2">
                  <c:v>35615</c:v>
                </c:pt>
                <c:pt idx="3">
                  <c:v>11694</c:v>
                </c:pt>
                <c:pt idx="4">
                  <c:v>34848</c:v>
                </c:pt>
                <c:pt idx="5">
                  <c:v>41482</c:v>
                </c:pt>
                <c:pt idx="6">
                  <c:v>16101</c:v>
                </c:pt>
                <c:pt idx="7">
                  <c:v>898</c:v>
                </c:pt>
                <c:pt idx="8">
                  <c:v>116865</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208333333333334"/>
          <c:y val="0.0763888888888889"/>
          <c:w val="0.931944444444446"/>
          <c:h val="0.893518518518519"/>
        </c:manualLayout>
      </c:layout>
      <c:pie3DChart>
        <c:varyColors val="1"/>
        <c:ser>
          <c:idx val="0"/>
          <c:order val="0"/>
          <c:explosion val="25"/>
          <c:dPt>
            <c:idx val="0"/>
            <c:bubble3D val="0"/>
          </c:dPt>
          <c:dPt>
            <c:idx val="1"/>
            <c:bubble3D val="0"/>
          </c:dPt>
          <c:dPt>
            <c:idx val="2"/>
            <c:bubble3D val="0"/>
          </c:dPt>
          <c:dPt>
            <c:idx val="3"/>
            <c:bubble3D val="0"/>
          </c:dPt>
          <c:dPt>
            <c:idx val="4"/>
            <c:bubble3D val="0"/>
          </c:dPt>
          <c:dPt>
            <c:idx val="5"/>
            <c:bubble3D val="0"/>
          </c:dPt>
          <c:dLbls>
            <c:dLbl>
              <c:idx val="0"/>
              <c:layout>
                <c:manualLayout>
                  <c:x val="-0.0884503499562558"/>
                  <c:y val="0.0996256197142027"/>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a:t>专项</a:t>
                    </a:r>
                    <a:endParaRPr lang="en-US" altLang="zh-CN"/>
                  </a:p>
                  <a:p>
                    <a:pPr>
                      <a:defRPr lang="zh-CN" sz="1100" b="1" i="0" u="none" strike="noStrike" kern="1200" baseline="0">
                        <a:solidFill>
                          <a:schemeClr val="tx1"/>
                        </a:solidFill>
                        <a:latin typeface="+mn-lt"/>
                        <a:ea typeface="+mn-ea"/>
                        <a:cs typeface="+mn-cs"/>
                      </a:defRPr>
                    </a:pPr>
                    <a:r>
                      <a:rPr lang="en-US" altLang="en-US"/>
                      <a:t>20.2</a:t>
                    </a:r>
                    <a:r>
                      <a:rPr lang="en-US" altLang="zh-CN"/>
                      <a:t>%</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826334208224"/>
                  <c:y val="0.00651538349372997"/>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a:t>行政事业性收费  </a:t>
                    </a:r>
                    <a:r>
                      <a:rPr lang="en-US" altLang="zh-CN" sz="1100"/>
                      <a:t>6.7%</a:t>
                    </a:r>
                    <a:endParaRPr lang="en-US" altLang="en-US" sz="11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6268153980752"/>
                  <c:y val="-0.316039661708954"/>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b="1"/>
                      <a:t>罚没收入</a:t>
                    </a:r>
                    <a:endParaRPr lang="en-US" altLang="zh-CN" sz="1100" b="1"/>
                  </a:p>
                  <a:p>
                    <a:pPr>
                      <a:defRPr lang="zh-CN" sz="1100" b="1" i="0" u="none" strike="noStrike" kern="1200" baseline="0">
                        <a:solidFill>
                          <a:schemeClr val="tx1"/>
                        </a:solidFill>
                        <a:latin typeface="+mn-lt"/>
                        <a:ea typeface="+mn-ea"/>
                        <a:cs typeface="+mn-cs"/>
                      </a:defRPr>
                    </a:pPr>
                    <a:r>
                      <a:rPr lang="en-US" altLang="en-US" sz="1100" b="1"/>
                      <a:t>55.1</a:t>
                    </a:r>
                    <a:r>
                      <a:rPr lang="en-US" altLang="zh-CN" sz="1100" b="1"/>
                      <a:t>%</a:t>
                    </a:r>
                    <a:endParaRPr lang="en-US" altLang="en-US" sz="1100"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73021653543308"/>
                  <c:y val="0.00694444444444446"/>
                </c:manualLayout>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sz="1100"/>
                      <a:t>国有资源有偿使用</a:t>
                    </a:r>
                    <a:endParaRPr lang="en-US" altLang="zh-CN" sz="1100"/>
                  </a:p>
                  <a:p>
                    <a:pPr>
                      <a:defRPr lang="zh-CN" sz="1100" b="1" i="0" u="none" strike="noStrike" kern="1200" baseline="0">
                        <a:solidFill>
                          <a:schemeClr val="tx1"/>
                        </a:solidFill>
                        <a:latin typeface="+mn-lt"/>
                        <a:ea typeface="+mn-ea"/>
                        <a:cs typeface="+mn-cs"/>
                      </a:defRPr>
                    </a:pPr>
                    <a:r>
                      <a:rPr lang="en-US" altLang="en-US" sz="1100"/>
                      <a:t>8.0</a:t>
                    </a:r>
                    <a:r>
                      <a:rPr lang="en-US" altLang="zh-CN" sz="1100"/>
                      <a:t>%</a:t>
                    </a:r>
                    <a:endParaRPr lang="en-US" altLang="en-US" sz="1100"/>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a:t>政府住房</a:t>
                    </a:r>
                    <a:endParaRPr lang="en-US" altLang="zh-CN"/>
                  </a:p>
                  <a:p>
                    <a:pPr>
                      <a:defRPr lang="zh-CN" sz="1100" b="1" i="0" u="none" strike="noStrike" kern="1200" baseline="0">
                        <a:solidFill>
                          <a:schemeClr val="tx1"/>
                        </a:solidFill>
                        <a:latin typeface="+mn-lt"/>
                        <a:ea typeface="+mn-ea"/>
                        <a:cs typeface="+mn-cs"/>
                      </a:defRPr>
                    </a:pPr>
                    <a:r>
                      <a:rPr lang="zh-CN" altLang="en-US"/>
                      <a:t>基金 </a:t>
                    </a:r>
                    <a:r>
                      <a:rPr lang="en-US" altLang="zh-CN"/>
                      <a:t>9.9%</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dLbl>
              <c:idx val="5"/>
              <c:layout/>
              <c:tx>
                <c:rich>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r>
                      <a:rPr lang="zh-CN" altLang="en-US"/>
                      <a:t>其他 </a:t>
                    </a:r>
                    <a:r>
                      <a:rPr lang="en-US" altLang="zh-CN"/>
                      <a:t>0.05%</a:t>
                    </a:r>
                    <a:endParaRPr lang="en-US" altLang="en-US"/>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1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一般公共!$A$47:$A$52</c:f>
              <c:strCache>
                <c:ptCount val="6"/>
                <c:pt idx="0">
                  <c:v>专项收入</c:v>
                </c:pt>
                <c:pt idx="1">
                  <c:v>行政事业性收费收入</c:v>
                </c:pt>
                <c:pt idx="2">
                  <c:v>罚没收入</c:v>
                </c:pt>
                <c:pt idx="3">
                  <c:v>国有资源有偿使用</c:v>
                </c:pt>
                <c:pt idx="4">
                  <c:v>政府住房基金收入</c:v>
                </c:pt>
                <c:pt idx="5">
                  <c:v>其他收入</c:v>
                </c:pt>
              </c:strCache>
            </c:strRef>
          </c:cat>
          <c:val>
            <c:numRef>
              <c:f>一般公共!$B$47:$B$52</c:f>
              <c:numCache>
                <c:formatCode>General</c:formatCode>
                <c:ptCount val="6"/>
                <c:pt idx="0">
                  <c:v>35134</c:v>
                </c:pt>
                <c:pt idx="1">
                  <c:v>11655</c:v>
                </c:pt>
                <c:pt idx="2">
                  <c:v>95767</c:v>
                </c:pt>
                <c:pt idx="3">
                  <c:v>13860</c:v>
                </c:pt>
                <c:pt idx="4">
                  <c:v>17210</c:v>
                </c:pt>
                <c:pt idx="5">
                  <c:v>90</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111111111111111"/>
          <c:y val="0.0462962962962963"/>
          <c:w val="0.975000000000001"/>
          <c:h val="0.935185185185185"/>
        </c:manualLayout>
      </c:layout>
      <c:pie3DChart>
        <c:varyColors val="1"/>
        <c:ser>
          <c:idx val="0"/>
          <c:order val="0"/>
          <c:explosion val="25"/>
          <c:dPt>
            <c:idx val="0"/>
            <c:bubble3D val="0"/>
          </c:dPt>
          <c:dPt>
            <c:idx val="1"/>
            <c:bubble3D val="0"/>
          </c:dPt>
          <c:dPt>
            <c:idx val="2"/>
            <c:bubble3D val="0"/>
          </c:dPt>
          <c:dPt>
            <c:idx val="3"/>
            <c:bubble3D val="0"/>
          </c:dPt>
          <c:dLbls>
            <c:dLbl>
              <c:idx val="0"/>
              <c:layout>
                <c:manualLayout>
                  <c:x val="-0.268958333333333"/>
                  <c:y val="-0.18375510352872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国有土地使用权出让收入</a:t>
                    </a:r>
                    <a:endParaRPr lang="en-US" altLang="zh-CN" b="1"/>
                  </a:p>
                  <a:p>
                    <a:pPr>
                      <a:defRPr lang="zh-CN" sz="1000" b="1" i="0" u="none" strike="noStrike" kern="1200" baseline="0">
                        <a:solidFill>
                          <a:schemeClr val="tx1"/>
                        </a:solidFill>
                        <a:latin typeface="+mn-lt"/>
                        <a:ea typeface="+mn-ea"/>
                        <a:cs typeface="+mn-cs"/>
                      </a:defRPr>
                    </a:pPr>
                    <a:r>
                      <a:rPr lang="en-US" altLang="en-US" b="1"/>
                      <a:t>67.9</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52777777777778"/>
                  <c:y val="-0.133680008748906"/>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彩票公益金</a:t>
                    </a:r>
                    <a:endParaRPr lang="en-US" altLang="zh-CN" b="1"/>
                  </a:p>
                  <a:p>
                    <a:pPr>
                      <a:defRPr lang="zh-CN" sz="1000" b="1" i="0" u="none" strike="noStrike" kern="1200" baseline="0">
                        <a:solidFill>
                          <a:schemeClr val="tx1"/>
                        </a:solidFill>
                        <a:latin typeface="+mn-lt"/>
                        <a:ea typeface="+mn-ea"/>
                        <a:cs typeface="+mn-cs"/>
                      </a:defRPr>
                    </a:pPr>
                    <a:r>
                      <a:rPr lang="zh-CN" altLang="en-US" b="1"/>
                      <a:t>收入  </a:t>
                    </a:r>
                    <a:r>
                      <a:rPr lang="en-US" altLang="zh-CN" b="1"/>
                      <a:t>10.7%</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污水处理费</a:t>
                    </a:r>
                    <a:endParaRPr lang="en-US" altLang="zh-CN" b="1"/>
                  </a:p>
                  <a:p>
                    <a:pPr>
                      <a:defRPr lang="zh-CN" sz="1000" b="1" i="0" u="none" strike="noStrike" kern="1200" baseline="0">
                        <a:solidFill>
                          <a:schemeClr val="tx1"/>
                        </a:solidFill>
                        <a:latin typeface="+mn-lt"/>
                        <a:ea typeface="+mn-ea"/>
                        <a:cs typeface="+mn-cs"/>
                      </a:defRPr>
                    </a:pPr>
                    <a:r>
                      <a:rPr lang="zh-CN" altLang="en-US" b="1"/>
                      <a:t>收入 </a:t>
                    </a:r>
                    <a:r>
                      <a:rPr lang="en-US" altLang="zh-CN" b="1"/>
                      <a:t>19.5%</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0.115720909886264"/>
                  <c:y val="0.00578703703703704"/>
                </c:manualLayout>
              </c:layout>
              <c:tx>
                <c:rich>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r>
                      <a:rPr lang="zh-CN" altLang="en-US" b="1"/>
                      <a:t>彩票发行机构和彩票销售机构的业务费用</a:t>
                    </a:r>
                    <a:endParaRPr lang="en-US" altLang="zh-CN" b="1"/>
                  </a:p>
                  <a:p>
                    <a:pPr>
                      <a:defRPr lang="zh-CN" sz="1000" b="1" i="0" u="none" strike="noStrike" kern="1200" baseline="0">
                        <a:solidFill>
                          <a:schemeClr val="tx1"/>
                        </a:solidFill>
                        <a:latin typeface="+mn-lt"/>
                        <a:ea typeface="+mn-ea"/>
                        <a:cs typeface="+mn-cs"/>
                      </a:defRPr>
                    </a:pPr>
                    <a:r>
                      <a:rPr lang="en-US" altLang="en-US" b="1"/>
                      <a:t>1.9</a:t>
                    </a:r>
                    <a:r>
                      <a:rPr lang="en-US" altLang="zh-CN" b="1"/>
                      <a:t>%</a:t>
                    </a:r>
                    <a:endParaRPr lang="en-US" altLang="en-US" b="1"/>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1"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基收入!$I$5:$I$8</c:f>
              <c:strCache>
                <c:ptCount val="4"/>
                <c:pt idx="0">
                  <c:v>国有土地使用权出让收入</c:v>
                </c:pt>
                <c:pt idx="1">
                  <c:v>彩票公益金收入</c:v>
                </c:pt>
                <c:pt idx="2">
                  <c:v>污水处理费收入</c:v>
                </c:pt>
                <c:pt idx="3">
                  <c:v>彩票发行机构和彩票销售机构的业务费用</c:v>
                </c:pt>
              </c:strCache>
            </c:strRef>
          </c:cat>
          <c:val>
            <c:numRef>
              <c:f>基收入!$J$5:$J$8</c:f>
              <c:numCache>
                <c:formatCode>General</c:formatCode>
                <c:ptCount val="4"/>
                <c:pt idx="0">
                  <c:v>12908</c:v>
                </c:pt>
                <c:pt idx="1">
                  <c:v>2040</c:v>
                </c:pt>
                <c:pt idx="2">
                  <c:v>3700</c:v>
                </c:pt>
                <c:pt idx="3">
                  <c:v>368</c:v>
                </c:pt>
              </c:numCache>
            </c:numRef>
          </c:val>
        </c:ser>
        <c:dLbls>
          <c:showLegendKey val="0"/>
          <c:showVal val="1"/>
          <c:showCatName val="0"/>
          <c:showSerName val="0"/>
          <c:showPercent val="0"/>
          <c:showBubbleSize val="0"/>
        </c:dLbls>
      </c:pie3DChart>
    </c:plotArea>
    <c:plotVisOnly val="1"/>
    <c:dispBlanksAs val="zero"/>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040B-6F94-4CED-BA0F-8BF96880EB3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6568</Words>
  <Characters>8786</Characters>
  <Lines>28</Lines>
  <Paragraphs>19</Paragraphs>
  <TotalTime>7</TotalTime>
  <ScaleCrop>false</ScaleCrop>
  <LinksUpToDate>false</LinksUpToDate>
  <CharactersWithSpaces>9024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2023-06-16T07:31:00Z</dcterms:created>
  <dc:creator>czj</dc:creator>
  <cp:lastModifiedBy>次次--</cp:lastModifiedBy>
  <cp:lastPrinted>2023-03-29T05:31:00Z</cp:lastPrinted>
  <dcterms:modified xsi:type="dcterms:W3CDTF">2024-04-29T03:08:10Z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C161C6E2FE424309B468F372A6FC5B81</vt:lpwstr>
  </property>
</Properties>
</file>