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drawings/drawing3.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b w:val="0"/>
          <w:bCs/>
          <w:sz w:val="44"/>
          <w:szCs w:val="44"/>
          <w:highlight w:val="none"/>
        </w:rPr>
      </w:pPr>
      <w:r>
        <w:rPr>
          <w:rFonts w:hint="eastAsia" w:ascii="方正小标宋简体" w:hAnsi="方正小标宋简体" w:eastAsia="方正小标宋简体" w:cs="方正小标宋简体"/>
          <w:b w:val="0"/>
          <w:bCs/>
          <w:sz w:val="44"/>
          <w:szCs w:val="44"/>
          <w:highlight w:val="none"/>
          <w:lang w:eastAsia="zh-CN"/>
        </w:rPr>
        <w:t>盘锦市</w:t>
      </w:r>
      <w:r>
        <w:rPr>
          <w:rFonts w:hint="eastAsia" w:ascii="方正小标宋简体" w:hAnsi="方正小标宋简体" w:eastAsia="方正小标宋简体" w:cs="方正小标宋简体"/>
          <w:b w:val="0"/>
          <w:bCs/>
          <w:sz w:val="44"/>
          <w:szCs w:val="44"/>
          <w:highlight w:val="none"/>
        </w:rPr>
        <w:t>兴隆台区</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heme="minorEastAsia" w:hAnsiTheme="minorEastAsia" w:eastAsiaTheme="minorEastAsia"/>
          <w:b w:val="0"/>
          <w:bCs/>
          <w:sz w:val="44"/>
          <w:szCs w:val="44"/>
          <w:highlight w:val="none"/>
        </w:rPr>
      </w:pPr>
      <w:r>
        <w:rPr>
          <w:rFonts w:hint="eastAsia" w:ascii="方正小标宋简体" w:hAnsi="方正小标宋简体" w:eastAsia="方正小标宋简体" w:cs="方正小标宋简体"/>
          <w:b w:val="0"/>
          <w:bCs/>
          <w:sz w:val="44"/>
          <w:szCs w:val="44"/>
          <w:highlight w:val="none"/>
        </w:rPr>
        <w:t>202</w:t>
      </w:r>
      <w:r>
        <w:rPr>
          <w:rFonts w:hint="eastAsia" w:ascii="方正小标宋简体" w:hAnsi="方正小标宋简体" w:eastAsia="方正小标宋简体" w:cs="方正小标宋简体"/>
          <w:b w:val="0"/>
          <w:bCs/>
          <w:sz w:val="44"/>
          <w:szCs w:val="44"/>
          <w:highlight w:val="none"/>
          <w:lang w:val="en-US" w:eastAsia="zh-CN"/>
        </w:rPr>
        <w:t>2</w:t>
      </w:r>
      <w:r>
        <w:rPr>
          <w:rFonts w:hint="eastAsia" w:ascii="方正小标宋简体" w:hAnsi="方正小标宋简体" w:eastAsia="方正小标宋简体" w:cs="方正小标宋简体"/>
          <w:b w:val="0"/>
          <w:bCs/>
          <w:sz w:val="44"/>
          <w:szCs w:val="44"/>
          <w:highlight w:val="none"/>
        </w:rPr>
        <w:t>年国民经济和社会发展统计公报</w:t>
      </w:r>
    </w:p>
    <w:p>
      <w:pPr>
        <w:spacing w:line="360" w:lineRule="auto"/>
        <w:jc w:val="center"/>
        <w:rPr>
          <w:rFonts w:asciiTheme="minorEastAsia" w:hAnsiTheme="minorEastAsia" w:eastAsiaTheme="minorEastAsia"/>
          <w:sz w:val="24"/>
          <w:szCs w:val="24"/>
          <w:highlight w:val="none"/>
        </w:rPr>
      </w:pPr>
    </w:p>
    <w:p>
      <w:pPr>
        <w:keepNext w:val="0"/>
        <w:keepLines w:val="0"/>
        <w:pageBreakBefore w:val="0"/>
        <w:kinsoku/>
        <w:wordWrap/>
        <w:overflowPunct/>
        <w:topLinePunct w:val="0"/>
        <w:autoSpaceDE/>
        <w:autoSpaceDN/>
        <w:bidi w:val="0"/>
        <w:adjustRightInd w:val="0"/>
        <w:snapToGrid w:val="0"/>
        <w:spacing w:line="322" w:lineRule="auto"/>
        <w:ind w:firstLine="640" w:firstLineChars="200"/>
        <w:jc w:val="both"/>
        <w:textAlignment w:val="auto"/>
        <w:rPr>
          <w:rFonts w:hint="eastAsia" w:ascii="仿宋_GB2312" w:hAnsi="仿宋_GB2312" w:eastAsia="仿宋_GB2312" w:cs="仿宋_GB2312"/>
          <w:color w:val="333333"/>
          <w:sz w:val="32"/>
          <w:szCs w:val="32"/>
          <w:highlight w:val="none"/>
          <w:shd w:val="clear" w:color="auto" w:fill="FFFFFF"/>
        </w:rPr>
      </w:pPr>
      <w:r>
        <w:rPr>
          <w:rFonts w:hint="eastAsia" w:ascii="仿宋_GB2312" w:hAnsi="仿宋_GB2312" w:eastAsia="仿宋_GB2312" w:cs="仿宋_GB2312"/>
          <w:color w:val="333333"/>
          <w:sz w:val="32"/>
          <w:szCs w:val="32"/>
          <w:highlight w:val="none"/>
          <w:shd w:val="clear" w:color="auto" w:fill="FFFFFF"/>
        </w:rPr>
        <w:t>根据年快报统计</w:t>
      </w:r>
      <w:r>
        <w:rPr>
          <w:rFonts w:hint="eastAsia" w:ascii="仿宋_GB2312" w:hAnsi="仿宋_GB2312" w:eastAsia="仿宋_GB2312" w:cs="仿宋_GB2312"/>
          <w:sz w:val="32"/>
          <w:szCs w:val="32"/>
          <w:highlight w:val="none"/>
          <w:vertAlign w:val="superscript"/>
        </w:rPr>
        <w:t>[1]</w:t>
      </w:r>
      <w:r>
        <w:rPr>
          <w:rFonts w:hint="eastAsia" w:ascii="仿宋_GB2312" w:hAnsi="仿宋_GB2312" w:eastAsia="仿宋_GB2312" w:cs="仿宋_GB2312"/>
          <w:color w:val="333333"/>
          <w:sz w:val="32"/>
          <w:szCs w:val="32"/>
          <w:highlight w:val="none"/>
          <w:shd w:val="clear" w:color="auto" w:fill="FFFFFF"/>
        </w:rPr>
        <w:t>，现将202</w:t>
      </w:r>
      <w:r>
        <w:rPr>
          <w:rFonts w:hint="eastAsia" w:ascii="仿宋_GB2312" w:hAnsi="仿宋_GB2312" w:eastAsia="仿宋_GB2312" w:cs="仿宋_GB2312"/>
          <w:color w:val="333333"/>
          <w:sz w:val="32"/>
          <w:szCs w:val="32"/>
          <w:highlight w:val="none"/>
          <w:shd w:val="clear" w:color="auto" w:fill="FFFFFF"/>
          <w:lang w:val="en-US" w:eastAsia="zh-CN"/>
        </w:rPr>
        <w:t>2</w:t>
      </w:r>
      <w:r>
        <w:rPr>
          <w:rFonts w:hint="eastAsia" w:ascii="仿宋_GB2312" w:hAnsi="仿宋_GB2312" w:eastAsia="仿宋_GB2312" w:cs="仿宋_GB2312"/>
          <w:color w:val="333333"/>
          <w:sz w:val="32"/>
          <w:szCs w:val="32"/>
          <w:highlight w:val="none"/>
          <w:shd w:val="clear" w:color="auto" w:fill="FFFFFF"/>
        </w:rPr>
        <w:t>年全区国民经济和社会发展情况公报如下：</w:t>
      </w:r>
    </w:p>
    <w:p>
      <w:pPr>
        <w:keepNext w:val="0"/>
        <w:keepLines w:val="0"/>
        <w:pageBreakBefore w:val="0"/>
        <w:kinsoku/>
        <w:wordWrap/>
        <w:overflowPunct/>
        <w:topLinePunct w:val="0"/>
        <w:autoSpaceDE/>
        <w:autoSpaceDN/>
        <w:bidi w:val="0"/>
        <w:adjustRightInd w:val="0"/>
        <w:snapToGrid w:val="0"/>
        <w:spacing w:line="322" w:lineRule="auto"/>
        <w:ind w:firstLine="640" w:firstLineChars="200"/>
        <w:jc w:val="both"/>
        <w:textAlignment w:val="auto"/>
        <w:rPr>
          <w:rFonts w:hint="eastAsia" w:ascii="仿宋_GB2312" w:hAnsi="仿宋_GB2312" w:eastAsia="仿宋_GB2312" w:cs="仿宋_GB2312"/>
          <w:color w:val="333333"/>
          <w:sz w:val="32"/>
          <w:szCs w:val="32"/>
          <w:highlight w:val="none"/>
          <w:shd w:val="clear" w:color="auto" w:fill="FFFFFF"/>
        </w:rPr>
      </w:pPr>
      <w:r>
        <w:rPr>
          <w:rFonts w:hint="eastAsia" w:ascii="仿宋_GB2312" w:hAnsi="仿宋_GB2312" w:eastAsia="仿宋_GB2312" w:cs="仿宋_GB2312"/>
          <w:color w:val="333333"/>
          <w:sz w:val="32"/>
          <w:szCs w:val="32"/>
          <w:highlight w:val="none"/>
          <w:shd w:val="clear" w:color="auto" w:fill="FFFFFF"/>
        </w:rPr>
        <w:t>202</w:t>
      </w:r>
      <w:r>
        <w:rPr>
          <w:rFonts w:hint="eastAsia" w:ascii="仿宋_GB2312" w:hAnsi="仿宋_GB2312" w:eastAsia="仿宋_GB2312" w:cs="仿宋_GB2312"/>
          <w:color w:val="333333"/>
          <w:sz w:val="32"/>
          <w:szCs w:val="32"/>
          <w:highlight w:val="none"/>
          <w:shd w:val="clear" w:color="auto" w:fill="FFFFFF"/>
          <w:lang w:val="en-US" w:eastAsia="zh-CN"/>
        </w:rPr>
        <w:t>2</w:t>
      </w:r>
      <w:r>
        <w:rPr>
          <w:rFonts w:hint="eastAsia" w:ascii="仿宋_GB2312" w:hAnsi="仿宋_GB2312" w:eastAsia="仿宋_GB2312" w:cs="仿宋_GB2312"/>
          <w:color w:val="333333"/>
          <w:sz w:val="32"/>
          <w:szCs w:val="32"/>
          <w:highlight w:val="none"/>
          <w:shd w:val="clear" w:color="auto" w:fill="FFFFFF"/>
        </w:rPr>
        <w:t>年，在区委</w:t>
      </w:r>
      <w:r>
        <w:rPr>
          <w:rFonts w:hint="eastAsia" w:ascii="仿宋_GB2312" w:hAnsi="仿宋_GB2312" w:eastAsia="仿宋_GB2312" w:cs="仿宋_GB2312"/>
          <w:color w:val="333333"/>
          <w:sz w:val="32"/>
          <w:szCs w:val="32"/>
          <w:highlight w:val="none"/>
          <w:shd w:val="clear" w:color="auto" w:fill="FFFFFF"/>
          <w:lang w:eastAsia="zh-CN"/>
        </w:rPr>
        <w:t>、</w:t>
      </w:r>
      <w:r>
        <w:rPr>
          <w:rFonts w:hint="eastAsia" w:ascii="仿宋_GB2312" w:hAnsi="仿宋_GB2312" w:eastAsia="仿宋_GB2312" w:cs="仿宋_GB2312"/>
          <w:color w:val="333333"/>
          <w:sz w:val="32"/>
          <w:szCs w:val="32"/>
          <w:highlight w:val="none"/>
          <w:shd w:val="clear" w:color="auto" w:fill="FFFFFF"/>
          <w:lang w:val="en-US" w:eastAsia="zh-CN"/>
        </w:rPr>
        <w:t>区政府</w:t>
      </w:r>
      <w:r>
        <w:rPr>
          <w:rFonts w:hint="eastAsia" w:ascii="仿宋_GB2312" w:hAnsi="仿宋_GB2312" w:eastAsia="仿宋_GB2312" w:cs="仿宋_GB2312"/>
          <w:color w:val="333333"/>
          <w:sz w:val="32"/>
          <w:szCs w:val="32"/>
          <w:highlight w:val="none"/>
          <w:shd w:val="clear" w:color="auto" w:fill="FFFFFF"/>
        </w:rPr>
        <w:t>的坚强领导下，</w:t>
      </w:r>
      <w:r>
        <w:rPr>
          <w:rFonts w:hint="eastAsia" w:ascii="仿宋_GB2312" w:hAnsi="仿宋_GB2312" w:eastAsia="仿宋_GB2312" w:cs="仿宋_GB2312"/>
          <w:color w:val="333333"/>
          <w:sz w:val="32"/>
          <w:szCs w:val="32"/>
          <w:highlight w:val="none"/>
          <w:shd w:val="clear" w:color="auto" w:fill="FFFFFF"/>
          <w:lang w:eastAsia="zh-CN"/>
        </w:rPr>
        <w:t>全区上下</w:t>
      </w:r>
      <w:r>
        <w:rPr>
          <w:rFonts w:hint="eastAsia" w:ascii="仿宋_GB2312" w:hAnsi="仿宋_GB2312" w:eastAsia="仿宋_GB2312" w:cs="仿宋_GB2312"/>
          <w:color w:val="333333"/>
          <w:sz w:val="32"/>
          <w:szCs w:val="32"/>
          <w:highlight w:val="none"/>
          <w:shd w:val="clear" w:color="auto" w:fill="FFFFFF"/>
        </w:rPr>
        <w:t>坚持以习近平新时代中国特色社会主义思想为指导，深入贯彻</w:t>
      </w:r>
      <w:r>
        <w:rPr>
          <w:rFonts w:hint="eastAsia" w:ascii="仿宋_GB2312" w:hAnsi="仿宋_GB2312" w:eastAsia="仿宋_GB2312" w:cs="仿宋_GB2312"/>
          <w:color w:val="333333"/>
          <w:sz w:val="32"/>
          <w:szCs w:val="32"/>
          <w:highlight w:val="none"/>
          <w:shd w:val="clear" w:color="auto" w:fill="FFFFFF"/>
          <w:lang w:eastAsia="zh-CN"/>
        </w:rPr>
        <w:t>落实</w:t>
      </w:r>
      <w:r>
        <w:rPr>
          <w:rFonts w:hint="eastAsia" w:ascii="仿宋_GB2312" w:hAnsi="仿宋_GB2312" w:eastAsia="仿宋_GB2312" w:cs="仿宋_GB2312"/>
          <w:color w:val="333333"/>
          <w:sz w:val="32"/>
          <w:szCs w:val="32"/>
          <w:highlight w:val="none"/>
          <w:shd w:val="clear" w:color="auto" w:fill="FFFFFF"/>
        </w:rPr>
        <w:t>习近平总书记</w:t>
      </w:r>
      <w:r>
        <w:rPr>
          <w:rFonts w:hint="eastAsia" w:ascii="仿宋_GB2312" w:hAnsi="仿宋_GB2312" w:eastAsia="仿宋_GB2312" w:cs="仿宋_GB2312"/>
          <w:color w:val="333333"/>
          <w:sz w:val="32"/>
          <w:szCs w:val="32"/>
          <w:highlight w:val="none"/>
          <w:shd w:val="clear" w:color="auto" w:fill="FFFFFF"/>
          <w:lang w:eastAsia="zh-CN"/>
        </w:rPr>
        <w:t>关于东北、辽宁振兴发展的重要讲话和指示精神</w:t>
      </w:r>
      <w:r>
        <w:rPr>
          <w:rFonts w:hint="eastAsia" w:ascii="仿宋_GB2312" w:hAnsi="仿宋_GB2312" w:eastAsia="仿宋_GB2312" w:cs="仿宋_GB2312"/>
          <w:color w:val="333333"/>
          <w:sz w:val="32"/>
          <w:szCs w:val="32"/>
          <w:highlight w:val="none"/>
          <w:shd w:val="clear" w:color="auto" w:fill="FFFFFF"/>
        </w:rPr>
        <w:t>，统筹推进疫情防控和经济社会发展，扎实推动国家、省、市稳经济一揽子政策措施落地见效，深入开展“强重严”专项行动，全面振兴全方位振兴取得新进展、新成效。</w:t>
      </w:r>
    </w:p>
    <w:p>
      <w:pPr>
        <w:keepNext w:val="0"/>
        <w:keepLines w:val="0"/>
        <w:pageBreakBefore w:val="0"/>
        <w:kinsoku/>
        <w:wordWrap/>
        <w:overflowPunct/>
        <w:topLinePunct w:val="0"/>
        <w:autoSpaceDE/>
        <w:autoSpaceDN/>
        <w:bidi w:val="0"/>
        <w:adjustRightInd w:val="0"/>
        <w:snapToGrid w:val="0"/>
        <w:spacing w:line="322" w:lineRule="auto"/>
        <w:ind w:firstLine="640" w:firstLineChars="200"/>
        <w:jc w:val="both"/>
        <w:textAlignment w:val="auto"/>
        <w:rPr>
          <w:rFonts w:hint="default" w:ascii="黑体" w:hAnsi="黑体" w:eastAsia="黑体" w:cs="黑体"/>
          <w:bCs/>
          <w:sz w:val="32"/>
          <w:szCs w:val="32"/>
          <w:highlight w:val="none"/>
          <w:lang w:val="en-US" w:eastAsia="zh-CN"/>
        </w:rPr>
      </w:pPr>
      <w:r>
        <w:rPr>
          <w:rFonts w:hint="eastAsia" w:ascii="黑体" w:hAnsi="黑体" w:eastAsia="黑体" w:cs="黑体"/>
          <w:bCs/>
          <w:sz w:val="32"/>
          <w:szCs w:val="32"/>
          <w:highlight w:val="none"/>
        </w:rPr>
        <w:t>一、经济总量</w:t>
      </w:r>
    </w:p>
    <w:p>
      <w:pPr>
        <w:keepNext w:val="0"/>
        <w:keepLines w:val="0"/>
        <w:pageBreakBefore w:val="0"/>
        <w:kinsoku/>
        <w:wordWrap/>
        <w:overflowPunct/>
        <w:topLinePunct w:val="0"/>
        <w:autoSpaceDE/>
        <w:autoSpaceDN/>
        <w:bidi w:val="0"/>
        <w:adjustRightInd w:val="0"/>
        <w:snapToGrid w:val="0"/>
        <w:spacing w:line="322" w:lineRule="auto"/>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初步核算，全年地区生产总值39</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.1亿元，</w:t>
      </w:r>
      <w:r>
        <w:rPr>
          <w:rFonts w:hint="eastAsia" w:ascii="仿宋_GB2312" w:hAnsi="仿宋_GB2312" w:eastAsia="仿宋_GB2312" w:cs="仿宋_GB2312"/>
          <w:sz w:val="32"/>
          <w:szCs w:val="32"/>
          <w:highlight w:val="none"/>
          <w:lang w:eastAsia="zh-CN"/>
        </w:rPr>
        <w:t>按可比价格</w:t>
      </w:r>
      <w:r>
        <w:rPr>
          <w:rFonts w:hint="eastAsia" w:ascii="仿宋_GB2312" w:hAnsi="仿宋_GB2312" w:eastAsia="仿宋_GB2312" w:cs="仿宋_GB2312"/>
          <w:sz w:val="32"/>
          <w:szCs w:val="32"/>
          <w:highlight w:val="none"/>
          <w:vertAlign w:val="superscript"/>
        </w:rPr>
        <w:t>[2]</w:t>
      </w:r>
      <w:r>
        <w:rPr>
          <w:rFonts w:hint="eastAsia" w:ascii="仿宋_GB2312" w:hAnsi="仿宋_GB2312" w:eastAsia="仿宋_GB2312" w:cs="仿宋_GB2312"/>
          <w:sz w:val="32"/>
          <w:szCs w:val="32"/>
          <w:highlight w:val="none"/>
          <w:lang w:eastAsia="zh-CN"/>
        </w:rPr>
        <w:t>计算，</w:t>
      </w:r>
      <w:r>
        <w:rPr>
          <w:rFonts w:hint="eastAsia" w:ascii="仿宋_GB2312" w:hAnsi="仿宋_GB2312" w:eastAsia="仿宋_GB2312" w:cs="仿宋_GB2312"/>
          <w:sz w:val="32"/>
          <w:szCs w:val="32"/>
          <w:highlight w:val="none"/>
        </w:rPr>
        <w:t>比上年</w:t>
      </w:r>
      <w:r>
        <w:rPr>
          <w:rFonts w:hint="eastAsia" w:ascii="仿宋_GB2312" w:hAnsi="仿宋_GB2312" w:eastAsia="仿宋_GB2312" w:cs="仿宋_GB2312"/>
          <w:sz w:val="32"/>
          <w:szCs w:val="32"/>
          <w:highlight w:val="none"/>
          <w:lang w:val="en-US" w:eastAsia="zh-CN"/>
        </w:rPr>
        <w:t>下降1.7</w:t>
      </w:r>
      <w:r>
        <w:rPr>
          <w:rFonts w:hint="eastAsia" w:ascii="仿宋_GB2312" w:hAnsi="仿宋_GB2312" w:eastAsia="仿宋_GB2312" w:cs="仿宋_GB2312"/>
          <w:sz w:val="32"/>
          <w:szCs w:val="32"/>
          <w:highlight w:val="none"/>
        </w:rPr>
        <w:t>%。其中</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第一产业增加值</w:t>
      </w:r>
      <w:r>
        <w:rPr>
          <w:rFonts w:hint="eastAsia" w:ascii="仿宋_GB2312" w:hAnsi="仿宋_GB2312" w:eastAsia="仿宋_GB2312" w:cs="仿宋_GB2312"/>
          <w:sz w:val="32"/>
          <w:szCs w:val="32"/>
          <w:highlight w:val="none"/>
          <w:lang w:val="en-US" w:eastAsia="zh-CN"/>
        </w:rPr>
        <w:t>1.8</w:t>
      </w:r>
      <w:r>
        <w:rPr>
          <w:rFonts w:hint="eastAsia" w:ascii="仿宋_GB2312" w:hAnsi="仿宋_GB2312" w:eastAsia="仿宋_GB2312" w:cs="仿宋_GB2312"/>
          <w:sz w:val="32"/>
          <w:szCs w:val="32"/>
          <w:highlight w:val="none"/>
        </w:rPr>
        <w:t>亿元，下降</w:t>
      </w:r>
      <w:r>
        <w:rPr>
          <w:rFonts w:hint="eastAsia" w:ascii="仿宋_GB2312" w:hAnsi="仿宋_GB2312" w:eastAsia="仿宋_GB2312" w:cs="仿宋_GB2312"/>
          <w:sz w:val="32"/>
          <w:szCs w:val="32"/>
          <w:highlight w:val="none"/>
          <w:lang w:val="en-US" w:eastAsia="zh-CN"/>
        </w:rPr>
        <w:t>19.3</w:t>
      </w:r>
      <w:r>
        <w:rPr>
          <w:rFonts w:hint="eastAsia" w:ascii="仿宋_GB2312" w:hAnsi="仿宋_GB2312" w:eastAsia="仿宋_GB2312" w:cs="仿宋_GB2312"/>
          <w:sz w:val="32"/>
          <w:szCs w:val="32"/>
          <w:highlight w:val="none"/>
        </w:rPr>
        <w:t>%；第二产业增加值</w:t>
      </w:r>
      <w:r>
        <w:rPr>
          <w:rFonts w:hint="eastAsia" w:ascii="仿宋_GB2312" w:hAnsi="仿宋_GB2312" w:eastAsia="仿宋_GB2312" w:cs="仿宋_GB2312"/>
          <w:sz w:val="32"/>
          <w:szCs w:val="32"/>
          <w:highlight w:val="none"/>
          <w:lang w:val="en-US" w:eastAsia="zh-CN"/>
        </w:rPr>
        <w:t>137.4</w:t>
      </w:r>
      <w:r>
        <w:rPr>
          <w:rFonts w:hint="eastAsia" w:ascii="仿宋_GB2312" w:hAnsi="仿宋_GB2312" w:eastAsia="仿宋_GB2312" w:cs="仿宋_GB2312"/>
          <w:sz w:val="32"/>
          <w:szCs w:val="32"/>
          <w:highlight w:val="none"/>
        </w:rPr>
        <w:t>亿元，</w:t>
      </w:r>
      <w:r>
        <w:rPr>
          <w:rFonts w:hint="eastAsia" w:ascii="仿宋_GB2312" w:hAnsi="仿宋_GB2312" w:eastAsia="仿宋_GB2312" w:cs="仿宋_GB2312"/>
          <w:sz w:val="32"/>
          <w:szCs w:val="32"/>
          <w:highlight w:val="none"/>
          <w:lang w:val="en-US" w:eastAsia="zh-CN"/>
        </w:rPr>
        <w:t>下降6.9%；</w:t>
      </w:r>
      <w:r>
        <w:rPr>
          <w:rFonts w:hint="eastAsia" w:ascii="仿宋_GB2312" w:hAnsi="仿宋_GB2312" w:eastAsia="仿宋_GB2312" w:cs="仿宋_GB2312"/>
          <w:kern w:val="0"/>
          <w:sz w:val="32"/>
          <w:szCs w:val="32"/>
          <w:highlight w:val="none"/>
        </w:rPr>
        <w:t>第三产业</w:t>
      </w:r>
      <w:r>
        <w:rPr>
          <w:rFonts w:hint="eastAsia" w:ascii="仿宋_GB2312" w:hAnsi="仿宋_GB2312" w:eastAsia="仿宋_GB2312" w:cs="仿宋_GB2312"/>
          <w:sz w:val="32"/>
          <w:szCs w:val="32"/>
          <w:highlight w:val="none"/>
        </w:rPr>
        <w:t>增加值</w:t>
      </w:r>
      <w:r>
        <w:rPr>
          <w:rFonts w:hint="eastAsia" w:ascii="仿宋_GB2312" w:hAnsi="仿宋_GB2312" w:eastAsia="仿宋_GB2312" w:cs="仿宋_GB2312"/>
          <w:sz w:val="32"/>
          <w:szCs w:val="32"/>
          <w:highlight w:val="none"/>
          <w:lang w:val="en-US" w:eastAsia="zh-CN"/>
        </w:rPr>
        <w:t>255.9</w:t>
      </w:r>
      <w:r>
        <w:rPr>
          <w:rFonts w:hint="eastAsia" w:ascii="仿宋_GB2312" w:hAnsi="仿宋_GB2312" w:eastAsia="仿宋_GB2312" w:cs="仿宋_GB2312"/>
          <w:sz w:val="32"/>
          <w:szCs w:val="32"/>
          <w:highlight w:val="none"/>
        </w:rPr>
        <w:t>亿元，增长</w:t>
      </w: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三次</w:t>
      </w:r>
      <w:r>
        <w:rPr>
          <w:rFonts w:hint="eastAsia" w:ascii="仿宋_GB2312" w:hAnsi="仿宋_GB2312" w:eastAsia="仿宋_GB2312" w:cs="仿宋_GB2312"/>
          <w:sz w:val="32"/>
          <w:szCs w:val="32"/>
          <w:highlight w:val="none"/>
        </w:rPr>
        <w:t>产业增加值占地区生产总值比重</w:t>
      </w:r>
      <w:r>
        <w:rPr>
          <w:rFonts w:hint="eastAsia" w:ascii="仿宋_GB2312" w:hAnsi="仿宋_GB2312" w:eastAsia="仿宋_GB2312" w:cs="仿宋_GB2312"/>
          <w:sz w:val="32"/>
          <w:szCs w:val="32"/>
          <w:highlight w:val="none"/>
          <w:lang w:eastAsia="zh-CN"/>
        </w:rPr>
        <w:t>分别</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0.4</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val="en-US" w:eastAsia="zh-CN"/>
        </w:rPr>
        <w:t>4.8</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highlight w:val="none"/>
          <w:lang w:val="en-US" w:eastAsia="zh-CN"/>
        </w:rPr>
        <w:t>64.8</w:t>
      </w:r>
      <w:r>
        <w:rPr>
          <w:rFonts w:hint="eastAsia" w:ascii="仿宋_GB2312" w:hAnsi="仿宋_GB2312" w:eastAsia="仿宋_GB2312" w:cs="仿宋_GB2312"/>
          <w:sz w:val="32"/>
          <w:szCs w:val="32"/>
          <w:highlight w:val="none"/>
        </w:rPr>
        <w:t>%。</w:t>
      </w:r>
    </w:p>
    <w:p>
      <w:pPr>
        <w:keepNext w:val="0"/>
        <w:keepLines w:val="0"/>
        <w:pageBreakBefore w:val="0"/>
        <w:kinsoku/>
        <w:wordWrap/>
        <w:overflowPunct/>
        <w:topLinePunct w:val="0"/>
        <w:autoSpaceDE/>
        <w:autoSpaceDN/>
        <w:bidi w:val="0"/>
        <w:adjustRightInd w:val="0"/>
        <w:snapToGrid w:val="0"/>
        <w:spacing w:line="322" w:lineRule="auto"/>
        <w:ind w:firstLine="640" w:firstLineChars="200"/>
        <w:jc w:val="both"/>
        <w:textAlignment w:val="auto"/>
        <w:rPr>
          <w:rFonts w:ascii="黑体" w:hAnsi="黑体" w:eastAsia="黑体" w:cs="黑体"/>
          <w:bCs/>
          <w:sz w:val="32"/>
          <w:szCs w:val="32"/>
          <w:highlight w:val="none"/>
        </w:rPr>
      </w:pPr>
      <w:r>
        <w:rPr>
          <w:rFonts w:hint="eastAsia" w:ascii="黑体" w:hAnsi="黑体" w:eastAsia="黑体" w:cs="黑体"/>
          <w:bCs/>
          <w:sz w:val="32"/>
          <w:szCs w:val="32"/>
          <w:highlight w:val="none"/>
        </w:rPr>
        <w:t>二、农林牧渔业</w:t>
      </w:r>
    </w:p>
    <w:p>
      <w:pPr>
        <w:keepNext w:val="0"/>
        <w:keepLines w:val="0"/>
        <w:pageBreakBefore w:val="0"/>
        <w:kinsoku/>
        <w:wordWrap/>
        <w:overflowPunct/>
        <w:topLinePunct w:val="0"/>
        <w:autoSpaceDE/>
        <w:autoSpaceDN/>
        <w:bidi w:val="0"/>
        <w:adjustRightInd w:val="0"/>
        <w:snapToGrid w:val="0"/>
        <w:spacing w:line="322" w:lineRule="auto"/>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全年农林牧渔业总产值</w:t>
      </w:r>
      <w:r>
        <w:rPr>
          <w:rFonts w:hint="eastAsia" w:ascii="仿宋_GB2312" w:hAnsi="仿宋_GB2312" w:eastAsia="仿宋_GB2312" w:cs="仿宋_GB2312"/>
          <w:sz w:val="32"/>
          <w:szCs w:val="32"/>
          <w:highlight w:val="none"/>
          <w:lang w:val="en-US" w:eastAsia="zh-CN"/>
        </w:rPr>
        <w:t>3.22</w:t>
      </w:r>
      <w:r>
        <w:rPr>
          <w:rFonts w:hint="eastAsia" w:ascii="仿宋_GB2312" w:hAnsi="仿宋_GB2312" w:eastAsia="仿宋_GB2312" w:cs="仿宋_GB2312"/>
          <w:sz w:val="32"/>
          <w:szCs w:val="32"/>
          <w:highlight w:val="none"/>
        </w:rPr>
        <w:t>亿元，比上年下降</w:t>
      </w:r>
      <w:r>
        <w:rPr>
          <w:rFonts w:hint="eastAsia" w:ascii="仿宋_GB2312" w:hAnsi="仿宋_GB2312" w:eastAsia="仿宋_GB2312" w:cs="仿宋_GB2312"/>
          <w:sz w:val="32"/>
          <w:szCs w:val="32"/>
          <w:highlight w:val="none"/>
          <w:lang w:val="en-US" w:eastAsia="zh-CN"/>
        </w:rPr>
        <w:t>20.2</w:t>
      </w:r>
      <w:r>
        <w:rPr>
          <w:rFonts w:hint="eastAsia" w:ascii="仿宋_GB2312" w:hAnsi="仿宋_GB2312" w:eastAsia="仿宋_GB2312" w:cs="仿宋_GB2312"/>
          <w:sz w:val="32"/>
          <w:szCs w:val="32"/>
          <w:highlight w:val="none"/>
        </w:rPr>
        <w:t>%。其中，农业产值</w:t>
      </w:r>
      <w:r>
        <w:rPr>
          <w:rFonts w:hint="eastAsia" w:ascii="仿宋_GB2312" w:hAnsi="仿宋_GB2312" w:eastAsia="仿宋_GB2312" w:cs="仿宋_GB2312"/>
          <w:sz w:val="32"/>
          <w:szCs w:val="32"/>
          <w:highlight w:val="none"/>
          <w:lang w:val="en-US" w:eastAsia="zh-CN"/>
        </w:rPr>
        <w:t>1.86</w:t>
      </w:r>
      <w:r>
        <w:rPr>
          <w:rFonts w:hint="eastAsia" w:ascii="仿宋_GB2312" w:hAnsi="仿宋_GB2312" w:eastAsia="仿宋_GB2312" w:cs="仿宋_GB2312"/>
          <w:sz w:val="32"/>
          <w:szCs w:val="32"/>
          <w:highlight w:val="none"/>
        </w:rPr>
        <w:t>亿元，林业产值</w:t>
      </w:r>
      <w:r>
        <w:rPr>
          <w:rFonts w:hint="eastAsia" w:ascii="仿宋_GB2312" w:hAnsi="仿宋_GB2312" w:eastAsia="仿宋_GB2312" w:cs="仿宋_GB2312"/>
          <w:sz w:val="32"/>
          <w:szCs w:val="32"/>
          <w:highlight w:val="none"/>
          <w:lang w:val="en-US" w:eastAsia="zh-CN"/>
        </w:rPr>
        <w:t>0.01</w:t>
      </w:r>
      <w:r>
        <w:rPr>
          <w:rFonts w:hint="eastAsia" w:ascii="仿宋_GB2312" w:hAnsi="仿宋_GB2312" w:eastAsia="仿宋_GB2312" w:cs="仿宋_GB2312"/>
          <w:sz w:val="32"/>
          <w:szCs w:val="32"/>
          <w:highlight w:val="none"/>
        </w:rPr>
        <w:t xml:space="preserve">亿元，牧业产值 </w:t>
      </w:r>
      <w:r>
        <w:rPr>
          <w:rFonts w:hint="eastAsia" w:ascii="仿宋_GB2312" w:hAnsi="仿宋_GB2312" w:eastAsia="仿宋_GB2312" w:cs="仿宋_GB2312"/>
          <w:sz w:val="32"/>
          <w:szCs w:val="32"/>
          <w:highlight w:val="none"/>
          <w:lang w:val="en-US" w:eastAsia="zh-CN"/>
        </w:rPr>
        <w:t>0.67</w:t>
      </w:r>
      <w:r>
        <w:rPr>
          <w:rFonts w:hint="eastAsia" w:ascii="仿宋_GB2312" w:hAnsi="仿宋_GB2312" w:eastAsia="仿宋_GB2312" w:cs="仿宋_GB2312"/>
          <w:sz w:val="32"/>
          <w:szCs w:val="32"/>
          <w:highlight w:val="none"/>
        </w:rPr>
        <w:t>亿元，渔业产值</w:t>
      </w:r>
      <w:r>
        <w:rPr>
          <w:rFonts w:hint="eastAsia" w:ascii="仿宋_GB2312" w:hAnsi="仿宋_GB2312" w:eastAsia="仿宋_GB2312" w:cs="仿宋_GB2312"/>
          <w:sz w:val="32"/>
          <w:szCs w:val="32"/>
          <w:highlight w:val="none"/>
          <w:lang w:val="en-US" w:eastAsia="zh-CN"/>
        </w:rPr>
        <w:t>0.62</w:t>
      </w:r>
      <w:r>
        <w:rPr>
          <w:rFonts w:hint="eastAsia" w:ascii="仿宋_GB2312" w:hAnsi="仿宋_GB2312" w:eastAsia="仿宋_GB2312" w:cs="仿宋_GB2312"/>
          <w:sz w:val="32"/>
          <w:szCs w:val="32"/>
          <w:highlight w:val="none"/>
        </w:rPr>
        <w:t>亿元，农林牧渔服务业产值0.</w:t>
      </w:r>
      <w:r>
        <w:rPr>
          <w:rFonts w:hint="eastAsia" w:ascii="仿宋_GB2312" w:hAnsi="仿宋_GB2312" w:eastAsia="仿宋_GB2312" w:cs="仿宋_GB2312"/>
          <w:sz w:val="32"/>
          <w:szCs w:val="32"/>
          <w:highlight w:val="none"/>
          <w:lang w:val="en-US" w:eastAsia="zh-CN"/>
        </w:rPr>
        <w:t>06</w:t>
      </w:r>
      <w:r>
        <w:rPr>
          <w:rFonts w:hint="eastAsia" w:ascii="仿宋_GB2312" w:hAnsi="仿宋_GB2312" w:eastAsia="仿宋_GB2312" w:cs="仿宋_GB2312"/>
          <w:sz w:val="32"/>
          <w:szCs w:val="32"/>
          <w:highlight w:val="none"/>
        </w:rPr>
        <w:t>亿元。</w:t>
      </w:r>
    </w:p>
    <w:p>
      <w:pPr>
        <w:keepNext w:val="0"/>
        <w:keepLines w:val="0"/>
        <w:pageBreakBefore w:val="0"/>
        <w:kinsoku/>
        <w:wordWrap/>
        <w:overflowPunct/>
        <w:topLinePunct w:val="0"/>
        <w:autoSpaceDE/>
        <w:autoSpaceDN/>
        <w:bidi w:val="0"/>
        <w:adjustRightInd w:val="0"/>
        <w:snapToGrid w:val="0"/>
        <w:spacing w:line="322" w:lineRule="auto"/>
        <w:ind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全年粮食作物播种面积</w:t>
      </w:r>
      <w:r>
        <w:rPr>
          <w:rFonts w:hint="eastAsia" w:ascii="仿宋_GB2312" w:hAnsi="仿宋_GB2312" w:eastAsia="仿宋_GB2312" w:cs="仿宋_GB2312"/>
          <w:sz w:val="32"/>
          <w:szCs w:val="32"/>
          <w:highlight w:val="none"/>
          <w:lang w:val="en-US" w:eastAsia="zh-CN"/>
        </w:rPr>
        <w:t>6664</w:t>
      </w:r>
      <w:r>
        <w:rPr>
          <w:rFonts w:hint="eastAsia" w:ascii="仿宋_GB2312" w:hAnsi="仿宋_GB2312" w:eastAsia="仿宋_GB2312" w:cs="仿宋_GB2312"/>
          <w:sz w:val="32"/>
          <w:szCs w:val="32"/>
          <w:highlight w:val="none"/>
        </w:rPr>
        <w:t>公顷，比上年</w:t>
      </w:r>
      <w:r>
        <w:rPr>
          <w:rFonts w:hint="eastAsia" w:ascii="仿宋_GB2312" w:hAnsi="仿宋_GB2312" w:eastAsia="仿宋_GB2312" w:cs="仿宋_GB2312"/>
          <w:sz w:val="32"/>
          <w:szCs w:val="32"/>
          <w:highlight w:val="none"/>
          <w:lang w:eastAsia="zh-CN"/>
        </w:rPr>
        <w:t>增加</w:t>
      </w:r>
      <w:r>
        <w:rPr>
          <w:rFonts w:hint="eastAsia" w:ascii="仿宋_GB2312" w:hAnsi="仿宋_GB2312" w:eastAsia="仿宋_GB2312" w:cs="仿宋_GB2312"/>
          <w:sz w:val="32"/>
          <w:szCs w:val="32"/>
          <w:highlight w:val="none"/>
          <w:lang w:val="en-US" w:eastAsia="zh-CN"/>
        </w:rPr>
        <w:t>340</w:t>
      </w:r>
      <w:r>
        <w:rPr>
          <w:rFonts w:hint="eastAsia" w:ascii="仿宋_GB2312" w:hAnsi="仿宋_GB2312" w:eastAsia="仿宋_GB2312" w:cs="仿宋_GB2312"/>
          <w:sz w:val="32"/>
          <w:szCs w:val="32"/>
          <w:highlight w:val="none"/>
        </w:rPr>
        <w:t>公顷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其中</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水稻播种面积6</w:t>
      </w:r>
      <w:r>
        <w:rPr>
          <w:rFonts w:hint="eastAsia" w:ascii="仿宋_GB2312" w:hAnsi="仿宋_GB2312" w:eastAsia="仿宋_GB2312" w:cs="仿宋_GB2312"/>
          <w:sz w:val="32"/>
          <w:szCs w:val="32"/>
          <w:highlight w:val="none"/>
          <w:lang w:val="en-US" w:eastAsia="zh-CN"/>
        </w:rPr>
        <w:t>647</w:t>
      </w:r>
      <w:r>
        <w:rPr>
          <w:rFonts w:hint="eastAsia" w:ascii="仿宋_GB2312" w:hAnsi="仿宋_GB2312" w:eastAsia="仿宋_GB2312" w:cs="仿宋_GB2312"/>
          <w:sz w:val="32"/>
          <w:szCs w:val="32"/>
          <w:highlight w:val="none"/>
        </w:rPr>
        <w:t>公顷。全年粮食作物产量</w:t>
      </w:r>
      <w:r>
        <w:rPr>
          <w:rFonts w:hint="eastAsia" w:ascii="仿宋_GB2312" w:hAnsi="仿宋_GB2312" w:eastAsia="仿宋_GB2312" w:cs="仿宋_GB2312"/>
          <w:sz w:val="32"/>
          <w:szCs w:val="32"/>
          <w:highlight w:val="none"/>
          <w:lang w:val="en-US" w:eastAsia="zh-CN"/>
        </w:rPr>
        <w:t>54655</w:t>
      </w:r>
      <w:r>
        <w:rPr>
          <w:rFonts w:hint="eastAsia" w:ascii="仿宋_GB2312" w:hAnsi="仿宋_GB2312" w:eastAsia="仿宋_GB2312" w:cs="仿宋_GB2312"/>
          <w:sz w:val="32"/>
          <w:szCs w:val="32"/>
          <w:highlight w:val="none"/>
        </w:rPr>
        <w:t>吨</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其中</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水稻产量</w:t>
      </w:r>
      <w:r>
        <w:rPr>
          <w:rFonts w:hint="eastAsia" w:ascii="仿宋_GB2312" w:hAnsi="仿宋_GB2312" w:eastAsia="仿宋_GB2312" w:cs="仿宋_GB2312"/>
          <w:sz w:val="32"/>
          <w:szCs w:val="32"/>
          <w:highlight w:val="none"/>
          <w:lang w:val="en-US" w:eastAsia="zh-CN"/>
        </w:rPr>
        <w:t>54564</w:t>
      </w:r>
      <w:r>
        <w:rPr>
          <w:rFonts w:hint="eastAsia" w:ascii="仿宋_GB2312" w:hAnsi="仿宋_GB2312" w:eastAsia="仿宋_GB2312" w:cs="仿宋_GB2312"/>
          <w:sz w:val="32"/>
          <w:szCs w:val="32"/>
          <w:highlight w:val="none"/>
        </w:rPr>
        <w:t>吨。在</w:t>
      </w:r>
      <w:r>
        <w:rPr>
          <w:rFonts w:hint="eastAsia" w:ascii="仿宋_GB2312" w:hAnsi="仿宋_GB2312" w:eastAsia="仿宋_GB2312" w:cs="仿宋_GB2312"/>
          <w:sz w:val="32"/>
          <w:szCs w:val="32"/>
          <w:highlight w:val="none"/>
          <w:lang w:eastAsia="zh-CN"/>
        </w:rPr>
        <w:t>经济</w:t>
      </w:r>
      <w:r>
        <w:rPr>
          <w:rFonts w:hint="eastAsia" w:ascii="仿宋_GB2312" w:hAnsi="仿宋_GB2312" w:eastAsia="仿宋_GB2312" w:cs="仿宋_GB2312"/>
          <w:sz w:val="32"/>
          <w:szCs w:val="32"/>
          <w:highlight w:val="none"/>
        </w:rPr>
        <w:t>作物中，蔬菜播种面积</w:t>
      </w:r>
      <w:r>
        <w:rPr>
          <w:rFonts w:hint="eastAsia" w:ascii="仿宋_GB2312" w:hAnsi="仿宋_GB2312" w:eastAsia="仿宋_GB2312" w:cs="仿宋_GB2312"/>
          <w:sz w:val="32"/>
          <w:szCs w:val="32"/>
          <w:highlight w:val="none"/>
          <w:lang w:val="en-US" w:eastAsia="zh-CN"/>
        </w:rPr>
        <w:t>27.7</w:t>
      </w:r>
      <w:r>
        <w:rPr>
          <w:rFonts w:hint="eastAsia" w:ascii="仿宋_GB2312" w:hAnsi="仿宋_GB2312" w:eastAsia="仿宋_GB2312" w:cs="仿宋_GB2312"/>
          <w:sz w:val="32"/>
          <w:szCs w:val="32"/>
          <w:highlight w:val="none"/>
        </w:rPr>
        <w:t>公顷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蔬菜</w:t>
      </w:r>
      <w:r>
        <w:rPr>
          <w:rFonts w:hint="eastAsia" w:ascii="仿宋_GB2312" w:hAnsi="仿宋_GB2312" w:eastAsia="仿宋_GB2312" w:cs="仿宋_GB2312"/>
          <w:sz w:val="32"/>
          <w:szCs w:val="32"/>
          <w:highlight w:val="none"/>
        </w:rPr>
        <w:t>产量</w:t>
      </w:r>
      <w:r>
        <w:rPr>
          <w:rFonts w:hint="eastAsia" w:ascii="仿宋_GB2312" w:hAnsi="仿宋_GB2312" w:eastAsia="仿宋_GB2312" w:cs="仿宋_GB2312"/>
          <w:sz w:val="32"/>
          <w:szCs w:val="32"/>
          <w:highlight w:val="none"/>
          <w:lang w:val="en-US" w:eastAsia="zh-CN"/>
        </w:rPr>
        <w:t>1747</w:t>
      </w:r>
      <w:r>
        <w:rPr>
          <w:rFonts w:hint="eastAsia" w:ascii="仿宋_GB2312" w:hAnsi="仿宋_GB2312" w:eastAsia="仿宋_GB2312" w:cs="仿宋_GB2312"/>
          <w:sz w:val="32"/>
          <w:szCs w:val="32"/>
          <w:highlight w:val="none"/>
        </w:rPr>
        <w:t>吨。</w:t>
      </w:r>
      <w:r>
        <w:rPr>
          <w:rFonts w:hint="eastAsia" w:ascii="仿宋_GB2312" w:hAnsi="仿宋_GB2312" w:eastAsia="仿宋_GB2312" w:cs="仿宋_GB2312"/>
          <w:sz w:val="32"/>
          <w:szCs w:val="32"/>
          <w:highlight w:val="none"/>
          <w:lang w:eastAsia="zh-CN"/>
        </w:rPr>
        <w:t>全区农用化肥施用量</w:t>
      </w:r>
      <w:r>
        <w:rPr>
          <w:rFonts w:hint="eastAsia" w:ascii="仿宋_GB2312" w:hAnsi="仿宋_GB2312" w:eastAsia="仿宋_GB2312" w:cs="仿宋_GB2312"/>
          <w:sz w:val="32"/>
          <w:szCs w:val="32"/>
          <w:highlight w:val="none"/>
          <w:lang w:val="en-US" w:eastAsia="zh-CN"/>
        </w:rPr>
        <w:t>5489吨，农药使用量40.58吨。</w:t>
      </w:r>
      <w:r>
        <w:rPr>
          <w:rFonts w:hint="eastAsia" w:ascii="仿宋_GB2312" w:hAnsi="仿宋_GB2312" w:eastAsia="仿宋_GB2312" w:cs="仿宋_GB2312"/>
          <w:sz w:val="32"/>
          <w:szCs w:val="32"/>
          <w:highlight w:val="none"/>
        </w:rPr>
        <w:t>农业机械总动力4.</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万千瓦特。</w:t>
      </w:r>
    </w:p>
    <w:p>
      <w:pPr>
        <w:keepNext w:val="0"/>
        <w:keepLines w:val="0"/>
        <w:pageBreakBefore w:val="0"/>
        <w:kinsoku/>
        <w:wordWrap/>
        <w:overflowPunct/>
        <w:topLinePunct w:val="0"/>
        <w:autoSpaceDE/>
        <w:autoSpaceDN/>
        <w:bidi w:val="0"/>
        <w:adjustRightInd w:val="0"/>
        <w:snapToGrid w:val="0"/>
        <w:spacing w:line="322" w:lineRule="auto"/>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全年肉类总产量</w:t>
      </w:r>
      <w:r>
        <w:rPr>
          <w:rFonts w:hint="eastAsia" w:ascii="仿宋_GB2312" w:hAnsi="仿宋_GB2312" w:eastAsia="仿宋_GB2312" w:cs="仿宋_GB2312"/>
          <w:sz w:val="32"/>
          <w:szCs w:val="32"/>
          <w:highlight w:val="none"/>
          <w:lang w:val="en-US" w:eastAsia="zh-CN"/>
        </w:rPr>
        <w:t>1518</w:t>
      </w:r>
      <w:r>
        <w:rPr>
          <w:rFonts w:hint="eastAsia" w:ascii="仿宋_GB2312" w:hAnsi="仿宋_GB2312" w:eastAsia="仿宋_GB2312" w:cs="仿宋_GB2312"/>
          <w:sz w:val="32"/>
          <w:szCs w:val="32"/>
          <w:highlight w:val="none"/>
        </w:rPr>
        <w:t>吨。其中</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猪肉产量</w:t>
      </w:r>
      <w:r>
        <w:rPr>
          <w:rFonts w:hint="eastAsia" w:ascii="仿宋_GB2312" w:hAnsi="仿宋_GB2312" w:eastAsia="仿宋_GB2312" w:cs="仿宋_GB2312"/>
          <w:sz w:val="32"/>
          <w:szCs w:val="32"/>
          <w:highlight w:val="none"/>
          <w:lang w:val="en-US" w:eastAsia="zh-CN"/>
        </w:rPr>
        <w:t>662</w:t>
      </w:r>
      <w:r>
        <w:rPr>
          <w:rFonts w:hint="eastAsia" w:ascii="仿宋_GB2312" w:hAnsi="仿宋_GB2312" w:eastAsia="仿宋_GB2312" w:cs="仿宋_GB2312"/>
          <w:sz w:val="32"/>
          <w:szCs w:val="32"/>
          <w:highlight w:val="none"/>
        </w:rPr>
        <w:t>吨，</w:t>
      </w:r>
      <w:r>
        <w:rPr>
          <w:rFonts w:hint="eastAsia" w:ascii="仿宋_GB2312" w:hAnsi="仿宋_GB2312" w:eastAsia="仿宋_GB2312" w:cs="仿宋_GB2312"/>
          <w:sz w:val="32"/>
          <w:szCs w:val="32"/>
          <w:highlight w:val="none"/>
          <w:lang w:eastAsia="zh-CN"/>
        </w:rPr>
        <w:t>牛肉产量</w:t>
      </w:r>
      <w:r>
        <w:rPr>
          <w:rFonts w:hint="eastAsia" w:ascii="仿宋_GB2312" w:hAnsi="仿宋_GB2312" w:eastAsia="仿宋_GB2312" w:cs="仿宋_GB2312"/>
          <w:sz w:val="32"/>
          <w:szCs w:val="32"/>
          <w:highlight w:val="none"/>
          <w:lang w:val="en-US" w:eastAsia="zh-CN"/>
        </w:rPr>
        <w:t>48吨，羊肉产量15吨，</w:t>
      </w:r>
      <w:r>
        <w:rPr>
          <w:rFonts w:hint="eastAsia" w:ascii="仿宋_GB2312" w:hAnsi="仿宋_GB2312" w:eastAsia="仿宋_GB2312" w:cs="仿宋_GB2312"/>
          <w:sz w:val="32"/>
          <w:szCs w:val="32"/>
          <w:highlight w:val="none"/>
        </w:rPr>
        <w:t>禽肉产量</w:t>
      </w:r>
      <w:r>
        <w:rPr>
          <w:rFonts w:hint="eastAsia" w:ascii="仿宋_GB2312" w:hAnsi="仿宋_GB2312" w:eastAsia="仿宋_GB2312" w:cs="仿宋_GB2312"/>
          <w:sz w:val="32"/>
          <w:szCs w:val="32"/>
          <w:highlight w:val="none"/>
          <w:lang w:val="en-US" w:eastAsia="zh-CN"/>
        </w:rPr>
        <w:t>793</w:t>
      </w:r>
      <w:r>
        <w:rPr>
          <w:rFonts w:hint="eastAsia" w:ascii="仿宋_GB2312" w:hAnsi="仿宋_GB2312" w:eastAsia="仿宋_GB2312" w:cs="仿宋_GB2312"/>
          <w:sz w:val="32"/>
          <w:szCs w:val="32"/>
          <w:highlight w:val="none"/>
        </w:rPr>
        <w:t>吨</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全年禽蛋产量</w:t>
      </w:r>
      <w:r>
        <w:rPr>
          <w:rFonts w:hint="eastAsia" w:ascii="仿宋_GB2312" w:hAnsi="仿宋_GB2312" w:eastAsia="仿宋_GB2312" w:cs="仿宋_GB2312"/>
          <w:sz w:val="32"/>
          <w:szCs w:val="32"/>
          <w:highlight w:val="none"/>
          <w:lang w:val="en-US" w:eastAsia="zh-CN"/>
        </w:rPr>
        <w:t>727</w:t>
      </w:r>
      <w:r>
        <w:rPr>
          <w:rFonts w:hint="eastAsia" w:ascii="仿宋_GB2312" w:hAnsi="仿宋_GB2312" w:eastAsia="仿宋_GB2312" w:cs="仿宋_GB2312"/>
          <w:sz w:val="32"/>
          <w:szCs w:val="32"/>
          <w:highlight w:val="none"/>
        </w:rPr>
        <w:t>吨</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生猪出栏</w:t>
      </w:r>
      <w:r>
        <w:rPr>
          <w:rFonts w:hint="eastAsia" w:ascii="仿宋_GB2312" w:hAnsi="仿宋_GB2312" w:eastAsia="仿宋_GB2312" w:cs="仿宋_GB2312"/>
          <w:sz w:val="32"/>
          <w:szCs w:val="32"/>
          <w:highlight w:val="none"/>
          <w:lang w:val="en-US" w:eastAsia="zh-CN"/>
        </w:rPr>
        <w:t>9445</w:t>
      </w:r>
      <w:r>
        <w:rPr>
          <w:rFonts w:hint="eastAsia" w:ascii="仿宋_GB2312" w:hAnsi="仿宋_GB2312" w:eastAsia="仿宋_GB2312" w:cs="仿宋_GB2312"/>
          <w:sz w:val="32"/>
          <w:szCs w:val="32"/>
          <w:highlight w:val="none"/>
        </w:rPr>
        <w:t>头，年末存栏</w:t>
      </w:r>
      <w:r>
        <w:rPr>
          <w:rFonts w:hint="eastAsia" w:ascii="仿宋_GB2312" w:hAnsi="仿宋_GB2312" w:eastAsia="仿宋_GB2312" w:cs="仿宋_GB2312"/>
          <w:sz w:val="32"/>
          <w:szCs w:val="32"/>
          <w:highlight w:val="none"/>
          <w:lang w:val="en-US" w:eastAsia="zh-CN"/>
        </w:rPr>
        <w:t>7061</w:t>
      </w:r>
      <w:r>
        <w:rPr>
          <w:rFonts w:hint="eastAsia" w:ascii="仿宋_GB2312" w:hAnsi="仿宋_GB2312" w:eastAsia="仿宋_GB2312" w:cs="仿宋_GB2312"/>
          <w:sz w:val="32"/>
          <w:szCs w:val="32"/>
          <w:highlight w:val="none"/>
        </w:rPr>
        <w:t>头</w:t>
      </w:r>
      <w:r>
        <w:rPr>
          <w:rFonts w:hint="eastAsia" w:ascii="仿宋_GB2312" w:hAnsi="仿宋_GB2312" w:eastAsia="仿宋_GB2312" w:cs="仿宋_GB2312"/>
          <w:sz w:val="32"/>
          <w:szCs w:val="32"/>
          <w:highlight w:val="none"/>
          <w:lang w:eastAsia="zh-CN"/>
        </w:rPr>
        <w:t>。牛奶产量</w:t>
      </w:r>
      <w:r>
        <w:rPr>
          <w:rFonts w:hint="eastAsia" w:ascii="仿宋_GB2312" w:hAnsi="仿宋_GB2312" w:eastAsia="仿宋_GB2312" w:cs="仿宋_GB2312"/>
          <w:sz w:val="32"/>
          <w:szCs w:val="32"/>
          <w:highlight w:val="none"/>
          <w:lang w:val="en-US" w:eastAsia="zh-CN"/>
        </w:rPr>
        <w:t>375吨。</w:t>
      </w:r>
      <w:r>
        <w:rPr>
          <w:rFonts w:hint="eastAsia" w:ascii="仿宋_GB2312" w:hAnsi="仿宋_GB2312" w:eastAsia="仿宋_GB2312" w:cs="仿宋_GB2312"/>
          <w:sz w:val="32"/>
          <w:szCs w:val="32"/>
          <w:highlight w:val="none"/>
        </w:rPr>
        <w:t>全年水产品产量</w:t>
      </w:r>
      <w:r>
        <w:rPr>
          <w:rFonts w:hint="eastAsia" w:ascii="仿宋_GB2312" w:hAnsi="仿宋_GB2312" w:eastAsia="仿宋_GB2312" w:cs="仿宋_GB2312"/>
          <w:sz w:val="32"/>
          <w:szCs w:val="32"/>
          <w:highlight w:val="none"/>
          <w:lang w:val="en-US" w:eastAsia="zh-CN"/>
        </w:rPr>
        <w:t>2400</w:t>
      </w:r>
      <w:r>
        <w:rPr>
          <w:rFonts w:hint="eastAsia" w:ascii="仿宋_GB2312" w:hAnsi="仿宋_GB2312" w:eastAsia="仿宋_GB2312" w:cs="仿宋_GB2312"/>
          <w:sz w:val="32"/>
          <w:szCs w:val="32"/>
          <w:highlight w:val="none"/>
        </w:rPr>
        <w:t>吨。</w:t>
      </w:r>
    </w:p>
    <w:p>
      <w:pPr>
        <w:keepNext w:val="0"/>
        <w:keepLines w:val="0"/>
        <w:pageBreakBefore w:val="0"/>
        <w:widowControl/>
        <w:kinsoku/>
        <w:wordWrap/>
        <w:overflowPunct/>
        <w:topLinePunct w:val="0"/>
        <w:autoSpaceDE/>
        <w:autoSpaceDN/>
        <w:bidi w:val="0"/>
        <w:adjustRightInd w:val="0"/>
        <w:snapToGrid w:val="0"/>
        <w:spacing w:line="322" w:lineRule="auto"/>
        <w:ind w:firstLine="640" w:firstLineChars="200"/>
        <w:jc w:val="both"/>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三、工业和建筑业</w:t>
      </w:r>
    </w:p>
    <w:p>
      <w:pPr>
        <w:keepNext w:val="0"/>
        <w:keepLines w:val="0"/>
        <w:pageBreakBefore w:val="0"/>
        <w:kinsoku/>
        <w:wordWrap/>
        <w:overflowPunct/>
        <w:topLinePunct w:val="0"/>
        <w:autoSpaceDE/>
        <w:autoSpaceDN/>
        <w:bidi w:val="0"/>
        <w:adjustRightInd w:val="0"/>
        <w:snapToGrid w:val="0"/>
        <w:spacing w:line="322" w:lineRule="auto"/>
        <w:ind w:firstLine="640" w:firstLineChars="200"/>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sz w:val="32"/>
          <w:szCs w:val="32"/>
          <w:highlight w:val="none"/>
          <w:lang w:val="en-US" w:eastAsia="zh-CN"/>
        </w:rPr>
        <w:t>全年全部工业增加值144.6亿元，比上年下降2.8%。</w:t>
      </w:r>
      <w:r>
        <w:rPr>
          <w:rFonts w:hint="eastAsia" w:ascii="仿宋_GB2312" w:hAnsi="仿宋_GB2312" w:eastAsia="仿宋_GB2312" w:cs="仿宋_GB2312"/>
          <w:sz w:val="32"/>
          <w:szCs w:val="32"/>
          <w:highlight w:val="none"/>
        </w:rPr>
        <w:t>规模以上</w:t>
      </w:r>
      <w:r>
        <w:rPr>
          <w:rFonts w:hint="eastAsia" w:ascii="仿宋_GB2312" w:hAnsi="仿宋_GB2312" w:eastAsia="仿宋_GB2312" w:cs="仿宋_GB2312"/>
          <w:kern w:val="0"/>
          <w:sz w:val="32"/>
          <w:szCs w:val="32"/>
          <w:highlight w:val="none"/>
        </w:rPr>
        <w:t>工业增加值</w:t>
      </w:r>
      <w:r>
        <w:rPr>
          <w:rFonts w:hint="eastAsia" w:ascii="仿宋_GB2312" w:hAnsi="仿宋_GB2312" w:eastAsia="仿宋_GB2312" w:cs="仿宋_GB2312"/>
          <w:sz w:val="32"/>
          <w:szCs w:val="32"/>
          <w:highlight w:val="none"/>
          <w:vertAlign w:val="superscript"/>
        </w:rPr>
        <w:t>[</w:t>
      </w:r>
      <w:r>
        <w:rPr>
          <w:rFonts w:hint="eastAsia" w:ascii="仿宋_GB2312" w:hAnsi="仿宋_GB2312" w:eastAsia="仿宋_GB2312" w:cs="仿宋_GB2312"/>
          <w:sz w:val="32"/>
          <w:szCs w:val="32"/>
          <w:highlight w:val="none"/>
          <w:vertAlign w:val="superscript"/>
          <w:lang w:val="en-US" w:eastAsia="zh-CN"/>
        </w:rPr>
        <w:t>3</w:t>
      </w:r>
      <w:r>
        <w:rPr>
          <w:rFonts w:hint="eastAsia" w:ascii="仿宋_GB2312" w:hAnsi="仿宋_GB2312" w:eastAsia="仿宋_GB2312" w:cs="仿宋_GB2312"/>
          <w:sz w:val="32"/>
          <w:szCs w:val="32"/>
          <w:highlight w:val="none"/>
          <w:vertAlign w:val="superscript"/>
        </w:rPr>
        <w:t>]</w:t>
      </w:r>
      <w:r>
        <w:rPr>
          <w:rFonts w:hint="eastAsia" w:ascii="仿宋_GB2312" w:hAnsi="仿宋_GB2312" w:eastAsia="仿宋_GB2312" w:cs="仿宋_GB2312"/>
          <w:kern w:val="0"/>
          <w:sz w:val="32"/>
          <w:szCs w:val="32"/>
          <w:highlight w:val="none"/>
        </w:rPr>
        <w:t>比上年</w:t>
      </w:r>
      <w:r>
        <w:rPr>
          <w:rFonts w:hint="eastAsia" w:ascii="仿宋_GB2312" w:hAnsi="仿宋_GB2312" w:eastAsia="仿宋_GB2312" w:cs="仿宋_GB2312"/>
          <w:kern w:val="0"/>
          <w:sz w:val="32"/>
          <w:szCs w:val="32"/>
          <w:highlight w:val="none"/>
          <w:lang w:val="en-US" w:eastAsia="zh-CN"/>
        </w:rPr>
        <w:t>下降1.4</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eastAsia="zh-CN"/>
        </w:rPr>
        <w:t>其中，</w:t>
      </w:r>
      <w:r>
        <w:rPr>
          <w:rFonts w:hint="eastAsia" w:ascii="仿宋_GB2312" w:hAnsi="仿宋_GB2312" w:eastAsia="仿宋_GB2312" w:cs="仿宋_GB2312"/>
          <w:kern w:val="0"/>
          <w:sz w:val="32"/>
          <w:szCs w:val="32"/>
          <w:highlight w:val="none"/>
        </w:rPr>
        <w:t>区本级规模以上工业增加值增长</w:t>
      </w:r>
      <w:r>
        <w:rPr>
          <w:rFonts w:hint="eastAsia" w:ascii="仿宋_GB2312" w:hAnsi="仿宋_GB2312" w:eastAsia="仿宋_GB2312" w:cs="仿宋_GB2312"/>
          <w:kern w:val="0"/>
          <w:sz w:val="32"/>
          <w:szCs w:val="32"/>
          <w:highlight w:val="none"/>
          <w:lang w:val="en-US" w:eastAsia="zh-CN"/>
        </w:rPr>
        <w:t>11.7</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高新区规模以上工业增加值</w:t>
      </w:r>
      <w:r>
        <w:rPr>
          <w:rFonts w:hint="eastAsia" w:ascii="仿宋_GB2312" w:hAnsi="仿宋_GB2312" w:eastAsia="仿宋_GB2312" w:cs="仿宋_GB2312"/>
          <w:kern w:val="0"/>
          <w:sz w:val="32"/>
          <w:szCs w:val="32"/>
          <w:highlight w:val="none"/>
          <w:lang w:val="en-US" w:eastAsia="zh-CN"/>
        </w:rPr>
        <w:t>下降8.4</w:t>
      </w:r>
      <w:r>
        <w:rPr>
          <w:rFonts w:hint="eastAsia" w:ascii="仿宋_GB2312" w:hAnsi="仿宋_GB2312" w:eastAsia="仿宋_GB2312" w:cs="仿宋_GB2312"/>
          <w:kern w:val="0"/>
          <w:sz w:val="32"/>
          <w:szCs w:val="32"/>
          <w:highlight w:val="none"/>
        </w:rPr>
        <w:t>%。</w:t>
      </w:r>
    </w:p>
    <w:p>
      <w:pPr>
        <w:keepNext w:val="0"/>
        <w:keepLines w:val="0"/>
        <w:pageBreakBefore w:val="0"/>
        <w:kinsoku/>
        <w:wordWrap/>
        <w:overflowPunct/>
        <w:topLinePunct w:val="0"/>
        <w:autoSpaceDE/>
        <w:autoSpaceDN/>
        <w:bidi w:val="0"/>
        <w:adjustRightInd w:val="0"/>
        <w:snapToGrid w:val="0"/>
        <w:spacing w:line="322" w:lineRule="auto"/>
        <w:ind w:firstLine="640" w:firstLineChars="200"/>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sz w:val="32"/>
          <w:szCs w:val="32"/>
          <w:highlight w:val="none"/>
          <w:lang w:eastAsia="zh-CN"/>
        </w:rPr>
        <w:t>全年</w:t>
      </w:r>
      <w:r>
        <w:rPr>
          <w:rFonts w:hint="eastAsia" w:ascii="仿宋_GB2312" w:hAnsi="仿宋_GB2312" w:eastAsia="仿宋_GB2312" w:cs="仿宋_GB2312"/>
          <w:sz w:val="32"/>
          <w:szCs w:val="32"/>
          <w:highlight w:val="none"/>
        </w:rPr>
        <w:t>规模以上</w:t>
      </w:r>
      <w:r>
        <w:rPr>
          <w:rFonts w:hint="eastAsia" w:ascii="仿宋_GB2312" w:hAnsi="仿宋_GB2312" w:eastAsia="仿宋_GB2312" w:cs="仿宋_GB2312"/>
          <w:kern w:val="0"/>
          <w:sz w:val="32"/>
          <w:szCs w:val="32"/>
          <w:highlight w:val="none"/>
        </w:rPr>
        <w:t>工业增加值分集群看</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石油装备制造产业集群增加值比上年</w:t>
      </w:r>
      <w:r>
        <w:rPr>
          <w:rFonts w:hint="eastAsia" w:ascii="仿宋_GB2312" w:hAnsi="仿宋_GB2312" w:eastAsia="仿宋_GB2312" w:cs="仿宋_GB2312"/>
          <w:kern w:val="0"/>
          <w:sz w:val="32"/>
          <w:szCs w:val="32"/>
          <w:highlight w:val="none"/>
          <w:lang w:val="en-US" w:eastAsia="zh-CN"/>
        </w:rPr>
        <w:t>下降3.9</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石油化工产业集群增加值</w:t>
      </w:r>
      <w:r>
        <w:rPr>
          <w:rFonts w:hint="eastAsia" w:ascii="仿宋_GB2312" w:hAnsi="仿宋_GB2312" w:eastAsia="仿宋_GB2312" w:cs="仿宋_GB2312"/>
          <w:kern w:val="0"/>
          <w:sz w:val="32"/>
          <w:szCs w:val="32"/>
          <w:highlight w:val="none"/>
          <w:lang w:val="en-US" w:eastAsia="zh-CN"/>
        </w:rPr>
        <w:t>下降12.1</w:t>
      </w:r>
      <w:r>
        <w:rPr>
          <w:rFonts w:hint="eastAsia" w:ascii="仿宋_GB2312" w:hAnsi="仿宋_GB2312" w:eastAsia="仿宋_GB2312" w:cs="仿宋_GB2312"/>
          <w:kern w:val="0"/>
          <w:sz w:val="32"/>
          <w:szCs w:val="32"/>
          <w:highlight w:val="none"/>
        </w:rPr>
        <w:t>%。</w:t>
      </w:r>
    </w:p>
    <w:p>
      <w:pPr>
        <w:keepNext w:val="0"/>
        <w:keepLines w:val="0"/>
        <w:pageBreakBefore w:val="0"/>
        <w:kinsoku/>
        <w:wordWrap/>
        <w:overflowPunct/>
        <w:topLinePunct w:val="0"/>
        <w:autoSpaceDE/>
        <w:autoSpaceDN/>
        <w:bidi w:val="0"/>
        <w:adjustRightInd w:val="0"/>
        <w:snapToGrid w:val="0"/>
        <w:spacing w:line="322" w:lineRule="auto"/>
        <w:ind w:firstLine="640" w:firstLineChars="200"/>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sz w:val="32"/>
          <w:szCs w:val="32"/>
          <w:highlight w:val="none"/>
          <w:lang w:eastAsia="zh-CN"/>
        </w:rPr>
        <w:t>全年</w:t>
      </w:r>
      <w:r>
        <w:rPr>
          <w:rFonts w:hint="eastAsia" w:ascii="仿宋_GB2312" w:hAnsi="仿宋_GB2312" w:eastAsia="仿宋_GB2312" w:cs="仿宋_GB2312"/>
          <w:sz w:val="32"/>
          <w:szCs w:val="32"/>
          <w:highlight w:val="none"/>
        </w:rPr>
        <w:t>规模以上</w:t>
      </w:r>
      <w:r>
        <w:rPr>
          <w:rFonts w:hint="eastAsia" w:ascii="仿宋_GB2312" w:hAnsi="仿宋_GB2312" w:eastAsia="仿宋_GB2312" w:cs="仿宋_GB2312"/>
          <w:kern w:val="0"/>
          <w:sz w:val="32"/>
          <w:szCs w:val="32"/>
          <w:highlight w:val="none"/>
        </w:rPr>
        <w:t>工业增加值分门类看，采矿业增加值比上年增长10.6%，制造业增加值</w:t>
      </w:r>
      <w:r>
        <w:rPr>
          <w:rFonts w:hint="eastAsia" w:ascii="仿宋_GB2312" w:hAnsi="仿宋_GB2312" w:eastAsia="仿宋_GB2312" w:cs="仿宋_GB2312"/>
          <w:kern w:val="0"/>
          <w:sz w:val="32"/>
          <w:szCs w:val="32"/>
          <w:highlight w:val="none"/>
          <w:lang w:val="en-US" w:eastAsia="zh-CN"/>
        </w:rPr>
        <w:t>下降12.0</w:t>
      </w:r>
      <w:r>
        <w:rPr>
          <w:rFonts w:hint="eastAsia" w:ascii="仿宋_GB2312" w:hAnsi="仿宋_GB2312" w:eastAsia="仿宋_GB2312" w:cs="仿宋_GB2312"/>
          <w:kern w:val="0"/>
          <w:sz w:val="32"/>
          <w:szCs w:val="32"/>
          <w:highlight w:val="none"/>
        </w:rPr>
        <w:t>%，电力、热力、燃气及水电生产和供应业增加值增长</w:t>
      </w:r>
      <w:r>
        <w:rPr>
          <w:rFonts w:hint="eastAsia" w:ascii="仿宋_GB2312" w:hAnsi="仿宋_GB2312" w:eastAsia="仿宋_GB2312" w:cs="仿宋_GB2312"/>
          <w:kern w:val="0"/>
          <w:sz w:val="32"/>
          <w:szCs w:val="32"/>
          <w:highlight w:val="none"/>
          <w:lang w:val="en-US" w:eastAsia="zh-CN"/>
        </w:rPr>
        <w:t>12.9</w:t>
      </w:r>
      <w:r>
        <w:rPr>
          <w:rFonts w:hint="eastAsia" w:ascii="仿宋_GB2312" w:hAnsi="仿宋_GB2312" w:eastAsia="仿宋_GB2312" w:cs="仿宋_GB2312"/>
          <w:kern w:val="0"/>
          <w:sz w:val="32"/>
          <w:szCs w:val="32"/>
          <w:highlight w:val="none"/>
        </w:rPr>
        <w:t>%。</w:t>
      </w:r>
    </w:p>
    <w:p>
      <w:pPr>
        <w:keepNext w:val="0"/>
        <w:keepLines w:val="0"/>
        <w:pageBreakBefore w:val="0"/>
        <w:kinsoku/>
        <w:wordWrap/>
        <w:overflowPunct/>
        <w:topLinePunct w:val="0"/>
        <w:autoSpaceDE/>
        <w:autoSpaceDN/>
        <w:bidi w:val="0"/>
        <w:adjustRightInd w:val="0"/>
        <w:snapToGrid w:val="0"/>
        <w:spacing w:line="322" w:lineRule="auto"/>
        <w:ind w:firstLine="640"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sz w:val="32"/>
          <w:szCs w:val="32"/>
          <w:highlight w:val="none"/>
          <w:lang w:eastAsia="zh-CN"/>
        </w:rPr>
        <w:t>全年</w:t>
      </w:r>
      <w:r>
        <w:rPr>
          <w:rFonts w:hint="eastAsia" w:ascii="仿宋_GB2312" w:hAnsi="仿宋_GB2312" w:eastAsia="仿宋_GB2312" w:cs="仿宋_GB2312"/>
          <w:sz w:val="32"/>
          <w:szCs w:val="32"/>
          <w:highlight w:val="none"/>
        </w:rPr>
        <w:t>规模以上</w:t>
      </w:r>
      <w:r>
        <w:rPr>
          <w:rFonts w:hint="eastAsia" w:ascii="仿宋_GB2312" w:hAnsi="仿宋_GB2312" w:eastAsia="仿宋_GB2312" w:cs="仿宋_GB2312"/>
          <w:kern w:val="0"/>
          <w:sz w:val="32"/>
          <w:szCs w:val="32"/>
          <w:highlight w:val="none"/>
        </w:rPr>
        <w:t>工业增加值</w:t>
      </w:r>
      <w:r>
        <w:rPr>
          <w:rFonts w:hint="eastAsia" w:ascii="仿宋_GB2312" w:hAnsi="仿宋_GB2312" w:eastAsia="仿宋_GB2312" w:cs="仿宋_GB2312"/>
          <w:color w:val="auto"/>
          <w:kern w:val="0"/>
          <w:sz w:val="32"/>
          <w:szCs w:val="32"/>
          <w:highlight w:val="none"/>
        </w:rPr>
        <w:t>分行业看，开采专业及辅助性活动增加值比上年增长</w:t>
      </w:r>
      <w:r>
        <w:rPr>
          <w:rFonts w:hint="eastAsia" w:ascii="仿宋_GB2312" w:hAnsi="仿宋_GB2312" w:eastAsia="仿宋_GB2312" w:cs="仿宋_GB2312"/>
          <w:color w:val="auto"/>
          <w:kern w:val="0"/>
          <w:sz w:val="32"/>
          <w:szCs w:val="32"/>
          <w:highlight w:val="none"/>
          <w:lang w:val="en-US" w:eastAsia="zh-CN"/>
        </w:rPr>
        <w:t>10.3</w:t>
      </w:r>
      <w:r>
        <w:rPr>
          <w:rFonts w:hint="eastAsia" w:ascii="仿宋_GB2312" w:hAnsi="仿宋_GB2312" w:eastAsia="仿宋_GB2312" w:cs="仿宋_GB2312"/>
          <w:color w:val="auto"/>
          <w:kern w:val="0"/>
          <w:sz w:val="32"/>
          <w:szCs w:val="32"/>
          <w:highlight w:val="none"/>
        </w:rPr>
        <w:t>%，占规模以上工业增加值比重为</w:t>
      </w:r>
      <w:r>
        <w:rPr>
          <w:rFonts w:hint="eastAsia" w:ascii="仿宋_GB2312" w:hAnsi="仿宋_GB2312" w:eastAsia="仿宋_GB2312" w:cs="仿宋_GB2312"/>
          <w:color w:val="auto"/>
          <w:kern w:val="0"/>
          <w:sz w:val="32"/>
          <w:szCs w:val="32"/>
          <w:highlight w:val="none"/>
          <w:lang w:val="en-US" w:eastAsia="zh-CN"/>
        </w:rPr>
        <w:t>36.1</w:t>
      </w:r>
      <w:r>
        <w:rPr>
          <w:rFonts w:hint="eastAsia" w:ascii="仿宋_GB2312" w:hAnsi="仿宋_GB2312" w:eastAsia="仿宋_GB2312" w:cs="仿宋_GB2312"/>
          <w:color w:val="auto"/>
          <w:kern w:val="0"/>
          <w:sz w:val="32"/>
          <w:szCs w:val="32"/>
          <w:highlight w:val="none"/>
        </w:rPr>
        <w:t>%；石油加工、炼焦和核燃料加工业</w:t>
      </w:r>
      <w:r>
        <w:rPr>
          <w:rFonts w:hint="eastAsia" w:ascii="仿宋_GB2312" w:hAnsi="仿宋_GB2312" w:eastAsia="仿宋_GB2312" w:cs="仿宋_GB2312"/>
          <w:color w:val="auto"/>
          <w:kern w:val="0"/>
          <w:sz w:val="32"/>
          <w:szCs w:val="32"/>
          <w:highlight w:val="none"/>
          <w:lang w:val="en-US" w:eastAsia="zh-CN"/>
        </w:rPr>
        <w:t>下降10.4</w:t>
      </w:r>
      <w:r>
        <w:rPr>
          <w:rFonts w:hint="eastAsia" w:ascii="仿宋_GB2312" w:hAnsi="仿宋_GB2312" w:eastAsia="仿宋_GB2312" w:cs="仿宋_GB2312"/>
          <w:color w:val="auto"/>
          <w:kern w:val="0"/>
          <w:sz w:val="32"/>
          <w:szCs w:val="32"/>
          <w:highlight w:val="none"/>
        </w:rPr>
        <w:t>%，占规模以上工业增加值比重为</w:t>
      </w:r>
      <w:r>
        <w:rPr>
          <w:rFonts w:hint="eastAsia" w:ascii="仿宋_GB2312" w:hAnsi="仿宋_GB2312" w:eastAsia="仿宋_GB2312" w:cs="仿宋_GB2312"/>
          <w:color w:val="auto"/>
          <w:kern w:val="0"/>
          <w:sz w:val="32"/>
          <w:szCs w:val="32"/>
          <w:highlight w:val="none"/>
          <w:lang w:val="en-US" w:eastAsia="zh-CN"/>
        </w:rPr>
        <w:t>46.1</w:t>
      </w:r>
      <w:r>
        <w:rPr>
          <w:rFonts w:hint="eastAsia" w:ascii="仿宋_GB2312" w:hAnsi="仿宋_GB2312" w:eastAsia="仿宋_GB2312" w:cs="仿宋_GB2312"/>
          <w:color w:val="auto"/>
          <w:kern w:val="0"/>
          <w:sz w:val="32"/>
          <w:szCs w:val="32"/>
          <w:highlight w:val="none"/>
        </w:rPr>
        <w:t>%；电力、热力生产和供应业</w:t>
      </w:r>
      <w:r>
        <w:rPr>
          <w:rFonts w:hint="eastAsia" w:ascii="仿宋_GB2312" w:hAnsi="仿宋_GB2312" w:eastAsia="仿宋_GB2312" w:cs="仿宋_GB2312"/>
          <w:color w:val="auto"/>
          <w:kern w:val="0"/>
          <w:sz w:val="32"/>
          <w:szCs w:val="32"/>
          <w:highlight w:val="none"/>
          <w:lang w:val="en-US" w:eastAsia="zh-CN"/>
        </w:rPr>
        <w:t>增长15.7</w:t>
      </w:r>
      <w:r>
        <w:rPr>
          <w:rFonts w:hint="eastAsia" w:ascii="仿宋_GB2312" w:hAnsi="仿宋_GB2312" w:eastAsia="仿宋_GB2312" w:cs="仿宋_GB2312"/>
          <w:color w:val="auto"/>
          <w:kern w:val="0"/>
          <w:sz w:val="32"/>
          <w:szCs w:val="32"/>
          <w:highlight w:val="none"/>
        </w:rPr>
        <w:t>%，占规模以上工业增加值比重为</w:t>
      </w:r>
      <w:r>
        <w:rPr>
          <w:rFonts w:hint="eastAsia" w:ascii="仿宋_GB2312" w:hAnsi="仿宋_GB2312" w:eastAsia="仿宋_GB2312" w:cs="仿宋_GB2312"/>
          <w:color w:val="auto"/>
          <w:kern w:val="0"/>
          <w:sz w:val="32"/>
          <w:szCs w:val="32"/>
          <w:highlight w:val="none"/>
          <w:lang w:val="en-US" w:eastAsia="zh-CN"/>
        </w:rPr>
        <w:t>4.7</w:t>
      </w:r>
      <w:r>
        <w:rPr>
          <w:rFonts w:hint="eastAsia" w:ascii="仿宋_GB2312" w:hAnsi="仿宋_GB2312" w:eastAsia="仿宋_GB2312" w:cs="仿宋_GB2312"/>
          <w:color w:val="auto"/>
          <w:kern w:val="0"/>
          <w:sz w:val="32"/>
          <w:szCs w:val="32"/>
          <w:highlight w:val="none"/>
        </w:rPr>
        <w:t>%；电气机械和器材制造业下降</w:t>
      </w:r>
      <w:r>
        <w:rPr>
          <w:rFonts w:hint="eastAsia" w:ascii="仿宋_GB2312" w:hAnsi="仿宋_GB2312" w:eastAsia="仿宋_GB2312" w:cs="仿宋_GB2312"/>
          <w:color w:val="auto"/>
          <w:kern w:val="0"/>
          <w:sz w:val="32"/>
          <w:szCs w:val="32"/>
          <w:highlight w:val="none"/>
          <w:lang w:val="en-US" w:eastAsia="zh-CN"/>
        </w:rPr>
        <w:t>25.3</w:t>
      </w:r>
      <w:r>
        <w:rPr>
          <w:rFonts w:hint="eastAsia" w:ascii="仿宋_GB2312" w:hAnsi="仿宋_GB2312" w:eastAsia="仿宋_GB2312" w:cs="仿宋_GB2312"/>
          <w:color w:val="auto"/>
          <w:kern w:val="0"/>
          <w:sz w:val="32"/>
          <w:szCs w:val="32"/>
          <w:highlight w:val="none"/>
        </w:rPr>
        <w:t>%，占规模以上工业增加值比重为</w:t>
      </w:r>
      <w:r>
        <w:rPr>
          <w:rFonts w:hint="eastAsia" w:ascii="仿宋_GB2312" w:hAnsi="仿宋_GB2312" w:eastAsia="仿宋_GB2312" w:cs="仿宋_GB2312"/>
          <w:color w:val="auto"/>
          <w:kern w:val="0"/>
          <w:sz w:val="32"/>
          <w:szCs w:val="32"/>
          <w:highlight w:val="none"/>
          <w:lang w:val="en-US" w:eastAsia="zh-CN"/>
        </w:rPr>
        <w:t>1.7</w:t>
      </w:r>
      <w:r>
        <w:rPr>
          <w:rFonts w:hint="eastAsia" w:ascii="仿宋_GB2312" w:hAnsi="仿宋_GB2312" w:eastAsia="仿宋_GB2312" w:cs="仿宋_GB2312"/>
          <w:color w:val="auto"/>
          <w:kern w:val="0"/>
          <w:sz w:val="32"/>
          <w:szCs w:val="32"/>
          <w:highlight w:val="none"/>
        </w:rPr>
        <w:t>%；非金属矿物制品业</w:t>
      </w:r>
      <w:r>
        <w:rPr>
          <w:rFonts w:hint="eastAsia" w:ascii="仿宋_GB2312" w:hAnsi="仿宋_GB2312" w:eastAsia="仿宋_GB2312" w:cs="仿宋_GB2312"/>
          <w:color w:val="auto"/>
          <w:kern w:val="0"/>
          <w:sz w:val="32"/>
          <w:szCs w:val="32"/>
          <w:highlight w:val="none"/>
          <w:lang w:val="en-US" w:eastAsia="zh-CN"/>
        </w:rPr>
        <w:t>下降23.4</w:t>
      </w:r>
      <w:r>
        <w:rPr>
          <w:rFonts w:hint="eastAsia" w:ascii="仿宋_GB2312" w:hAnsi="仿宋_GB2312" w:eastAsia="仿宋_GB2312" w:cs="仿宋_GB2312"/>
          <w:color w:val="auto"/>
          <w:kern w:val="0"/>
          <w:sz w:val="32"/>
          <w:szCs w:val="32"/>
          <w:highlight w:val="none"/>
        </w:rPr>
        <w:t>%，占规模以上工业增加值比重为</w:t>
      </w:r>
      <w:r>
        <w:rPr>
          <w:rFonts w:hint="eastAsia" w:ascii="仿宋_GB2312" w:hAnsi="仿宋_GB2312" w:eastAsia="仿宋_GB2312" w:cs="仿宋_GB2312"/>
          <w:color w:val="auto"/>
          <w:kern w:val="0"/>
          <w:sz w:val="32"/>
          <w:szCs w:val="32"/>
          <w:highlight w:val="none"/>
          <w:lang w:val="en-US" w:eastAsia="zh-CN"/>
        </w:rPr>
        <w:t>2</w:t>
      </w:r>
      <w:r>
        <w:rPr>
          <w:rFonts w:hint="eastAsia" w:ascii="仿宋_GB2312" w:hAnsi="仿宋_GB2312" w:eastAsia="仿宋_GB2312" w:cs="仿宋_GB2312"/>
          <w:color w:val="auto"/>
          <w:kern w:val="0"/>
          <w:sz w:val="32"/>
          <w:szCs w:val="32"/>
          <w:highlight w:val="none"/>
        </w:rPr>
        <w:t>%。</w:t>
      </w:r>
    </w:p>
    <w:p>
      <w:pPr>
        <w:spacing w:line="360" w:lineRule="auto"/>
        <w:jc w:val="left"/>
        <w:rPr>
          <w:rFonts w:hint="eastAsia" w:ascii="仿宋_GB2312" w:hAnsi="仿宋" w:eastAsia="仿宋_GB2312" w:cs="宋体"/>
          <w:color w:val="FF0000"/>
          <w:kern w:val="0"/>
          <w:sz w:val="34"/>
          <w:szCs w:val="34"/>
          <w:highlight w:val="none"/>
          <w:lang w:eastAsia="zh-CN"/>
        </w:rPr>
      </w:pPr>
      <w:r>
        <w:rPr>
          <w:rFonts w:hint="eastAsia" w:ascii="仿宋_GB2312" w:hAnsi="仿宋" w:eastAsia="仿宋_GB2312" w:cs="宋体"/>
          <w:color w:val="FF0000"/>
          <w:kern w:val="0"/>
          <w:sz w:val="34"/>
          <w:szCs w:val="34"/>
          <w:highlight w:val="none"/>
          <w:lang w:eastAsia="zh-CN"/>
        </w:rPr>
        <w:drawing>
          <wp:inline distT="0" distB="0" distL="114300" distR="114300">
            <wp:extent cx="5356225" cy="3496945"/>
            <wp:effectExtent l="0" t="0" r="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kinsoku/>
        <w:wordWrap/>
        <w:overflowPunct/>
        <w:topLinePunct w:val="0"/>
        <w:autoSpaceDE/>
        <w:autoSpaceDN/>
        <w:bidi w:val="0"/>
        <w:adjustRightInd w:val="0"/>
        <w:snapToGrid w:val="0"/>
        <w:spacing w:line="322" w:lineRule="auto"/>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全年规模以上工业企业主要产品产量中，原油加工量</w:t>
      </w:r>
      <w:r>
        <w:rPr>
          <w:rFonts w:hint="eastAsia" w:ascii="仿宋_GB2312" w:hAnsi="仿宋_GB2312" w:eastAsia="仿宋_GB2312" w:cs="仿宋_GB2312"/>
          <w:color w:val="auto"/>
          <w:kern w:val="0"/>
          <w:sz w:val="32"/>
          <w:szCs w:val="32"/>
          <w:highlight w:val="none"/>
          <w:lang w:val="en-US" w:eastAsia="zh-CN"/>
        </w:rPr>
        <w:t>165.7</w:t>
      </w:r>
      <w:r>
        <w:rPr>
          <w:rFonts w:hint="eastAsia" w:ascii="仿宋_GB2312" w:hAnsi="仿宋_GB2312" w:eastAsia="仿宋_GB2312" w:cs="仿宋_GB2312"/>
          <w:color w:val="auto"/>
          <w:kern w:val="0"/>
          <w:sz w:val="32"/>
          <w:szCs w:val="32"/>
          <w:highlight w:val="none"/>
        </w:rPr>
        <w:t>万吨，比上年</w:t>
      </w:r>
      <w:r>
        <w:rPr>
          <w:rFonts w:hint="eastAsia" w:ascii="仿宋_GB2312" w:hAnsi="仿宋_GB2312" w:eastAsia="仿宋_GB2312" w:cs="仿宋_GB2312"/>
          <w:color w:val="auto"/>
          <w:kern w:val="0"/>
          <w:sz w:val="32"/>
          <w:szCs w:val="32"/>
          <w:highlight w:val="none"/>
          <w:lang w:val="en-US" w:eastAsia="zh-CN"/>
        </w:rPr>
        <w:t>下降15</w:t>
      </w:r>
      <w:r>
        <w:rPr>
          <w:rFonts w:hint="eastAsia" w:ascii="仿宋_GB2312" w:hAnsi="仿宋_GB2312" w:eastAsia="仿宋_GB2312" w:cs="仿宋_GB2312"/>
          <w:color w:val="auto"/>
          <w:kern w:val="0"/>
          <w:sz w:val="32"/>
          <w:szCs w:val="32"/>
          <w:highlight w:val="none"/>
        </w:rPr>
        <w:t>.4%；沥青和改性沥青防水卷材</w:t>
      </w:r>
      <w:r>
        <w:rPr>
          <w:rFonts w:hint="eastAsia" w:ascii="仿宋_GB2312" w:hAnsi="仿宋_GB2312" w:eastAsia="仿宋_GB2312" w:cs="仿宋_GB2312"/>
          <w:color w:val="auto"/>
          <w:kern w:val="0"/>
          <w:sz w:val="32"/>
          <w:szCs w:val="32"/>
          <w:highlight w:val="none"/>
          <w:lang w:val="en-US" w:eastAsia="zh-CN"/>
        </w:rPr>
        <w:t>3098.9</w:t>
      </w:r>
      <w:r>
        <w:rPr>
          <w:rFonts w:hint="eastAsia" w:ascii="仿宋_GB2312" w:hAnsi="仿宋_GB2312" w:eastAsia="仿宋_GB2312" w:cs="仿宋_GB2312"/>
          <w:color w:val="auto"/>
          <w:kern w:val="0"/>
          <w:sz w:val="32"/>
          <w:szCs w:val="32"/>
          <w:highlight w:val="none"/>
        </w:rPr>
        <w:t>万平方米，比上年</w:t>
      </w:r>
      <w:r>
        <w:rPr>
          <w:rFonts w:hint="eastAsia" w:ascii="仿宋_GB2312" w:hAnsi="仿宋_GB2312" w:eastAsia="仿宋_GB2312" w:cs="仿宋_GB2312"/>
          <w:color w:val="auto"/>
          <w:kern w:val="0"/>
          <w:sz w:val="32"/>
          <w:szCs w:val="32"/>
          <w:highlight w:val="none"/>
          <w:lang w:val="en-US" w:eastAsia="zh-CN"/>
        </w:rPr>
        <w:t>下降</w:t>
      </w:r>
      <w:r>
        <w:rPr>
          <w:rFonts w:hint="eastAsia" w:ascii="仿宋_GB2312" w:hAnsi="仿宋_GB2312" w:eastAsia="仿宋_GB2312" w:cs="仿宋_GB2312"/>
          <w:color w:val="auto"/>
          <w:kern w:val="0"/>
          <w:sz w:val="32"/>
          <w:szCs w:val="32"/>
          <w:highlight w:val="none"/>
        </w:rPr>
        <w:t>20.</w:t>
      </w:r>
      <w:r>
        <w:rPr>
          <w:rFonts w:hint="eastAsia" w:ascii="仿宋_GB2312" w:hAnsi="仿宋_GB2312" w:eastAsia="仿宋_GB2312" w:cs="仿宋_GB2312"/>
          <w:color w:val="auto"/>
          <w:kern w:val="0"/>
          <w:sz w:val="32"/>
          <w:szCs w:val="32"/>
          <w:highlight w:val="none"/>
          <w:lang w:val="en-US" w:eastAsia="zh-CN"/>
        </w:rPr>
        <w:t>8</w:t>
      </w:r>
      <w:r>
        <w:rPr>
          <w:rFonts w:hint="eastAsia" w:ascii="仿宋_GB2312" w:hAnsi="仿宋_GB2312" w:eastAsia="仿宋_GB2312" w:cs="仿宋_GB2312"/>
          <w:color w:val="auto"/>
          <w:kern w:val="0"/>
          <w:sz w:val="32"/>
          <w:szCs w:val="32"/>
          <w:highlight w:val="none"/>
        </w:rPr>
        <w:t>%；工业自动调节仪表与控制系统</w:t>
      </w:r>
      <w:r>
        <w:rPr>
          <w:rFonts w:hint="eastAsia" w:ascii="仿宋_GB2312" w:hAnsi="仿宋_GB2312" w:eastAsia="仿宋_GB2312" w:cs="仿宋_GB2312"/>
          <w:color w:val="auto"/>
          <w:kern w:val="0"/>
          <w:sz w:val="32"/>
          <w:szCs w:val="32"/>
          <w:highlight w:val="none"/>
          <w:lang w:val="en-US" w:eastAsia="zh-CN"/>
        </w:rPr>
        <w:t>1609</w:t>
      </w:r>
      <w:r>
        <w:rPr>
          <w:rFonts w:hint="eastAsia" w:ascii="仿宋_GB2312" w:hAnsi="仿宋_GB2312" w:eastAsia="仿宋_GB2312" w:cs="仿宋_GB2312"/>
          <w:color w:val="auto"/>
          <w:kern w:val="0"/>
          <w:sz w:val="32"/>
          <w:szCs w:val="32"/>
          <w:highlight w:val="none"/>
        </w:rPr>
        <w:t>台，比上年</w:t>
      </w:r>
      <w:r>
        <w:rPr>
          <w:rFonts w:hint="eastAsia" w:ascii="仿宋_GB2312" w:hAnsi="仿宋_GB2312" w:eastAsia="仿宋_GB2312" w:cs="仿宋_GB2312"/>
          <w:color w:val="auto"/>
          <w:kern w:val="0"/>
          <w:sz w:val="32"/>
          <w:szCs w:val="32"/>
          <w:highlight w:val="none"/>
          <w:lang w:val="en-US" w:eastAsia="zh-CN"/>
        </w:rPr>
        <w:t>下降15.4</w:t>
      </w:r>
      <w:r>
        <w:rPr>
          <w:rFonts w:hint="eastAsia" w:ascii="仿宋_GB2312" w:hAnsi="仿宋_GB2312" w:eastAsia="仿宋_GB2312" w:cs="仿宋_GB2312"/>
          <w:color w:val="auto"/>
          <w:kern w:val="0"/>
          <w:sz w:val="32"/>
          <w:szCs w:val="32"/>
          <w:highlight w:val="none"/>
        </w:rPr>
        <w:t>%；塑料制品</w:t>
      </w:r>
      <w:r>
        <w:rPr>
          <w:rFonts w:hint="eastAsia" w:ascii="仿宋_GB2312" w:hAnsi="仿宋_GB2312" w:eastAsia="仿宋_GB2312" w:cs="仿宋_GB2312"/>
          <w:color w:val="auto"/>
          <w:kern w:val="0"/>
          <w:sz w:val="32"/>
          <w:szCs w:val="32"/>
          <w:highlight w:val="none"/>
          <w:lang w:val="en-US" w:eastAsia="zh-CN"/>
        </w:rPr>
        <w:t>1.1</w:t>
      </w:r>
      <w:r>
        <w:rPr>
          <w:rFonts w:hint="eastAsia" w:ascii="仿宋_GB2312" w:hAnsi="仿宋_GB2312" w:eastAsia="仿宋_GB2312" w:cs="仿宋_GB2312"/>
          <w:color w:val="auto"/>
          <w:kern w:val="0"/>
          <w:sz w:val="32"/>
          <w:szCs w:val="32"/>
          <w:highlight w:val="none"/>
        </w:rPr>
        <w:t>万吨，比上年下降</w:t>
      </w:r>
      <w:r>
        <w:rPr>
          <w:rFonts w:hint="eastAsia" w:ascii="仿宋_GB2312" w:hAnsi="仿宋_GB2312" w:eastAsia="仿宋_GB2312" w:cs="仿宋_GB2312"/>
          <w:color w:val="auto"/>
          <w:kern w:val="0"/>
          <w:sz w:val="32"/>
          <w:szCs w:val="32"/>
          <w:highlight w:val="none"/>
          <w:lang w:val="en-US" w:eastAsia="zh-CN"/>
        </w:rPr>
        <w:t>8.4</w:t>
      </w:r>
      <w:r>
        <w:rPr>
          <w:rFonts w:hint="eastAsia" w:ascii="仿宋_GB2312" w:hAnsi="仿宋_GB2312" w:eastAsia="仿宋_GB2312" w:cs="仿宋_GB2312"/>
          <w:color w:val="auto"/>
          <w:kern w:val="0"/>
          <w:sz w:val="32"/>
          <w:szCs w:val="32"/>
          <w:highlight w:val="none"/>
        </w:rPr>
        <w:t>%；化学试剂</w:t>
      </w:r>
      <w:r>
        <w:rPr>
          <w:rFonts w:hint="eastAsia" w:ascii="仿宋_GB2312" w:hAnsi="仿宋_GB2312" w:eastAsia="仿宋_GB2312" w:cs="仿宋_GB2312"/>
          <w:color w:val="auto"/>
          <w:kern w:val="0"/>
          <w:sz w:val="32"/>
          <w:szCs w:val="32"/>
          <w:highlight w:val="none"/>
          <w:lang w:val="en-US" w:eastAsia="zh-CN"/>
        </w:rPr>
        <w:t>0.6</w:t>
      </w:r>
      <w:r>
        <w:rPr>
          <w:rFonts w:hint="eastAsia" w:ascii="仿宋_GB2312" w:hAnsi="仿宋_GB2312" w:eastAsia="仿宋_GB2312" w:cs="仿宋_GB2312"/>
          <w:color w:val="auto"/>
          <w:kern w:val="0"/>
          <w:sz w:val="32"/>
          <w:szCs w:val="32"/>
          <w:highlight w:val="none"/>
        </w:rPr>
        <w:t>万吨，比上年增长</w:t>
      </w:r>
      <w:r>
        <w:rPr>
          <w:rFonts w:hint="eastAsia" w:ascii="仿宋_GB2312" w:hAnsi="仿宋_GB2312" w:eastAsia="仿宋_GB2312" w:cs="仿宋_GB2312"/>
          <w:color w:val="auto"/>
          <w:kern w:val="0"/>
          <w:sz w:val="32"/>
          <w:szCs w:val="32"/>
          <w:highlight w:val="none"/>
          <w:lang w:val="en-US" w:eastAsia="zh-CN"/>
        </w:rPr>
        <w:t>5.4</w:t>
      </w:r>
      <w:r>
        <w:rPr>
          <w:rFonts w:hint="eastAsia" w:ascii="仿宋_GB2312" w:hAnsi="仿宋_GB2312" w:eastAsia="仿宋_GB2312" w:cs="仿宋_GB2312"/>
          <w:color w:val="auto"/>
          <w:kern w:val="0"/>
          <w:sz w:val="32"/>
          <w:szCs w:val="32"/>
          <w:highlight w:val="none"/>
        </w:rPr>
        <w:t>%；电力电缆</w:t>
      </w:r>
      <w:r>
        <w:rPr>
          <w:rFonts w:hint="eastAsia" w:ascii="仿宋_GB2312" w:hAnsi="仿宋_GB2312" w:eastAsia="仿宋_GB2312" w:cs="仿宋_GB2312"/>
          <w:color w:val="auto"/>
          <w:kern w:val="0"/>
          <w:sz w:val="32"/>
          <w:szCs w:val="32"/>
          <w:highlight w:val="none"/>
          <w:lang w:val="en-US" w:eastAsia="zh-CN"/>
        </w:rPr>
        <w:t>5846</w:t>
      </w:r>
      <w:r>
        <w:rPr>
          <w:rFonts w:hint="eastAsia" w:ascii="仿宋_GB2312" w:hAnsi="仿宋_GB2312" w:eastAsia="仿宋_GB2312" w:cs="仿宋_GB2312"/>
          <w:color w:val="auto"/>
          <w:kern w:val="0"/>
          <w:sz w:val="32"/>
          <w:szCs w:val="32"/>
          <w:highlight w:val="none"/>
        </w:rPr>
        <w:t>千米，比上年</w:t>
      </w:r>
      <w:r>
        <w:rPr>
          <w:rFonts w:hint="eastAsia" w:ascii="仿宋_GB2312" w:hAnsi="仿宋_GB2312" w:eastAsia="仿宋_GB2312" w:cs="仿宋_GB2312"/>
          <w:color w:val="auto"/>
          <w:kern w:val="0"/>
          <w:sz w:val="32"/>
          <w:szCs w:val="32"/>
          <w:highlight w:val="none"/>
          <w:lang w:val="en-US" w:eastAsia="zh-CN"/>
        </w:rPr>
        <w:t>下降24.1</w:t>
      </w:r>
      <w:r>
        <w:rPr>
          <w:rFonts w:hint="eastAsia" w:ascii="仿宋_GB2312" w:hAnsi="仿宋_GB2312" w:eastAsia="仿宋_GB2312" w:cs="仿宋_GB2312"/>
          <w:color w:val="auto"/>
          <w:kern w:val="0"/>
          <w:sz w:val="32"/>
          <w:szCs w:val="32"/>
          <w:highlight w:val="none"/>
        </w:rPr>
        <w:t>%；石油沥青</w:t>
      </w:r>
      <w:r>
        <w:rPr>
          <w:rFonts w:hint="eastAsia" w:ascii="仿宋_GB2312" w:hAnsi="仿宋_GB2312" w:eastAsia="仿宋_GB2312" w:cs="仿宋_GB2312"/>
          <w:color w:val="auto"/>
          <w:kern w:val="0"/>
          <w:sz w:val="32"/>
          <w:szCs w:val="32"/>
          <w:highlight w:val="none"/>
          <w:lang w:val="en-US" w:eastAsia="zh-CN"/>
        </w:rPr>
        <w:t>66.7</w:t>
      </w:r>
      <w:r>
        <w:rPr>
          <w:rFonts w:hint="eastAsia" w:ascii="仿宋_GB2312" w:hAnsi="仿宋_GB2312" w:eastAsia="仿宋_GB2312" w:cs="仿宋_GB2312"/>
          <w:color w:val="auto"/>
          <w:kern w:val="0"/>
          <w:sz w:val="32"/>
          <w:szCs w:val="32"/>
          <w:highlight w:val="none"/>
        </w:rPr>
        <w:t>万吨，比上年</w:t>
      </w:r>
      <w:r>
        <w:rPr>
          <w:rFonts w:hint="eastAsia" w:ascii="仿宋_GB2312" w:hAnsi="仿宋_GB2312" w:eastAsia="仿宋_GB2312" w:cs="仿宋_GB2312"/>
          <w:color w:val="auto"/>
          <w:kern w:val="0"/>
          <w:sz w:val="32"/>
          <w:szCs w:val="32"/>
          <w:highlight w:val="none"/>
          <w:lang w:val="en-US" w:eastAsia="zh-CN"/>
        </w:rPr>
        <w:t>下降7.6</w:t>
      </w:r>
      <w:r>
        <w:rPr>
          <w:rFonts w:hint="eastAsia" w:ascii="仿宋_GB2312" w:hAnsi="仿宋_GB2312" w:eastAsia="仿宋_GB2312" w:cs="仿宋_GB2312"/>
          <w:color w:val="auto"/>
          <w:kern w:val="0"/>
          <w:sz w:val="32"/>
          <w:szCs w:val="32"/>
          <w:highlight w:val="none"/>
        </w:rPr>
        <w:t>%。</w:t>
      </w:r>
    </w:p>
    <w:p>
      <w:pPr>
        <w:keepNext w:val="0"/>
        <w:keepLines w:val="0"/>
        <w:pageBreakBefore w:val="0"/>
        <w:kinsoku/>
        <w:wordWrap/>
        <w:overflowPunct/>
        <w:topLinePunct w:val="0"/>
        <w:autoSpaceDE/>
        <w:autoSpaceDN/>
        <w:bidi w:val="0"/>
        <w:adjustRightInd w:val="0"/>
        <w:snapToGrid w:val="0"/>
        <w:spacing w:line="322" w:lineRule="auto"/>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全年规模以上工业企业实现</w:t>
      </w:r>
      <w:r>
        <w:rPr>
          <w:rFonts w:hint="eastAsia" w:ascii="仿宋_GB2312" w:hAnsi="仿宋_GB2312" w:eastAsia="仿宋_GB2312" w:cs="仿宋_GB2312"/>
          <w:color w:val="auto"/>
          <w:kern w:val="0"/>
          <w:sz w:val="32"/>
          <w:szCs w:val="32"/>
          <w:highlight w:val="none"/>
          <w:lang w:val="en-US" w:eastAsia="zh-CN"/>
        </w:rPr>
        <w:t>主</w:t>
      </w:r>
      <w:r>
        <w:rPr>
          <w:rFonts w:hint="eastAsia" w:ascii="仿宋_GB2312" w:hAnsi="仿宋_GB2312" w:eastAsia="仿宋_GB2312" w:cs="仿宋_GB2312"/>
          <w:color w:val="auto"/>
          <w:kern w:val="0"/>
          <w:sz w:val="32"/>
          <w:szCs w:val="32"/>
          <w:highlight w:val="none"/>
        </w:rPr>
        <w:t>营业务收入</w:t>
      </w:r>
      <w:r>
        <w:rPr>
          <w:rFonts w:hint="eastAsia" w:ascii="仿宋_GB2312" w:hAnsi="仿宋_GB2312" w:eastAsia="仿宋_GB2312" w:cs="仿宋_GB2312"/>
          <w:color w:val="auto"/>
          <w:kern w:val="0"/>
          <w:sz w:val="32"/>
          <w:szCs w:val="32"/>
          <w:highlight w:val="none"/>
          <w:lang w:val="en-US" w:eastAsia="zh-CN"/>
        </w:rPr>
        <w:t>569.9</w:t>
      </w:r>
      <w:r>
        <w:rPr>
          <w:rFonts w:hint="eastAsia" w:ascii="仿宋_GB2312" w:hAnsi="仿宋_GB2312" w:eastAsia="仿宋_GB2312" w:cs="仿宋_GB2312"/>
          <w:color w:val="auto"/>
          <w:kern w:val="0"/>
          <w:sz w:val="32"/>
          <w:szCs w:val="32"/>
          <w:highlight w:val="none"/>
        </w:rPr>
        <w:t>亿元，比上年增长</w:t>
      </w:r>
      <w:r>
        <w:rPr>
          <w:rFonts w:hint="eastAsia" w:ascii="仿宋_GB2312" w:hAnsi="仿宋_GB2312" w:eastAsia="仿宋_GB2312" w:cs="仿宋_GB2312"/>
          <w:color w:val="auto"/>
          <w:kern w:val="0"/>
          <w:sz w:val="32"/>
          <w:szCs w:val="32"/>
          <w:highlight w:val="none"/>
          <w:lang w:val="en-US" w:eastAsia="zh-CN"/>
        </w:rPr>
        <w:t>7.8</w:t>
      </w:r>
      <w:r>
        <w:rPr>
          <w:rFonts w:hint="eastAsia" w:ascii="仿宋_GB2312" w:hAnsi="仿宋_GB2312" w:eastAsia="仿宋_GB2312" w:cs="仿宋_GB2312"/>
          <w:color w:val="auto"/>
          <w:kern w:val="0"/>
          <w:sz w:val="32"/>
          <w:szCs w:val="32"/>
          <w:highlight w:val="none"/>
        </w:rPr>
        <w:t>%；利税总额</w:t>
      </w:r>
      <w:r>
        <w:rPr>
          <w:rFonts w:hint="eastAsia" w:ascii="仿宋_GB2312" w:hAnsi="仿宋_GB2312" w:eastAsia="仿宋_GB2312" w:cs="仿宋_GB2312"/>
          <w:color w:val="auto"/>
          <w:kern w:val="0"/>
          <w:sz w:val="32"/>
          <w:szCs w:val="32"/>
          <w:highlight w:val="none"/>
          <w:lang w:val="en-US" w:eastAsia="zh-CN"/>
        </w:rPr>
        <w:t>77.7</w:t>
      </w:r>
      <w:r>
        <w:rPr>
          <w:rFonts w:hint="eastAsia" w:ascii="仿宋_GB2312" w:hAnsi="仿宋_GB2312" w:eastAsia="仿宋_GB2312" w:cs="仿宋_GB2312"/>
          <w:color w:val="auto"/>
          <w:kern w:val="0"/>
          <w:sz w:val="32"/>
          <w:szCs w:val="32"/>
          <w:highlight w:val="none"/>
        </w:rPr>
        <w:t>亿元，比上年</w:t>
      </w:r>
      <w:r>
        <w:rPr>
          <w:rFonts w:hint="eastAsia" w:ascii="仿宋_GB2312" w:hAnsi="仿宋_GB2312" w:eastAsia="仿宋_GB2312" w:cs="仿宋_GB2312"/>
          <w:color w:val="auto"/>
          <w:kern w:val="0"/>
          <w:sz w:val="32"/>
          <w:szCs w:val="32"/>
          <w:highlight w:val="none"/>
          <w:lang w:val="en-US" w:eastAsia="zh-CN"/>
        </w:rPr>
        <w:t>增长16.9</w:t>
      </w:r>
      <w:r>
        <w:rPr>
          <w:rFonts w:hint="eastAsia" w:ascii="仿宋_GB2312" w:hAnsi="仿宋_GB2312" w:eastAsia="仿宋_GB2312" w:cs="仿宋_GB2312"/>
          <w:color w:val="auto"/>
          <w:kern w:val="0"/>
          <w:sz w:val="32"/>
          <w:szCs w:val="32"/>
          <w:highlight w:val="none"/>
        </w:rPr>
        <w:t>%；利润总额</w:t>
      </w:r>
      <w:r>
        <w:rPr>
          <w:rFonts w:hint="eastAsia" w:ascii="仿宋_GB2312" w:hAnsi="仿宋_GB2312" w:eastAsia="仿宋_GB2312" w:cs="仿宋_GB2312"/>
          <w:color w:val="auto"/>
          <w:kern w:val="0"/>
          <w:sz w:val="32"/>
          <w:szCs w:val="32"/>
          <w:highlight w:val="none"/>
          <w:lang w:val="en-US" w:eastAsia="zh-CN"/>
        </w:rPr>
        <w:t>2.8</w:t>
      </w:r>
      <w:r>
        <w:rPr>
          <w:rFonts w:hint="eastAsia" w:ascii="仿宋_GB2312" w:hAnsi="仿宋_GB2312" w:eastAsia="仿宋_GB2312" w:cs="仿宋_GB2312"/>
          <w:color w:val="auto"/>
          <w:kern w:val="0"/>
          <w:sz w:val="32"/>
          <w:szCs w:val="32"/>
          <w:highlight w:val="none"/>
        </w:rPr>
        <w:t>亿元，比上年</w:t>
      </w:r>
      <w:r>
        <w:rPr>
          <w:rFonts w:hint="eastAsia" w:ascii="仿宋_GB2312" w:hAnsi="仿宋_GB2312" w:eastAsia="仿宋_GB2312" w:cs="仿宋_GB2312"/>
          <w:color w:val="auto"/>
          <w:kern w:val="0"/>
          <w:sz w:val="32"/>
          <w:szCs w:val="32"/>
          <w:highlight w:val="none"/>
          <w:lang w:val="en-US" w:eastAsia="zh-CN"/>
        </w:rPr>
        <w:t>增长103.4</w:t>
      </w:r>
      <w:r>
        <w:rPr>
          <w:rFonts w:hint="eastAsia" w:ascii="仿宋_GB2312" w:hAnsi="仿宋_GB2312" w:eastAsia="仿宋_GB2312" w:cs="仿宋_GB2312"/>
          <w:color w:val="auto"/>
          <w:kern w:val="0"/>
          <w:sz w:val="32"/>
          <w:szCs w:val="32"/>
          <w:highlight w:val="none"/>
        </w:rPr>
        <w:t>%。</w:t>
      </w:r>
    </w:p>
    <w:p>
      <w:pPr>
        <w:pStyle w:val="9"/>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22" w:lineRule="auto"/>
        <w:ind w:right="12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全年具有建筑业资质等级的总承包和专业承包建筑企业共签订工程合同额</w:t>
      </w:r>
      <w:r>
        <w:rPr>
          <w:rFonts w:hint="eastAsia" w:ascii="仿宋_GB2312" w:hAnsi="仿宋_GB2312" w:eastAsia="仿宋_GB2312" w:cs="仿宋_GB2312"/>
          <w:sz w:val="32"/>
          <w:szCs w:val="32"/>
          <w:highlight w:val="none"/>
          <w:lang w:val="en-US" w:eastAsia="zh-CN"/>
        </w:rPr>
        <w:t>75.8</w:t>
      </w:r>
      <w:r>
        <w:rPr>
          <w:rFonts w:hint="eastAsia" w:ascii="仿宋_GB2312" w:hAnsi="仿宋_GB2312" w:eastAsia="仿宋_GB2312" w:cs="仿宋_GB2312"/>
          <w:sz w:val="32"/>
          <w:szCs w:val="32"/>
          <w:highlight w:val="none"/>
        </w:rPr>
        <w:t>亿元，比上年</w:t>
      </w:r>
      <w:r>
        <w:rPr>
          <w:rFonts w:hint="eastAsia" w:ascii="仿宋_GB2312" w:hAnsi="仿宋_GB2312" w:eastAsia="仿宋_GB2312" w:cs="仿宋_GB2312"/>
          <w:bCs/>
          <w:color w:val="000000"/>
          <w:kern w:val="0"/>
          <w:sz w:val="34"/>
          <w:szCs w:val="34"/>
          <w:shd w:val="clear" w:color="auto" w:fill="FFFFFF"/>
          <w:lang w:val="en-US" w:eastAsia="zh-CN"/>
        </w:rPr>
        <w:t>下降10.3%</w:t>
      </w:r>
      <w:r>
        <w:rPr>
          <w:rFonts w:hint="eastAsia" w:ascii="仿宋_GB2312" w:hAnsi="仿宋_GB2312" w:eastAsia="仿宋_GB2312" w:cs="仿宋_GB2312"/>
          <w:sz w:val="32"/>
          <w:szCs w:val="32"/>
          <w:highlight w:val="none"/>
        </w:rPr>
        <w:t>。其中，本年新签订工程合同额</w:t>
      </w:r>
      <w:r>
        <w:rPr>
          <w:rFonts w:hint="eastAsia" w:ascii="仿宋_GB2312" w:hAnsi="仿宋_GB2312" w:eastAsia="仿宋_GB2312" w:cs="仿宋_GB2312"/>
          <w:bCs/>
          <w:color w:val="000000"/>
          <w:kern w:val="0"/>
          <w:sz w:val="34"/>
          <w:szCs w:val="34"/>
          <w:shd w:val="clear" w:color="auto" w:fill="FFFFFF"/>
          <w:lang w:val="en-US" w:eastAsia="zh-CN"/>
        </w:rPr>
        <w:t>63.7亿元</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bCs/>
          <w:color w:val="000000"/>
          <w:kern w:val="0"/>
          <w:sz w:val="34"/>
          <w:szCs w:val="34"/>
          <w:shd w:val="clear" w:color="auto" w:fill="FFFFFF"/>
          <w:lang w:val="en-US" w:eastAsia="zh-CN"/>
        </w:rPr>
        <w:t>下降12.1%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全年房屋建筑施工面积</w:t>
      </w:r>
      <w:r>
        <w:rPr>
          <w:rFonts w:hint="eastAsia" w:ascii="仿宋_GB2312" w:hAnsi="仿宋_GB2312" w:eastAsia="仿宋_GB2312" w:cs="仿宋_GB2312"/>
          <w:bCs/>
          <w:color w:val="000000"/>
          <w:kern w:val="0"/>
          <w:sz w:val="34"/>
          <w:szCs w:val="34"/>
          <w:shd w:val="clear" w:color="auto" w:fill="FFFFFF"/>
          <w:lang w:val="en-US" w:eastAsia="zh-CN"/>
        </w:rPr>
        <w:t>26.9</w:t>
      </w:r>
      <w:r>
        <w:rPr>
          <w:rFonts w:hint="eastAsia" w:ascii="仿宋_GB2312" w:hAnsi="仿宋_GB2312" w:eastAsia="仿宋_GB2312" w:cs="仿宋_GB2312"/>
          <w:sz w:val="32"/>
          <w:szCs w:val="32"/>
          <w:highlight w:val="none"/>
        </w:rPr>
        <w:t>万平方米，比上年</w:t>
      </w:r>
      <w:r>
        <w:rPr>
          <w:rFonts w:hint="eastAsia" w:ascii="仿宋_GB2312" w:hAnsi="仿宋_GB2312" w:eastAsia="仿宋_GB2312" w:cs="仿宋_GB2312"/>
          <w:bCs/>
          <w:color w:val="000000"/>
          <w:kern w:val="0"/>
          <w:sz w:val="34"/>
          <w:szCs w:val="34"/>
          <w:shd w:val="clear" w:color="auto" w:fill="FFFFFF"/>
          <w:lang w:val="en-US" w:eastAsia="zh-CN"/>
        </w:rPr>
        <w:t>下降27.1%</w:t>
      </w:r>
      <w:r>
        <w:rPr>
          <w:rFonts w:hint="eastAsia" w:ascii="仿宋_GB2312" w:hAnsi="仿宋_GB2312" w:eastAsia="仿宋_GB2312" w:cs="仿宋_GB2312"/>
          <w:sz w:val="32"/>
          <w:szCs w:val="32"/>
          <w:highlight w:val="none"/>
        </w:rPr>
        <w:t>。</w:t>
      </w:r>
    </w:p>
    <w:p>
      <w:pPr>
        <w:keepNext w:val="0"/>
        <w:keepLines w:val="0"/>
        <w:pageBreakBefore w:val="0"/>
        <w:kinsoku/>
        <w:wordWrap/>
        <w:overflowPunct/>
        <w:topLinePunct w:val="0"/>
        <w:autoSpaceDE/>
        <w:autoSpaceDN/>
        <w:bidi w:val="0"/>
        <w:adjustRightInd w:val="0"/>
        <w:snapToGrid w:val="0"/>
        <w:spacing w:line="322" w:lineRule="auto"/>
        <w:ind w:firstLine="640" w:firstLineChars="200"/>
        <w:textAlignment w:val="auto"/>
        <w:rPr>
          <w:rFonts w:ascii="仿宋_GB2312" w:hAnsi="仿宋" w:eastAsia="仿宋_GB2312" w:cs="宋体"/>
          <w:kern w:val="0"/>
          <w:sz w:val="32"/>
          <w:szCs w:val="32"/>
          <w:highlight w:val="none"/>
        </w:rPr>
      </w:pPr>
      <w:r>
        <w:rPr>
          <w:rFonts w:hint="eastAsia" w:ascii="黑体" w:hAnsi="黑体" w:eastAsia="黑体" w:cs="黑体"/>
          <w:kern w:val="0"/>
          <w:sz w:val="32"/>
          <w:szCs w:val="32"/>
          <w:highlight w:val="none"/>
        </w:rPr>
        <w:t>四、固定资产投资和房地产业</w:t>
      </w:r>
    </w:p>
    <w:p>
      <w:pPr>
        <w:keepNext w:val="0"/>
        <w:keepLines w:val="0"/>
        <w:pageBreakBefore w:val="0"/>
        <w:widowControl w:val="0"/>
        <w:kinsoku/>
        <w:wordWrap/>
        <w:overflowPunct/>
        <w:topLinePunct w:val="0"/>
        <w:autoSpaceDE/>
        <w:autoSpaceDN/>
        <w:bidi w:val="0"/>
        <w:adjustRightInd w:val="0"/>
        <w:snapToGrid w:val="0"/>
        <w:spacing w:line="288" w:lineRule="auto"/>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全年固定资产投资（不含农户）</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146.4亿元，</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比上年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下降16.9</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%。其中，区本级</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固定资产投资</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130.8亿元，比上年下降18.3</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高新区</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固定资产投资</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15.6亿元，比上年下降3.7</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288" w:lineRule="auto"/>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分投资渠道看，全年建设项目投资比上年下降</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4.8</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%，房地产开发投资下降</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48.8</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288" w:lineRule="auto"/>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分产业看，全年第二产业投资比上年下降</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5.1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%，第三产业投资下降</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41.2</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288" w:lineRule="auto"/>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分经济类型看，全年民间投资比上年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下降48.8</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%；国有及国有控股企业投资增长</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23.6</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288" w:lineRule="auto"/>
        <w:ind w:firstLine="640" w:firstLineChars="200"/>
        <w:textAlignment w:val="auto"/>
        <w:rPr>
          <w:rFonts w:ascii="仿宋_GB2312" w:hAnsi="仿宋_GB2312" w:eastAsia="仿宋_GB2312" w:cs="仿宋_GB2312"/>
          <w:kern w:val="0"/>
          <w:sz w:val="34"/>
          <w:szCs w:val="34"/>
          <w:highlight w:val="none"/>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全年商品房销售面积</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65.7</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万平方米，比上年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下降10%</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。其中住宅销售面积6</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0.7</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万平方米，下降</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7.2</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%。商品房销售</w:t>
      </w:r>
      <w:r>
        <w:rPr>
          <w:rFonts w:hint="eastAsia" w:ascii="仿宋_GB2312" w:hAnsi="仿宋_GB2312" w:eastAsia="仿宋_GB2312" w:cs="仿宋_GB2312"/>
          <w:kern w:val="0"/>
          <w:sz w:val="32"/>
          <w:szCs w:val="32"/>
          <w:highlight w:val="none"/>
        </w:rPr>
        <w:t>额3</w:t>
      </w:r>
      <w:r>
        <w:rPr>
          <w:rFonts w:hint="eastAsia" w:ascii="仿宋_GB2312" w:hAnsi="仿宋_GB2312" w:eastAsia="仿宋_GB2312" w:cs="仿宋_GB2312"/>
          <w:kern w:val="0"/>
          <w:sz w:val="32"/>
          <w:szCs w:val="32"/>
          <w:highlight w:val="none"/>
          <w:lang w:val="en-US" w:eastAsia="zh-CN"/>
        </w:rPr>
        <w:t>4.5</w:t>
      </w:r>
      <w:r>
        <w:rPr>
          <w:rFonts w:hint="eastAsia" w:ascii="仿宋_GB2312" w:hAnsi="仿宋_GB2312" w:eastAsia="仿宋_GB2312" w:cs="仿宋_GB2312"/>
          <w:kern w:val="0"/>
          <w:sz w:val="32"/>
          <w:szCs w:val="32"/>
          <w:highlight w:val="none"/>
        </w:rPr>
        <w:t>亿元</w:t>
      </w:r>
      <w:bookmarkStart w:id="0" w:name="_GoBack"/>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color w:val="auto"/>
          <w:kern w:val="0"/>
          <w:sz w:val="32"/>
          <w:szCs w:val="32"/>
          <w:highlight w:val="none"/>
        </w:rPr>
        <w:t>比上年</w:t>
      </w:r>
      <w:r>
        <w:rPr>
          <w:rFonts w:hint="eastAsia" w:ascii="仿宋_GB2312" w:hAnsi="仿宋_GB2312" w:eastAsia="仿宋_GB2312" w:cs="仿宋_GB2312"/>
          <w:color w:val="auto"/>
          <w:kern w:val="0"/>
          <w:sz w:val="32"/>
          <w:szCs w:val="32"/>
          <w:highlight w:val="none"/>
          <w:lang w:val="en-US" w:eastAsia="zh-CN"/>
        </w:rPr>
        <w:t>下降12.5</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kern w:val="0"/>
          <w:sz w:val="32"/>
          <w:szCs w:val="32"/>
          <w:highlight w:val="none"/>
        </w:rPr>
        <w:t>其中住宅</w:t>
      </w:r>
      <w:bookmarkEnd w:id="0"/>
      <w:r>
        <w:rPr>
          <w:rFonts w:hint="eastAsia" w:ascii="仿宋_GB2312" w:hAnsi="仿宋_GB2312" w:eastAsia="仿宋_GB2312" w:cs="仿宋_GB2312"/>
          <w:kern w:val="0"/>
          <w:sz w:val="32"/>
          <w:szCs w:val="32"/>
          <w:highlight w:val="none"/>
        </w:rPr>
        <w:t>销售额3</w:t>
      </w:r>
      <w:r>
        <w:rPr>
          <w:rFonts w:hint="eastAsia" w:ascii="仿宋_GB2312" w:hAnsi="仿宋_GB2312" w:eastAsia="仿宋_GB2312" w:cs="仿宋_GB2312"/>
          <w:kern w:val="0"/>
          <w:sz w:val="32"/>
          <w:szCs w:val="32"/>
          <w:highlight w:val="none"/>
          <w:lang w:val="en-US" w:eastAsia="zh-CN"/>
        </w:rPr>
        <w:t>0.2</w:t>
      </w:r>
      <w:r>
        <w:rPr>
          <w:rFonts w:hint="eastAsia" w:ascii="仿宋_GB2312" w:hAnsi="仿宋_GB2312" w:eastAsia="仿宋_GB2312" w:cs="仿宋_GB2312"/>
          <w:kern w:val="0"/>
          <w:sz w:val="32"/>
          <w:szCs w:val="32"/>
          <w:highlight w:val="none"/>
        </w:rPr>
        <w:t>亿元，</w:t>
      </w:r>
      <w:r>
        <w:rPr>
          <w:rFonts w:hint="eastAsia" w:ascii="仿宋_GB2312" w:hAnsi="仿宋_GB2312" w:eastAsia="仿宋_GB2312" w:cs="仿宋_GB2312"/>
          <w:kern w:val="0"/>
          <w:sz w:val="32"/>
          <w:szCs w:val="32"/>
          <w:highlight w:val="none"/>
          <w:lang w:val="en-US" w:eastAsia="zh-CN"/>
        </w:rPr>
        <w:t>下降9.6</w:t>
      </w:r>
      <w:r>
        <w:rPr>
          <w:rFonts w:hint="eastAsia" w:ascii="仿宋_GB2312" w:hAnsi="仿宋_GB2312" w:eastAsia="仿宋_GB2312" w:cs="仿宋_GB2312"/>
          <w:kern w:val="0"/>
          <w:sz w:val="32"/>
          <w:szCs w:val="32"/>
          <w:highlight w:val="none"/>
        </w:rPr>
        <w:t>%。年末商品房待售面积</w:t>
      </w:r>
      <w:r>
        <w:rPr>
          <w:rFonts w:hint="eastAsia" w:ascii="仿宋_GB2312" w:hAnsi="仿宋_GB2312" w:eastAsia="仿宋_GB2312" w:cs="仿宋_GB2312"/>
          <w:kern w:val="0"/>
          <w:sz w:val="32"/>
          <w:szCs w:val="32"/>
          <w:highlight w:val="none"/>
          <w:lang w:val="en-US" w:eastAsia="zh-CN"/>
        </w:rPr>
        <w:t>20.6</w:t>
      </w:r>
      <w:r>
        <w:rPr>
          <w:rFonts w:hint="eastAsia" w:ascii="仿宋_GB2312" w:hAnsi="仿宋_GB2312" w:eastAsia="仿宋_GB2312" w:cs="仿宋_GB2312"/>
          <w:kern w:val="0"/>
          <w:sz w:val="32"/>
          <w:szCs w:val="32"/>
          <w:highlight w:val="none"/>
        </w:rPr>
        <w:t>万平方米，比上年末增长</w:t>
      </w:r>
      <w:r>
        <w:rPr>
          <w:rFonts w:hint="eastAsia" w:ascii="仿宋_GB2312" w:hAnsi="仿宋_GB2312" w:eastAsia="仿宋_GB2312" w:cs="仿宋_GB2312"/>
          <w:kern w:val="0"/>
          <w:sz w:val="32"/>
          <w:szCs w:val="32"/>
          <w:highlight w:val="none"/>
          <w:lang w:val="en-US" w:eastAsia="zh-CN"/>
        </w:rPr>
        <w:t>24.3</w:t>
      </w:r>
      <w:r>
        <w:rPr>
          <w:rFonts w:hint="eastAsia" w:ascii="仿宋_GB2312" w:hAnsi="仿宋_GB2312" w:eastAsia="仿宋_GB2312" w:cs="仿宋_GB2312"/>
          <w:kern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240" w:lineRule="auto"/>
        <w:jc w:val="right"/>
        <w:textAlignment w:val="auto"/>
        <w:rPr>
          <w:rFonts w:hint="eastAsia" w:ascii="方正小标宋简体" w:hAnsi="方正小标宋简体" w:eastAsia="方正小标宋简体" w:cs="方正小标宋简体"/>
          <w:b w:val="0"/>
          <w:bCs/>
          <w:sz w:val="28"/>
          <w:szCs w:val="28"/>
          <w:highlight w:val="none"/>
        </w:rPr>
      </w:pPr>
      <w:r>
        <w:rPr>
          <w:rFonts w:hint="eastAsia" w:ascii="方正小标宋简体" w:hAnsi="方正小标宋简体" w:eastAsia="方正小标宋简体" w:cs="方正小标宋简体"/>
          <w:b w:val="0"/>
          <w:bCs/>
          <w:sz w:val="32"/>
          <w:szCs w:val="32"/>
          <w:highlight w:val="none"/>
        </w:rPr>
        <w:t>2017-202</w:t>
      </w:r>
      <w:r>
        <w:rPr>
          <w:rFonts w:hint="eastAsia" w:ascii="方正小标宋简体" w:hAnsi="方正小标宋简体" w:eastAsia="方正小标宋简体" w:cs="方正小标宋简体"/>
          <w:b w:val="0"/>
          <w:bCs/>
          <w:sz w:val="32"/>
          <w:szCs w:val="32"/>
          <w:highlight w:val="none"/>
          <w:lang w:val="en-US" w:eastAsia="zh-CN"/>
        </w:rPr>
        <w:t>2</w:t>
      </w:r>
      <w:r>
        <w:rPr>
          <w:rFonts w:hint="eastAsia" w:ascii="方正小标宋简体" w:hAnsi="方正小标宋简体" w:eastAsia="方正小标宋简体" w:cs="方正小标宋简体"/>
          <w:b w:val="0"/>
          <w:bCs/>
          <w:sz w:val="32"/>
          <w:szCs w:val="32"/>
          <w:highlight w:val="none"/>
        </w:rPr>
        <w:t>年三次产业投资占固定资产投资比重</w:t>
      </w:r>
      <w:r>
        <w:rPr>
          <w:rFonts w:hint="eastAsia" w:ascii="方正小标宋简体" w:hAnsi="方正小标宋简体" w:eastAsia="方正小标宋简体" w:cs="方正小标宋简体"/>
          <w:b w:val="0"/>
          <w:bCs/>
          <w:sz w:val="28"/>
          <w:szCs w:val="28"/>
          <w:highlight w:val="none"/>
        </w:rPr>
        <w:t>（图二）</w:t>
      </w:r>
    </w:p>
    <w:p>
      <w:pPr>
        <w:jc w:val="center"/>
        <w:rPr>
          <w:rFonts w:ascii="宋体" w:hAnsi="宋体"/>
          <w:sz w:val="28"/>
          <w:szCs w:val="28"/>
          <w:highlight w:val="none"/>
        </w:rPr>
      </w:pPr>
      <w:r>
        <w:rPr>
          <w:rFonts w:ascii="宋体" w:hAnsi="宋体"/>
          <w:sz w:val="28"/>
          <w:szCs w:val="28"/>
          <w:highlight w:val="none"/>
        </w:rPr>
        <w:drawing>
          <wp:inline distT="0" distB="0" distL="0" distR="0">
            <wp:extent cx="5003165" cy="2367915"/>
            <wp:effectExtent l="0" t="0" r="0"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val="0"/>
        <w:kinsoku/>
        <w:wordWrap/>
        <w:overflowPunct/>
        <w:topLinePunct w:val="0"/>
        <w:autoSpaceDE/>
        <w:autoSpaceDN/>
        <w:bidi w:val="0"/>
        <w:adjustRightInd w:val="0"/>
        <w:snapToGrid w:val="0"/>
        <w:spacing w:line="322" w:lineRule="auto"/>
        <w:ind w:firstLine="640" w:firstLineChars="200"/>
        <w:textAlignment w:val="auto"/>
        <w:rPr>
          <w:rFonts w:ascii="黑体" w:hAnsi="黑体" w:eastAsia="黑体" w:cs="黑体"/>
          <w:bCs/>
          <w:sz w:val="32"/>
          <w:szCs w:val="32"/>
          <w:highlight w:val="none"/>
        </w:rPr>
      </w:pPr>
      <w:r>
        <w:rPr>
          <w:rFonts w:hint="eastAsia" w:ascii="黑体" w:hAnsi="黑体" w:eastAsia="黑体" w:cs="黑体"/>
          <w:bCs/>
          <w:sz w:val="32"/>
          <w:szCs w:val="32"/>
          <w:highlight w:val="none"/>
        </w:rPr>
        <w:t>五、贸易</w:t>
      </w:r>
    </w:p>
    <w:p>
      <w:pPr>
        <w:keepNext w:val="0"/>
        <w:keepLines w:val="0"/>
        <w:pageBreakBefore w:val="0"/>
        <w:widowControl w:val="0"/>
        <w:kinsoku/>
        <w:wordWrap/>
        <w:overflowPunct/>
        <w:topLinePunct w:val="0"/>
        <w:autoSpaceDE/>
        <w:autoSpaceDN/>
        <w:bidi w:val="0"/>
        <w:adjustRightInd w:val="0"/>
        <w:snapToGrid w:val="0"/>
        <w:spacing w:line="32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全年社会消费品零售总额</w:t>
      </w:r>
      <w:r>
        <w:rPr>
          <w:rFonts w:hint="eastAsia" w:ascii="仿宋_GB2312" w:hAnsi="仿宋_GB2312" w:eastAsia="仿宋_GB2312" w:cs="仿宋_GB2312"/>
          <w:sz w:val="32"/>
          <w:szCs w:val="32"/>
          <w:highlight w:val="none"/>
          <w:lang w:val="en-US" w:eastAsia="zh-CN"/>
        </w:rPr>
        <w:t>201.9</w:t>
      </w:r>
      <w:r>
        <w:rPr>
          <w:rFonts w:hint="eastAsia" w:ascii="仿宋_GB2312" w:hAnsi="仿宋_GB2312" w:eastAsia="仿宋_GB2312" w:cs="仿宋_GB2312"/>
          <w:sz w:val="32"/>
          <w:szCs w:val="32"/>
          <w:highlight w:val="none"/>
        </w:rPr>
        <w:t>亿元，比上年</w:t>
      </w:r>
      <w:r>
        <w:rPr>
          <w:rFonts w:hint="eastAsia" w:ascii="仿宋_GB2312" w:hAnsi="仿宋_GB2312" w:eastAsia="仿宋_GB2312" w:cs="仿宋_GB2312"/>
          <w:sz w:val="32"/>
          <w:szCs w:val="32"/>
          <w:highlight w:val="none"/>
          <w:lang w:val="en-US" w:eastAsia="zh-CN"/>
        </w:rPr>
        <w:t>下降3.2</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32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分经营地看，城镇消费品零售额</w:t>
      </w:r>
      <w:r>
        <w:rPr>
          <w:rFonts w:hint="eastAsia" w:ascii="仿宋_GB2312" w:hAnsi="仿宋_GB2312" w:eastAsia="仿宋_GB2312" w:cs="仿宋_GB2312"/>
          <w:sz w:val="32"/>
          <w:szCs w:val="32"/>
          <w:highlight w:val="none"/>
          <w:lang w:val="en-US" w:eastAsia="zh-CN"/>
        </w:rPr>
        <w:t>189.7</w:t>
      </w:r>
      <w:r>
        <w:rPr>
          <w:rFonts w:hint="eastAsia" w:ascii="仿宋_GB2312" w:hAnsi="仿宋_GB2312" w:eastAsia="仿宋_GB2312" w:cs="仿宋_GB2312"/>
          <w:sz w:val="32"/>
          <w:szCs w:val="32"/>
          <w:highlight w:val="none"/>
        </w:rPr>
        <w:t>亿元，</w:t>
      </w:r>
      <w:r>
        <w:rPr>
          <w:rFonts w:hint="eastAsia" w:ascii="仿宋_GB2312" w:hAnsi="仿宋_GB2312" w:eastAsia="仿宋_GB2312" w:cs="仿宋_GB2312"/>
          <w:sz w:val="32"/>
          <w:szCs w:val="32"/>
          <w:highlight w:val="none"/>
          <w:lang w:val="en-US" w:eastAsia="zh-CN"/>
        </w:rPr>
        <w:t>下降3.1</w:t>
      </w:r>
      <w:r>
        <w:rPr>
          <w:rFonts w:hint="eastAsia" w:ascii="仿宋_GB2312" w:hAnsi="仿宋_GB2312" w:eastAsia="仿宋_GB2312" w:cs="仿宋_GB2312"/>
          <w:sz w:val="32"/>
          <w:szCs w:val="32"/>
          <w:highlight w:val="none"/>
        </w:rPr>
        <w:t>%；乡村消费品零售额</w:t>
      </w:r>
      <w:r>
        <w:rPr>
          <w:rFonts w:hint="eastAsia" w:ascii="仿宋_GB2312" w:hAnsi="仿宋_GB2312" w:eastAsia="仿宋_GB2312" w:cs="仿宋_GB2312"/>
          <w:sz w:val="32"/>
          <w:szCs w:val="32"/>
          <w:highlight w:val="none"/>
          <w:lang w:val="en-US" w:eastAsia="zh-CN"/>
        </w:rPr>
        <w:t>12.2</w:t>
      </w:r>
      <w:r>
        <w:rPr>
          <w:rFonts w:hint="eastAsia" w:ascii="仿宋_GB2312" w:hAnsi="仿宋_GB2312" w:eastAsia="仿宋_GB2312" w:cs="仿宋_GB2312"/>
          <w:sz w:val="32"/>
          <w:szCs w:val="32"/>
          <w:highlight w:val="none"/>
        </w:rPr>
        <w:t>亿元，</w:t>
      </w:r>
      <w:r>
        <w:rPr>
          <w:rFonts w:hint="eastAsia" w:ascii="仿宋_GB2312" w:hAnsi="仿宋_GB2312" w:eastAsia="仿宋_GB2312" w:cs="仿宋_GB2312"/>
          <w:sz w:val="32"/>
          <w:szCs w:val="32"/>
          <w:highlight w:val="none"/>
          <w:lang w:val="en-US" w:eastAsia="zh-CN"/>
        </w:rPr>
        <w:t>下降22.7</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32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分消费类型看</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商品零售额</w:t>
      </w:r>
      <w:r>
        <w:rPr>
          <w:rFonts w:hint="eastAsia" w:ascii="仿宋_GB2312" w:hAnsi="仿宋_GB2312" w:eastAsia="仿宋_GB2312" w:cs="仿宋_GB2312"/>
          <w:sz w:val="32"/>
          <w:szCs w:val="32"/>
          <w:highlight w:val="none"/>
          <w:lang w:val="en-US" w:eastAsia="zh-CN"/>
        </w:rPr>
        <w:t>189.4</w:t>
      </w:r>
      <w:r>
        <w:rPr>
          <w:rFonts w:hint="eastAsia" w:ascii="仿宋_GB2312" w:hAnsi="仿宋_GB2312" w:eastAsia="仿宋_GB2312" w:cs="仿宋_GB2312"/>
          <w:sz w:val="32"/>
          <w:szCs w:val="32"/>
          <w:highlight w:val="none"/>
        </w:rPr>
        <w:t>亿元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下降2.5</w:t>
      </w:r>
      <w:r>
        <w:rPr>
          <w:rFonts w:hint="eastAsia" w:ascii="仿宋_GB2312" w:hAnsi="仿宋_GB2312" w:eastAsia="仿宋_GB2312" w:cs="仿宋_GB2312"/>
          <w:sz w:val="32"/>
          <w:szCs w:val="32"/>
          <w:highlight w:val="none"/>
        </w:rPr>
        <w:t>%；餐饮收入额</w:t>
      </w:r>
      <w:r>
        <w:rPr>
          <w:rFonts w:hint="eastAsia" w:ascii="仿宋_GB2312" w:hAnsi="仿宋_GB2312" w:eastAsia="仿宋_GB2312" w:cs="仿宋_GB2312"/>
          <w:sz w:val="32"/>
          <w:szCs w:val="32"/>
          <w:highlight w:val="none"/>
          <w:lang w:val="en-US" w:eastAsia="zh-CN"/>
        </w:rPr>
        <w:t>12.5</w:t>
      </w:r>
      <w:r>
        <w:rPr>
          <w:rFonts w:hint="eastAsia" w:ascii="仿宋_GB2312" w:hAnsi="仿宋_GB2312" w:eastAsia="仿宋_GB2312" w:cs="仿宋_GB2312"/>
          <w:sz w:val="32"/>
          <w:szCs w:val="32"/>
          <w:highlight w:val="none"/>
        </w:rPr>
        <w:t>亿元，</w:t>
      </w:r>
      <w:r>
        <w:rPr>
          <w:rFonts w:hint="eastAsia" w:ascii="仿宋_GB2312" w:hAnsi="仿宋_GB2312" w:eastAsia="仿宋_GB2312" w:cs="仿宋_GB2312"/>
          <w:sz w:val="32"/>
          <w:szCs w:val="32"/>
          <w:highlight w:val="none"/>
          <w:lang w:val="en-US" w:eastAsia="zh-CN"/>
        </w:rPr>
        <w:t>下降33.5</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322" w:lineRule="auto"/>
        <w:ind w:firstLine="640" w:firstLineChars="200"/>
        <w:textAlignment w:val="auto"/>
        <w:rPr>
          <w:rFonts w:hint="eastAsia" w:ascii="仿宋_GB2312" w:hAnsi="仿宋_GB2312" w:eastAsia="仿宋_GB2312" w:cs="仿宋_GB2312"/>
          <w:color w:val="0000FF"/>
          <w:sz w:val="32"/>
          <w:szCs w:val="32"/>
          <w:highlight w:val="none"/>
        </w:rPr>
      </w:pPr>
      <w:r>
        <w:rPr>
          <w:rFonts w:hint="eastAsia" w:ascii="仿宋_GB2312" w:hAnsi="仿宋_GB2312" w:eastAsia="仿宋_GB2312" w:cs="仿宋_GB2312"/>
          <w:sz w:val="32"/>
          <w:szCs w:val="32"/>
          <w:highlight w:val="none"/>
        </w:rPr>
        <w:t>在限额以上批发零售业商品零售类值中，全年粮油、食品类零售额增长</w:t>
      </w: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rPr>
        <w:t>.5%；烟酒类零售额下降</w:t>
      </w:r>
      <w:r>
        <w:rPr>
          <w:rFonts w:hint="eastAsia" w:ascii="仿宋_GB2312" w:hAnsi="仿宋_GB2312" w:eastAsia="仿宋_GB2312" w:cs="仿宋_GB2312"/>
          <w:sz w:val="32"/>
          <w:szCs w:val="32"/>
          <w:highlight w:val="none"/>
          <w:lang w:val="en-US" w:eastAsia="zh-CN"/>
        </w:rPr>
        <w:t>37.5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rPr>
        <w:t>化妆品类零售额</w:t>
      </w:r>
      <w:r>
        <w:rPr>
          <w:rFonts w:hint="eastAsia" w:ascii="仿宋_GB2312" w:hAnsi="仿宋_GB2312" w:eastAsia="仿宋_GB2312" w:cs="仿宋_GB2312"/>
          <w:color w:val="auto"/>
          <w:sz w:val="32"/>
          <w:szCs w:val="32"/>
          <w:highlight w:val="none"/>
          <w:lang w:val="en-US" w:eastAsia="zh-CN"/>
        </w:rPr>
        <w:t>增长19.3</w:t>
      </w:r>
      <w:r>
        <w:rPr>
          <w:rFonts w:hint="eastAsia" w:ascii="仿宋_GB2312" w:hAnsi="仿宋_GB2312" w:eastAsia="仿宋_GB2312" w:cs="仿宋_GB2312"/>
          <w:color w:val="auto"/>
          <w:sz w:val="32"/>
          <w:szCs w:val="32"/>
          <w:highlight w:val="none"/>
        </w:rPr>
        <w:t>%；饮料类零售额下降</w:t>
      </w:r>
      <w:r>
        <w:rPr>
          <w:rFonts w:hint="eastAsia" w:ascii="仿宋_GB2312" w:hAnsi="仿宋_GB2312" w:eastAsia="仿宋_GB2312" w:cs="仿宋_GB2312"/>
          <w:color w:val="auto"/>
          <w:sz w:val="32"/>
          <w:szCs w:val="32"/>
          <w:highlight w:val="none"/>
          <w:lang w:val="en-US" w:eastAsia="zh-CN"/>
        </w:rPr>
        <w:t>16.3</w:t>
      </w:r>
      <w:r>
        <w:rPr>
          <w:rFonts w:hint="eastAsia" w:ascii="仿宋_GB2312" w:hAnsi="仿宋_GB2312" w:eastAsia="仿宋_GB2312" w:cs="仿宋_GB2312"/>
          <w:color w:val="auto"/>
          <w:sz w:val="32"/>
          <w:szCs w:val="32"/>
          <w:highlight w:val="none"/>
        </w:rPr>
        <w:t>%；金银珠宝类零售额增长</w:t>
      </w:r>
      <w:r>
        <w:rPr>
          <w:rFonts w:hint="eastAsia" w:ascii="仿宋_GB2312" w:hAnsi="仿宋_GB2312" w:eastAsia="仿宋_GB2312" w:cs="仿宋_GB2312"/>
          <w:color w:val="auto"/>
          <w:sz w:val="32"/>
          <w:szCs w:val="32"/>
          <w:highlight w:val="none"/>
          <w:lang w:val="en-US" w:eastAsia="zh-CN"/>
        </w:rPr>
        <w:t>17</w:t>
      </w:r>
      <w:r>
        <w:rPr>
          <w:rFonts w:hint="eastAsia" w:ascii="仿宋_GB2312" w:hAnsi="仿宋_GB2312" w:eastAsia="仿宋_GB2312" w:cs="仿宋_GB2312"/>
          <w:color w:val="auto"/>
          <w:sz w:val="32"/>
          <w:szCs w:val="32"/>
          <w:highlight w:val="none"/>
        </w:rPr>
        <w:t>%；家用电器和音像器材类零售额下降</w:t>
      </w:r>
      <w:r>
        <w:rPr>
          <w:rFonts w:hint="eastAsia" w:ascii="仿宋_GB2312" w:hAnsi="仿宋_GB2312" w:eastAsia="仿宋_GB2312" w:cs="仿宋_GB2312"/>
          <w:color w:val="auto"/>
          <w:sz w:val="32"/>
          <w:szCs w:val="32"/>
          <w:highlight w:val="none"/>
          <w:lang w:val="en-US" w:eastAsia="zh-CN"/>
        </w:rPr>
        <w:t>21.5</w:t>
      </w:r>
      <w:r>
        <w:rPr>
          <w:rFonts w:hint="eastAsia" w:ascii="仿宋_GB2312" w:hAnsi="仿宋_GB2312" w:eastAsia="仿宋_GB2312" w:cs="仿宋_GB2312"/>
          <w:color w:val="auto"/>
          <w:sz w:val="32"/>
          <w:szCs w:val="32"/>
          <w:highlight w:val="none"/>
        </w:rPr>
        <w:t>%；日用品类零售额</w:t>
      </w:r>
      <w:r>
        <w:rPr>
          <w:rFonts w:hint="eastAsia" w:ascii="仿宋_GB2312" w:hAnsi="仿宋_GB2312" w:eastAsia="仿宋_GB2312" w:cs="仿宋_GB2312"/>
          <w:color w:val="auto"/>
          <w:sz w:val="32"/>
          <w:szCs w:val="32"/>
          <w:highlight w:val="none"/>
          <w:lang w:val="en-US" w:eastAsia="zh-CN"/>
        </w:rPr>
        <w:t>增长11.6</w:t>
      </w:r>
      <w:r>
        <w:rPr>
          <w:rFonts w:hint="eastAsia" w:ascii="仿宋_GB2312" w:hAnsi="仿宋_GB2312" w:eastAsia="仿宋_GB2312" w:cs="仿宋_GB2312"/>
          <w:color w:val="auto"/>
          <w:sz w:val="32"/>
          <w:szCs w:val="32"/>
          <w:highlight w:val="none"/>
        </w:rPr>
        <w:t>%；中西药品类零售额</w:t>
      </w:r>
      <w:r>
        <w:rPr>
          <w:rFonts w:hint="eastAsia" w:ascii="仿宋_GB2312" w:hAnsi="仿宋_GB2312" w:eastAsia="仿宋_GB2312" w:cs="仿宋_GB2312"/>
          <w:color w:val="auto"/>
          <w:sz w:val="32"/>
          <w:szCs w:val="32"/>
          <w:highlight w:val="none"/>
          <w:lang w:val="en-US" w:eastAsia="zh-CN"/>
        </w:rPr>
        <w:t>增长3.4</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sz w:val="32"/>
          <w:szCs w:val="32"/>
          <w:highlight w:val="none"/>
        </w:rPr>
        <w:t>汽车类零售额下降</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rPr>
        <w:t>文化办公用品类零售额</w:t>
      </w:r>
      <w:r>
        <w:rPr>
          <w:rFonts w:hint="eastAsia" w:ascii="仿宋_GB2312" w:hAnsi="仿宋_GB2312" w:eastAsia="仿宋_GB2312" w:cs="仿宋_GB2312"/>
          <w:color w:val="auto"/>
          <w:sz w:val="32"/>
          <w:szCs w:val="32"/>
          <w:highlight w:val="none"/>
          <w:lang w:val="en-US" w:eastAsia="zh-CN"/>
        </w:rPr>
        <w:t>增长12.9</w:t>
      </w:r>
      <w:r>
        <w:rPr>
          <w:rFonts w:hint="eastAsia" w:ascii="仿宋_GB2312" w:hAnsi="仿宋_GB2312" w:eastAsia="仿宋_GB2312" w:cs="仿宋_GB2312"/>
          <w:color w:val="auto"/>
          <w:sz w:val="32"/>
          <w:szCs w:val="32"/>
          <w:highlight w:val="none"/>
        </w:rPr>
        <w:t>%；石油及制品类增长</w:t>
      </w:r>
      <w:r>
        <w:rPr>
          <w:rFonts w:hint="eastAsia" w:ascii="仿宋_GB2312" w:hAnsi="仿宋_GB2312" w:eastAsia="仿宋_GB2312" w:cs="仿宋_GB2312"/>
          <w:color w:val="auto"/>
          <w:sz w:val="32"/>
          <w:szCs w:val="32"/>
          <w:highlight w:val="none"/>
          <w:lang w:val="en-US" w:eastAsia="zh-CN"/>
        </w:rPr>
        <w:t>3.4</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b w:val="0"/>
          <w:bCs/>
          <w:sz w:val="32"/>
          <w:szCs w:val="32"/>
          <w:highlight w:val="none"/>
        </w:rPr>
      </w:pPr>
      <w:r>
        <w:rPr>
          <w:rFonts w:hint="eastAsia" w:ascii="方正小标宋简体" w:hAnsi="方正小标宋简体" w:eastAsia="方正小标宋简体" w:cs="方正小标宋简体"/>
          <w:b w:val="0"/>
          <w:bCs/>
          <w:sz w:val="32"/>
          <w:szCs w:val="32"/>
          <w:highlight w:val="none"/>
        </w:rPr>
        <w:t>2017-202</w:t>
      </w:r>
      <w:r>
        <w:rPr>
          <w:rFonts w:hint="eastAsia" w:ascii="方正小标宋简体" w:hAnsi="方正小标宋简体" w:eastAsia="方正小标宋简体" w:cs="方正小标宋简体"/>
          <w:b w:val="0"/>
          <w:bCs/>
          <w:sz w:val="32"/>
          <w:szCs w:val="32"/>
          <w:highlight w:val="none"/>
          <w:lang w:val="en-US" w:eastAsia="zh-CN"/>
        </w:rPr>
        <w:t>2</w:t>
      </w:r>
      <w:r>
        <w:rPr>
          <w:rFonts w:hint="eastAsia" w:ascii="方正小标宋简体" w:hAnsi="方正小标宋简体" w:eastAsia="方正小标宋简体" w:cs="方正小标宋简体"/>
          <w:b w:val="0"/>
          <w:bCs/>
          <w:sz w:val="32"/>
          <w:szCs w:val="32"/>
          <w:highlight w:val="none"/>
        </w:rPr>
        <w:t>年社会消费品零售总额及其增长速度</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b w:val="0"/>
          <w:bCs/>
          <w:sz w:val="28"/>
          <w:szCs w:val="28"/>
          <w:highlight w:val="none"/>
        </w:rPr>
      </w:pPr>
      <w:r>
        <w:rPr>
          <w:rFonts w:hint="eastAsia" w:ascii="方正小标宋简体" w:hAnsi="方正小标宋简体" w:eastAsia="方正小标宋简体" w:cs="方正小标宋简体"/>
          <w:b w:val="0"/>
          <w:bCs/>
          <w:sz w:val="28"/>
          <w:szCs w:val="28"/>
          <w:highlight w:val="none"/>
        </w:rPr>
        <w:t>（图三）</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b w:val="0"/>
          <w:bCs/>
          <w:sz w:val="28"/>
          <w:szCs w:val="28"/>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b w:val="0"/>
          <w:bCs/>
          <w:sz w:val="28"/>
          <w:szCs w:val="28"/>
          <w:highlight w:val="none"/>
          <w:lang w:eastAsia="zh-CN"/>
        </w:rPr>
      </w:pPr>
      <w:r>
        <w:rPr>
          <w:rFonts w:ascii="宋体" w:hAnsi="宋体"/>
          <w:b/>
          <w:sz w:val="24"/>
          <w:szCs w:val="24"/>
          <w:highlight w:val="none"/>
        </w:rPr>
        <w:drawing>
          <wp:inline distT="0" distB="0" distL="0" distR="0">
            <wp:extent cx="5349875" cy="3164840"/>
            <wp:effectExtent l="0" t="0" r="3175" b="0"/>
            <wp:docPr id="6" name="对象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pageBreakBefore w:val="0"/>
        <w:kinsoku/>
        <w:wordWrap/>
        <w:overflowPunct/>
        <w:topLinePunct w:val="0"/>
        <w:autoSpaceDE/>
        <w:autoSpaceDN/>
        <w:bidi w:val="0"/>
        <w:adjustRightInd w:val="0"/>
        <w:snapToGrid w:val="0"/>
        <w:spacing w:before="100" w:beforeAutospacing="1" w:line="322"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全年实现进出口总额</w:t>
      </w:r>
      <w:r>
        <w:rPr>
          <w:rFonts w:hint="eastAsia" w:ascii="仿宋_GB2312" w:hAnsi="仿宋_GB2312" w:eastAsia="仿宋_GB2312" w:cs="仿宋_GB2312"/>
          <w:color w:val="auto"/>
          <w:sz w:val="32"/>
          <w:szCs w:val="32"/>
          <w:highlight w:val="none"/>
          <w:lang w:val="en-US" w:eastAsia="zh-CN"/>
        </w:rPr>
        <w:t>1.4</w:t>
      </w:r>
      <w:r>
        <w:rPr>
          <w:rFonts w:hint="eastAsia" w:ascii="仿宋_GB2312" w:hAnsi="仿宋_GB2312" w:eastAsia="仿宋_GB2312" w:cs="仿宋_GB2312"/>
          <w:color w:val="auto"/>
          <w:sz w:val="32"/>
          <w:szCs w:val="32"/>
          <w:highlight w:val="none"/>
        </w:rPr>
        <w:t>亿元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比上年</w:t>
      </w:r>
      <w:r>
        <w:rPr>
          <w:rFonts w:hint="eastAsia" w:ascii="仿宋_GB2312" w:hAnsi="仿宋_GB2312" w:eastAsia="仿宋_GB2312" w:cs="仿宋_GB2312"/>
          <w:color w:val="auto"/>
          <w:sz w:val="32"/>
          <w:szCs w:val="32"/>
          <w:highlight w:val="none"/>
          <w:lang w:val="en-US" w:eastAsia="zh-CN"/>
        </w:rPr>
        <w:t>下降30</w:t>
      </w:r>
      <w:r>
        <w:rPr>
          <w:rFonts w:hint="eastAsia" w:ascii="仿宋_GB2312" w:hAnsi="仿宋_GB2312" w:eastAsia="仿宋_GB2312" w:cs="仿宋_GB2312"/>
          <w:color w:val="auto"/>
          <w:sz w:val="32"/>
          <w:szCs w:val="32"/>
          <w:highlight w:val="none"/>
        </w:rPr>
        <w:t>%。其中，出口总额1.</w:t>
      </w:r>
      <w:r>
        <w:rPr>
          <w:rFonts w:hint="eastAsia" w:ascii="仿宋_GB2312" w:hAnsi="仿宋_GB2312" w:eastAsia="仿宋_GB2312" w:cs="仿宋_GB2312"/>
          <w:color w:val="auto"/>
          <w:sz w:val="32"/>
          <w:szCs w:val="32"/>
          <w:highlight w:val="none"/>
          <w:lang w:val="en-US" w:eastAsia="zh-CN"/>
        </w:rPr>
        <w:t>07</w:t>
      </w:r>
      <w:r>
        <w:rPr>
          <w:rFonts w:hint="eastAsia" w:ascii="仿宋_GB2312" w:hAnsi="仿宋_GB2312" w:eastAsia="仿宋_GB2312" w:cs="仿宋_GB2312"/>
          <w:color w:val="auto"/>
          <w:sz w:val="32"/>
          <w:szCs w:val="32"/>
          <w:highlight w:val="none"/>
        </w:rPr>
        <w:t>亿元，进口总额</w:t>
      </w:r>
      <w:r>
        <w:rPr>
          <w:rFonts w:hint="eastAsia" w:ascii="仿宋_GB2312" w:hAnsi="仿宋_GB2312" w:eastAsia="仿宋_GB2312" w:cs="仿宋_GB2312"/>
          <w:color w:val="auto"/>
          <w:sz w:val="32"/>
          <w:szCs w:val="32"/>
          <w:highlight w:val="none"/>
          <w:lang w:val="en-US" w:eastAsia="zh-CN"/>
        </w:rPr>
        <w:t>0.33</w:t>
      </w:r>
      <w:r>
        <w:rPr>
          <w:rFonts w:hint="eastAsia" w:ascii="仿宋_GB2312" w:hAnsi="仿宋_GB2312" w:eastAsia="仿宋_GB2312" w:cs="仿宋_GB2312"/>
          <w:color w:val="auto"/>
          <w:sz w:val="32"/>
          <w:szCs w:val="32"/>
          <w:highlight w:val="none"/>
        </w:rPr>
        <w:t>亿元。</w:t>
      </w:r>
    </w:p>
    <w:p>
      <w:pPr>
        <w:keepNext w:val="0"/>
        <w:keepLines w:val="0"/>
        <w:pageBreakBefore w:val="0"/>
        <w:kinsoku/>
        <w:wordWrap/>
        <w:overflowPunct/>
        <w:topLinePunct w:val="0"/>
        <w:autoSpaceDE/>
        <w:autoSpaceDN/>
        <w:bidi w:val="0"/>
        <w:adjustRightInd w:val="0"/>
        <w:snapToGrid w:val="0"/>
        <w:spacing w:line="322"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全年实际利用外资</w:t>
      </w:r>
      <w:r>
        <w:rPr>
          <w:rFonts w:hint="eastAsia" w:ascii="仿宋_GB2312" w:hAnsi="仿宋_GB2312" w:eastAsia="仿宋_GB2312" w:cs="仿宋_GB2312"/>
          <w:color w:val="auto"/>
          <w:sz w:val="32"/>
          <w:szCs w:val="32"/>
          <w:highlight w:val="none"/>
          <w:lang w:val="en-US" w:eastAsia="zh-CN"/>
        </w:rPr>
        <w:t>585.2</w:t>
      </w:r>
      <w:r>
        <w:rPr>
          <w:rFonts w:hint="eastAsia" w:ascii="仿宋_GB2312" w:hAnsi="仿宋_GB2312" w:eastAsia="仿宋_GB2312" w:cs="仿宋_GB2312"/>
          <w:color w:val="auto"/>
          <w:sz w:val="32"/>
          <w:szCs w:val="32"/>
          <w:highlight w:val="none"/>
        </w:rPr>
        <w:t>万美元，比上年下降</w:t>
      </w:r>
      <w:r>
        <w:rPr>
          <w:rFonts w:hint="eastAsia" w:ascii="仿宋_GB2312" w:hAnsi="仿宋_GB2312" w:eastAsia="仿宋_GB2312" w:cs="仿宋_GB2312"/>
          <w:color w:val="auto"/>
          <w:sz w:val="32"/>
          <w:szCs w:val="32"/>
          <w:highlight w:val="none"/>
          <w:lang w:val="en-US" w:eastAsia="zh-CN"/>
        </w:rPr>
        <w:t>60.4</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全年实际到位内资</w:t>
      </w:r>
      <w:r>
        <w:rPr>
          <w:rFonts w:hint="eastAsia" w:ascii="仿宋_GB2312" w:hAnsi="仿宋_GB2312" w:eastAsia="仿宋_GB2312" w:cs="仿宋_GB2312"/>
          <w:color w:val="auto"/>
          <w:sz w:val="32"/>
          <w:szCs w:val="32"/>
          <w:highlight w:val="none"/>
          <w:lang w:val="en-US" w:eastAsia="zh-CN"/>
        </w:rPr>
        <w:t>111.7</w:t>
      </w:r>
      <w:r>
        <w:rPr>
          <w:rFonts w:hint="eastAsia" w:ascii="仿宋_GB2312" w:hAnsi="仿宋_GB2312" w:eastAsia="仿宋_GB2312" w:cs="仿宋_GB2312"/>
          <w:color w:val="auto"/>
          <w:sz w:val="32"/>
          <w:szCs w:val="32"/>
          <w:highlight w:val="none"/>
        </w:rPr>
        <w:t>亿元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比上年增长</w:t>
      </w:r>
      <w:r>
        <w:rPr>
          <w:rFonts w:hint="eastAsia" w:ascii="仿宋_GB2312" w:hAnsi="仿宋_GB2312" w:eastAsia="仿宋_GB2312" w:cs="仿宋_GB2312"/>
          <w:color w:val="auto"/>
          <w:sz w:val="32"/>
          <w:szCs w:val="32"/>
          <w:highlight w:val="none"/>
          <w:lang w:val="en-US" w:eastAsia="zh-CN"/>
        </w:rPr>
        <w:t>6.9</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val="0"/>
        <w:snapToGrid w:val="0"/>
        <w:spacing w:line="322" w:lineRule="auto"/>
        <w:ind w:firstLine="640" w:firstLineChars="200"/>
        <w:textAlignment w:val="auto"/>
        <w:rPr>
          <w:rFonts w:ascii="仿宋" w:hAnsi="仿宋" w:eastAsia="仿宋"/>
          <w:b/>
          <w:sz w:val="32"/>
          <w:szCs w:val="32"/>
          <w:highlight w:val="none"/>
        </w:rPr>
      </w:pPr>
      <w:r>
        <w:rPr>
          <w:rFonts w:hint="eastAsia" w:ascii="黑体" w:hAnsi="黑体" w:eastAsia="黑体" w:cs="黑体"/>
          <w:bCs/>
          <w:sz w:val="32"/>
          <w:szCs w:val="32"/>
          <w:highlight w:val="none"/>
        </w:rPr>
        <w:t>六、财政税收和金融</w:t>
      </w:r>
    </w:p>
    <w:p>
      <w:pPr>
        <w:keepNext w:val="0"/>
        <w:keepLines w:val="0"/>
        <w:pageBreakBefore w:val="0"/>
        <w:kinsoku/>
        <w:wordWrap/>
        <w:overflowPunct/>
        <w:topLinePunct w:val="0"/>
        <w:autoSpaceDE/>
        <w:autoSpaceDN/>
        <w:bidi w:val="0"/>
        <w:adjustRightInd w:val="0"/>
        <w:snapToGrid w:val="0"/>
        <w:spacing w:line="32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全年一般公共预算收入</w:t>
      </w:r>
      <w:r>
        <w:rPr>
          <w:rFonts w:hint="eastAsia" w:ascii="仿宋_GB2312" w:hAnsi="仿宋_GB2312" w:eastAsia="仿宋_GB2312" w:cs="仿宋_GB2312"/>
          <w:sz w:val="32"/>
          <w:szCs w:val="32"/>
          <w:highlight w:val="none"/>
          <w:lang w:val="en-US" w:eastAsia="zh-CN"/>
        </w:rPr>
        <w:t>18.0</w:t>
      </w:r>
      <w:r>
        <w:rPr>
          <w:rFonts w:hint="eastAsia" w:ascii="仿宋_GB2312" w:hAnsi="仿宋_GB2312" w:eastAsia="仿宋_GB2312" w:cs="仿宋_GB2312"/>
          <w:sz w:val="32"/>
          <w:szCs w:val="32"/>
          <w:highlight w:val="none"/>
        </w:rPr>
        <w:t>亿元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比上年下降</w:t>
      </w:r>
      <w:r>
        <w:rPr>
          <w:rFonts w:hint="eastAsia" w:ascii="仿宋_GB2312" w:hAnsi="仿宋_GB2312" w:eastAsia="仿宋_GB2312" w:cs="仿宋_GB2312"/>
          <w:sz w:val="32"/>
          <w:szCs w:val="32"/>
          <w:highlight w:val="none"/>
          <w:lang w:val="en-US" w:eastAsia="zh-CN"/>
        </w:rPr>
        <w:t>6.4</w:t>
      </w:r>
      <w:r>
        <w:rPr>
          <w:rFonts w:hint="eastAsia" w:ascii="仿宋_GB2312" w:hAnsi="仿宋_GB2312" w:eastAsia="仿宋_GB2312" w:cs="仿宋_GB2312"/>
          <w:sz w:val="32"/>
          <w:szCs w:val="32"/>
          <w:highlight w:val="none"/>
        </w:rPr>
        <w:t>%。其中，区本级12</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亿元，下降</w:t>
      </w:r>
      <w:r>
        <w:rPr>
          <w:rFonts w:hint="eastAsia" w:ascii="仿宋_GB2312" w:hAnsi="仿宋_GB2312" w:eastAsia="仿宋_GB2312" w:cs="仿宋_GB2312"/>
          <w:sz w:val="32"/>
          <w:szCs w:val="32"/>
          <w:highlight w:val="none"/>
          <w:lang w:val="en-US" w:eastAsia="zh-CN"/>
        </w:rPr>
        <w:t>6.1</w:t>
      </w:r>
      <w:r>
        <w:rPr>
          <w:rFonts w:hint="eastAsia" w:ascii="仿宋_GB2312" w:hAnsi="仿宋_GB2312" w:eastAsia="仿宋_GB2312" w:cs="仿宋_GB2312"/>
          <w:sz w:val="32"/>
          <w:szCs w:val="32"/>
          <w:highlight w:val="none"/>
        </w:rPr>
        <w:t>%；高新区</w:t>
      </w:r>
      <w:r>
        <w:rPr>
          <w:rFonts w:hint="eastAsia" w:ascii="仿宋_GB2312" w:hAnsi="仿宋_GB2312" w:eastAsia="仿宋_GB2312" w:cs="仿宋_GB2312"/>
          <w:sz w:val="32"/>
          <w:szCs w:val="32"/>
          <w:highlight w:val="none"/>
          <w:lang w:val="en-US" w:eastAsia="zh-CN"/>
        </w:rPr>
        <w:t>6.0</w:t>
      </w:r>
      <w:r>
        <w:rPr>
          <w:rFonts w:hint="eastAsia" w:ascii="仿宋_GB2312" w:hAnsi="仿宋_GB2312" w:eastAsia="仿宋_GB2312" w:cs="仿宋_GB2312"/>
          <w:sz w:val="32"/>
          <w:szCs w:val="32"/>
          <w:highlight w:val="none"/>
        </w:rPr>
        <w:t>亿元，</w:t>
      </w:r>
      <w:r>
        <w:rPr>
          <w:rFonts w:hint="eastAsia" w:ascii="仿宋_GB2312" w:hAnsi="仿宋_GB2312" w:eastAsia="仿宋_GB2312" w:cs="仿宋_GB2312"/>
          <w:sz w:val="32"/>
          <w:szCs w:val="32"/>
          <w:highlight w:val="none"/>
          <w:lang w:val="en-US" w:eastAsia="zh-CN"/>
        </w:rPr>
        <w:t>下降7.0</w:t>
      </w:r>
      <w:r>
        <w:rPr>
          <w:rFonts w:hint="eastAsia" w:ascii="仿宋_GB2312" w:hAnsi="仿宋_GB2312" w:eastAsia="仿宋_GB2312" w:cs="仿宋_GB2312"/>
          <w:sz w:val="32"/>
          <w:szCs w:val="32"/>
          <w:highlight w:val="none"/>
        </w:rPr>
        <w:t>%。</w:t>
      </w:r>
    </w:p>
    <w:p>
      <w:pPr>
        <w:keepNext w:val="0"/>
        <w:keepLines w:val="0"/>
        <w:pageBreakBefore w:val="0"/>
        <w:kinsoku/>
        <w:wordWrap/>
        <w:overflowPunct/>
        <w:topLinePunct w:val="0"/>
        <w:autoSpaceDE/>
        <w:autoSpaceDN/>
        <w:bidi w:val="0"/>
        <w:adjustRightInd w:val="0"/>
        <w:snapToGrid w:val="0"/>
        <w:spacing w:line="32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一般公共预算收入中财政口径税收收入</w:t>
      </w:r>
      <w:r>
        <w:rPr>
          <w:rFonts w:hint="eastAsia" w:ascii="仿宋_GB2312" w:hAnsi="仿宋_GB2312" w:eastAsia="仿宋_GB2312" w:cs="仿宋_GB2312"/>
          <w:sz w:val="32"/>
          <w:szCs w:val="32"/>
          <w:highlight w:val="none"/>
          <w:lang w:val="en-US" w:eastAsia="zh-CN"/>
        </w:rPr>
        <w:t>15.7</w:t>
      </w:r>
      <w:r>
        <w:rPr>
          <w:rFonts w:hint="eastAsia" w:ascii="仿宋_GB2312" w:hAnsi="仿宋_GB2312" w:eastAsia="仿宋_GB2312" w:cs="仿宋_GB2312"/>
          <w:sz w:val="32"/>
          <w:szCs w:val="32"/>
          <w:highlight w:val="none"/>
        </w:rPr>
        <w:t>亿元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不含教育费附加</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，比上年下降</w:t>
      </w:r>
      <w:r>
        <w:rPr>
          <w:rFonts w:hint="eastAsia" w:ascii="仿宋_GB2312" w:hAnsi="仿宋_GB2312" w:eastAsia="仿宋_GB2312" w:cs="仿宋_GB2312"/>
          <w:sz w:val="32"/>
          <w:szCs w:val="32"/>
          <w:highlight w:val="none"/>
          <w:lang w:val="en-US" w:eastAsia="zh-CN"/>
        </w:rPr>
        <w:t>4.7</w:t>
      </w:r>
      <w:r>
        <w:rPr>
          <w:rFonts w:hint="eastAsia" w:ascii="仿宋_GB2312" w:hAnsi="仿宋_GB2312" w:eastAsia="仿宋_GB2312" w:cs="仿宋_GB2312"/>
          <w:sz w:val="32"/>
          <w:szCs w:val="32"/>
          <w:highlight w:val="none"/>
        </w:rPr>
        <w:t>%。其中，区本级10.</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亿元，下降</w:t>
      </w:r>
      <w:r>
        <w:rPr>
          <w:rFonts w:hint="eastAsia" w:ascii="仿宋_GB2312" w:hAnsi="仿宋_GB2312" w:eastAsia="仿宋_GB2312" w:cs="仿宋_GB2312"/>
          <w:sz w:val="32"/>
          <w:szCs w:val="32"/>
          <w:highlight w:val="none"/>
          <w:lang w:val="en-US" w:eastAsia="zh-CN"/>
        </w:rPr>
        <w:t>1.6</w:t>
      </w:r>
      <w:r>
        <w:rPr>
          <w:rFonts w:hint="eastAsia" w:ascii="仿宋_GB2312" w:hAnsi="仿宋_GB2312" w:eastAsia="仿宋_GB2312" w:cs="仿宋_GB2312"/>
          <w:sz w:val="32"/>
          <w:szCs w:val="32"/>
          <w:highlight w:val="none"/>
        </w:rPr>
        <w:t>%；高新区</w:t>
      </w:r>
      <w:r>
        <w:rPr>
          <w:rFonts w:hint="eastAsia" w:ascii="仿宋_GB2312" w:hAnsi="仿宋_GB2312" w:eastAsia="仿宋_GB2312" w:cs="仿宋_GB2312"/>
          <w:sz w:val="32"/>
          <w:szCs w:val="32"/>
          <w:highlight w:val="none"/>
          <w:lang w:val="en-US" w:eastAsia="zh-CN"/>
        </w:rPr>
        <w:t>5.5</w:t>
      </w:r>
      <w:r>
        <w:rPr>
          <w:rFonts w:hint="eastAsia" w:ascii="仿宋_GB2312" w:hAnsi="仿宋_GB2312" w:eastAsia="仿宋_GB2312" w:cs="仿宋_GB2312"/>
          <w:sz w:val="32"/>
          <w:szCs w:val="32"/>
          <w:highlight w:val="none"/>
        </w:rPr>
        <w:t>亿元，</w:t>
      </w:r>
      <w:r>
        <w:rPr>
          <w:rFonts w:hint="eastAsia" w:ascii="仿宋_GB2312" w:hAnsi="仿宋_GB2312" w:eastAsia="仿宋_GB2312" w:cs="仿宋_GB2312"/>
          <w:sz w:val="32"/>
          <w:szCs w:val="32"/>
          <w:highlight w:val="none"/>
          <w:lang w:val="en-US" w:eastAsia="zh-CN"/>
        </w:rPr>
        <w:t>下降10</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val="0"/>
        <w:snapToGrid w:val="0"/>
        <w:spacing w:line="322" w:lineRule="auto"/>
        <w:ind w:firstLine="640" w:firstLineChars="200"/>
        <w:textAlignment w:val="auto"/>
        <w:rPr>
          <w:rFonts w:hint="eastAsia" w:ascii="仿宋_GB2312" w:hAnsi="仿宋_GB2312" w:eastAsia="仿宋_GB2312" w:cs="仿宋_GB2312"/>
          <w:b/>
          <w:sz w:val="32"/>
          <w:szCs w:val="32"/>
          <w:highlight w:val="none"/>
        </w:rPr>
      </w:pPr>
      <w:r>
        <w:rPr>
          <w:rFonts w:hint="eastAsia" w:ascii="仿宋_GB2312" w:hAnsi="仿宋_GB2312" w:eastAsia="仿宋_GB2312" w:cs="仿宋_GB2312"/>
          <w:sz w:val="32"/>
          <w:szCs w:val="32"/>
          <w:highlight w:val="none"/>
        </w:rPr>
        <w:t>全年一般预算支出</w:t>
      </w:r>
      <w:r>
        <w:rPr>
          <w:rFonts w:hint="eastAsia" w:ascii="仿宋_GB2312" w:hAnsi="仿宋_GB2312" w:eastAsia="仿宋_GB2312" w:cs="仿宋_GB2312"/>
          <w:sz w:val="32"/>
          <w:szCs w:val="32"/>
          <w:highlight w:val="none"/>
          <w:lang w:val="en-US" w:eastAsia="zh-CN"/>
        </w:rPr>
        <w:t>26.8</w:t>
      </w:r>
      <w:r>
        <w:rPr>
          <w:rFonts w:hint="eastAsia" w:ascii="仿宋_GB2312" w:hAnsi="仿宋_GB2312" w:eastAsia="仿宋_GB2312" w:cs="仿宋_GB2312"/>
          <w:sz w:val="32"/>
          <w:szCs w:val="32"/>
          <w:highlight w:val="none"/>
        </w:rPr>
        <w:t>亿元，比上年</w:t>
      </w:r>
      <w:r>
        <w:rPr>
          <w:rFonts w:hint="eastAsia" w:ascii="仿宋_GB2312" w:hAnsi="仿宋_GB2312" w:eastAsia="仿宋_GB2312" w:cs="仿宋_GB2312"/>
          <w:sz w:val="32"/>
          <w:szCs w:val="32"/>
          <w:highlight w:val="none"/>
          <w:lang w:val="en-US" w:eastAsia="zh-CN"/>
        </w:rPr>
        <w:t>增长33.9</w:t>
      </w:r>
      <w:r>
        <w:rPr>
          <w:rFonts w:hint="eastAsia" w:ascii="仿宋_GB2312" w:hAnsi="仿宋_GB2312" w:eastAsia="仿宋_GB2312" w:cs="仿宋_GB2312"/>
          <w:sz w:val="32"/>
          <w:szCs w:val="32"/>
          <w:highlight w:val="none"/>
        </w:rPr>
        <w:t>%。其中，区本级支出</w:t>
      </w:r>
      <w:r>
        <w:rPr>
          <w:rFonts w:hint="eastAsia" w:ascii="仿宋_GB2312" w:hAnsi="仿宋_GB2312" w:eastAsia="仿宋_GB2312" w:cs="仿宋_GB2312"/>
          <w:sz w:val="32"/>
          <w:szCs w:val="32"/>
          <w:highlight w:val="none"/>
          <w:lang w:val="en-US" w:eastAsia="zh-CN"/>
        </w:rPr>
        <w:t>25.5</w:t>
      </w:r>
      <w:r>
        <w:rPr>
          <w:rFonts w:hint="eastAsia" w:ascii="仿宋_GB2312" w:hAnsi="仿宋_GB2312" w:eastAsia="仿宋_GB2312" w:cs="仿宋_GB2312"/>
          <w:sz w:val="32"/>
          <w:szCs w:val="32"/>
          <w:highlight w:val="none"/>
        </w:rPr>
        <w:t>亿元，增长</w:t>
      </w:r>
      <w:r>
        <w:rPr>
          <w:rFonts w:hint="eastAsia" w:ascii="仿宋_GB2312" w:hAnsi="仿宋_GB2312" w:eastAsia="仿宋_GB2312" w:cs="仿宋_GB2312"/>
          <w:sz w:val="32"/>
          <w:szCs w:val="32"/>
          <w:highlight w:val="none"/>
          <w:lang w:val="en-US" w:eastAsia="zh-CN"/>
        </w:rPr>
        <w:t>30.3</w:t>
      </w:r>
      <w:r>
        <w:rPr>
          <w:rFonts w:hint="eastAsia" w:ascii="仿宋_GB2312" w:hAnsi="仿宋_GB2312" w:eastAsia="仿宋_GB2312" w:cs="仿宋_GB2312"/>
          <w:sz w:val="32"/>
          <w:szCs w:val="32"/>
          <w:highlight w:val="none"/>
        </w:rPr>
        <w:t>%；高新区支出</w:t>
      </w:r>
      <w:r>
        <w:rPr>
          <w:rFonts w:hint="eastAsia" w:ascii="仿宋_GB2312" w:hAnsi="仿宋_GB2312" w:eastAsia="仿宋_GB2312" w:cs="仿宋_GB2312"/>
          <w:sz w:val="32"/>
          <w:szCs w:val="32"/>
          <w:highlight w:val="none"/>
          <w:lang w:val="en-US" w:eastAsia="zh-CN"/>
        </w:rPr>
        <w:t>1.3</w:t>
      </w:r>
      <w:r>
        <w:rPr>
          <w:rFonts w:hint="eastAsia" w:ascii="仿宋_GB2312" w:hAnsi="仿宋_GB2312" w:eastAsia="仿宋_GB2312" w:cs="仿宋_GB2312"/>
          <w:sz w:val="32"/>
          <w:szCs w:val="32"/>
          <w:highlight w:val="none"/>
        </w:rPr>
        <w:t>亿元，</w:t>
      </w:r>
      <w:r>
        <w:rPr>
          <w:rFonts w:hint="eastAsia" w:ascii="仿宋_GB2312" w:hAnsi="仿宋_GB2312" w:eastAsia="仿宋_GB2312" w:cs="仿宋_GB2312"/>
          <w:sz w:val="32"/>
          <w:szCs w:val="32"/>
          <w:highlight w:val="none"/>
          <w:lang w:val="en-US" w:eastAsia="zh-CN"/>
        </w:rPr>
        <w:t>增长188.9</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kern w:val="0"/>
          <w:sz w:val="32"/>
          <w:szCs w:val="32"/>
          <w:highlight w:val="none"/>
        </w:rPr>
        <w:t xml:space="preserve"> </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b w:val="0"/>
          <w:bCs/>
          <w:sz w:val="28"/>
          <w:szCs w:val="28"/>
          <w:highlight w:val="none"/>
        </w:rPr>
      </w:pPr>
      <w:r>
        <w:rPr>
          <w:rFonts w:hint="eastAsia" w:ascii="方正小标宋简体" w:hAnsi="方正小标宋简体" w:eastAsia="方正小标宋简体" w:cs="方正小标宋简体"/>
          <w:b w:val="0"/>
          <w:bCs/>
          <w:sz w:val="32"/>
          <w:szCs w:val="32"/>
          <w:highlight w:val="none"/>
        </w:rPr>
        <w:t>2017-202</w:t>
      </w:r>
      <w:r>
        <w:rPr>
          <w:rFonts w:hint="eastAsia" w:ascii="方正小标宋简体" w:hAnsi="方正小标宋简体" w:eastAsia="方正小标宋简体" w:cs="方正小标宋简体"/>
          <w:b w:val="0"/>
          <w:bCs/>
          <w:sz w:val="32"/>
          <w:szCs w:val="32"/>
          <w:highlight w:val="none"/>
          <w:lang w:val="en-US" w:eastAsia="zh-CN"/>
        </w:rPr>
        <w:t>2</w:t>
      </w:r>
      <w:r>
        <w:rPr>
          <w:rFonts w:hint="eastAsia" w:ascii="方正小标宋简体" w:hAnsi="方正小标宋简体" w:eastAsia="方正小标宋简体" w:cs="方正小标宋简体"/>
          <w:b w:val="0"/>
          <w:bCs/>
          <w:sz w:val="32"/>
          <w:szCs w:val="32"/>
          <w:highlight w:val="none"/>
        </w:rPr>
        <w:t>年财税收支情况</w:t>
      </w:r>
      <w:r>
        <w:rPr>
          <w:rFonts w:hint="eastAsia" w:ascii="方正小标宋简体" w:hAnsi="方正小标宋简体" w:eastAsia="方正小标宋简体" w:cs="方正小标宋简体"/>
          <w:b w:val="0"/>
          <w:bCs/>
          <w:sz w:val="28"/>
          <w:szCs w:val="28"/>
          <w:highlight w:val="none"/>
        </w:rPr>
        <w:t>（图四）</w:t>
      </w:r>
    </w:p>
    <w:p>
      <w:pPr>
        <w:spacing w:line="360" w:lineRule="auto"/>
        <w:rPr>
          <w:rFonts w:hint="eastAsia" w:asciiTheme="minorEastAsia" w:hAnsiTheme="minorEastAsia" w:eastAsiaTheme="minorEastAsia"/>
          <w:sz w:val="24"/>
          <w:szCs w:val="24"/>
          <w:highlight w:val="none"/>
          <w:lang w:eastAsia="zh-CN"/>
        </w:rPr>
      </w:pPr>
      <w:r>
        <w:rPr>
          <w:rFonts w:asciiTheme="minorEastAsia" w:hAnsiTheme="minorEastAsia" w:eastAsiaTheme="minorEastAsia"/>
          <w:sz w:val="24"/>
          <w:szCs w:val="24"/>
          <w:highlight w:val="none"/>
        </w:rPr>
        <w:drawing>
          <wp:inline distT="0" distB="0" distL="0" distR="0">
            <wp:extent cx="5612130" cy="2932430"/>
            <wp:effectExtent l="4445" t="4445" r="22225" b="15875"/>
            <wp:docPr id="7" name="对象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Theme="minorEastAsia" w:hAnsiTheme="minorEastAsia" w:eastAsiaTheme="minorEastAsia"/>
          <w:sz w:val="24"/>
          <w:szCs w:val="24"/>
          <w:highlight w:val="none"/>
        </w:rPr>
        <mc:AlternateContent>
          <mc:Choice Requires="wps">
            <w:drawing>
              <wp:anchor distT="0" distB="0" distL="114300" distR="114300" simplePos="0" relativeHeight="251660288" behindDoc="0" locked="0" layoutInCell="1" allowOverlap="1">
                <wp:simplePos x="0" y="0"/>
                <wp:positionH relativeFrom="column">
                  <wp:posOffset>4705350</wp:posOffset>
                </wp:positionH>
                <wp:positionV relativeFrom="paragraph">
                  <wp:posOffset>234315</wp:posOffset>
                </wp:positionV>
                <wp:extent cx="666750" cy="276225"/>
                <wp:effectExtent l="0" t="0" r="0" b="0"/>
                <wp:wrapNone/>
                <wp:docPr id="3" name="文本框 7"/>
                <wp:cNvGraphicFramePr/>
                <a:graphic xmlns:a="http://schemas.openxmlformats.org/drawingml/2006/main">
                  <a:graphicData uri="http://schemas.microsoft.com/office/word/2010/wordprocessingShape">
                    <wps:wsp>
                      <wps:cNvSpPr txBox="1"/>
                      <wps:spPr>
                        <a:xfrm>
                          <a:off x="0" y="0"/>
                          <a:ext cx="666750" cy="276225"/>
                        </a:xfrm>
                        <a:prstGeom prst="rect">
                          <a:avLst/>
                        </a:prstGeom>
                        <a:noFill/>
                        <a:ln>
                          <a:noFill/>
                        </a:ln>
                        <a:effectLst/>
                      </wps:spPr>
                      <wps:txbx>
                        <w:txbxContent>
                          <w:p>
                            <w:pPr>
                              <w:rPr>
                                <w:b/>
                              </w:rPr>
                            </w:pPr>
                          </w:p>
                        </w:txbxContent>
                      </wps:txbx>
                      <wps:bodyPr upright="1"/>
                    </wps:wsp>
                  </a:graphicData>
                </a:graphic>
              </wp:anchor>
            </w:drawing>
          </mc:Choice>
          <mc:Fallback>
            <w:pict>
              <v:shape id="文本框 7" o:spid="_x0000_s1026" o:spt="202" type="#_x0000_t202" style="position:absolute;left:0pt;margin-left:370.5pt;margin-top:18.45pt;height:21.75pt;width:52.5pt;z-index:251660288;mso-width-relative:page;mso-height-relative:page;" filled="f" stroked="f" coordsize="21600,21600" o:gfxdata="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VhgRY&#10;1wAAAAkBAAAPAAAAAAAAAAEAIAAAACIAAABkcnMvZG93bnJldi54bWxQSwECFAAUAAAACACHTuJA&#10;ZHxT2rABAABbAwAADgAAAAAAAAABACAAAAAmAQAAZHJzL2Uyb0RvYy54bWxQSwUGAAAAAAYABgBZ&#10;AQAASAUAAAAA&#10;">
                <v:fill on="f" focussize="0,0"/>
                <v:stroke on="f"/>
                <v:imagedata o:title=""/>
                <o:lock v:ext="edit" aspectratio="f"/>
                <v:textbox>
                  <w:txbxContent>
                    <w:p>
                      <w:pPr>
                        <w:rPr>
                          <w:b/>
                        </w:rPr>
                      </w:pPr>
                    </w:p>
                  </w:txbxContent>
                </v:textbox>
              </v:shape>
            </w:pict>
          </mc:Fallback>
        </mc:AlternateContent>
      </w:r>
    </w:p>
    <w:p>
      <w:pPr>
        <w:keepNext w:val="0"/>
        <w:keepLines w:val="0"/>
        <w:pageBreakBefore w:val="0"/>
        <w:kinsoku/>
        <w:wordWrap/>
        <w:overflowPunct/>
        <w:topLinePunct w:val="0"/>
        <w:autoSpaceDE/>
        <w:autoSpaceDN/>
        <w:bidi w:val="0"/>
        <w:adjustRightInd w:val="0"/>
        <w:snapToGrid w:val="0"/>
        <w:spacing w:line="322" w:lineRule="auto"/>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年末金融业增加值</w:t>
      </w:r>
      <w:r>
        <w:rPr>
          <w:rFonts w:hint="eastAsia" w:ascii="仿宋_GB2312" w:hAnsi="仿宋_GB2312" w:eastAsia="仿宋_GB2312" w:cs="仿宋_GB2312"/>
          <w:bCs/>
          <w:kern w:val="44"/>
          <w:sz w:val="32"/>
          <w:szCs w:val="32"/>
          <w:highlight w:val="none"/>
          <w:lang w:val="en-US" w:eastAsia="zh-CN"/>
        </w:rPr>
        <w:t>33</w:t>
      </w:r>
      <w:r>
        <w:rPr>
          <w:rFonts w:hint="eastAsia" w:ascii="仿宋_GB2312" w:hAnsi="仿宋_GB2312" w:eastAsia="仿宋_GB2312" w:cs="仿宋_GB2312"/>
          <w:bCs/>
          <w:kern w:val="44"/>
          <w:sz w:val="32"/>
          <w:szCs w:val="32"/>
          <w:highlight w:val="none"/>
        </w:rPr>
        <w:t>亿元，按可比价格计算，比上年增长</w:t>
      </w:r>
      <w:r>
        <w:rPr>
          <w:rFonts w:hint="eastAsia" w:ascii="仿宋_GB2312" w:hAnsi="仿宋_GB2312" w:eastAsia="仿宋_GB2312" w:cs="仿宋_GB2312"/>
          <w:bCs/>
          <w:kern w:val="44"/>
          <w:sz w:val="32"/>
          <w:szCs w:val="32"/>
          <w:highlight w:val="none"/>
          <w:lang w:val="en-US" w:eastAsia="zh-CN"/>
        </w:rPr>
        <w:t>0.6</w:t>
      </w:r>
      <w:r>
        <w:rPr>
          <w:rFonts w:hint="eastAsia" w:ascii="仿宋_GB2312" w:hAnsi="仿宋_GB2312" w:eastAsia="仿宋_GB2312" w:cs="仿宋_GB2312"/>
          <w:bCs/>
          <w:kern w:val="44"/>
          <w:sz w:val="32"/>
          <w:szCs w:val="32"/>
          <w:highlight w:val="none"/>
        </w:rPr>
        <w:t>%，占GDP比重</w:t>
      </w:r>
      <w:r>
        <w:rPr>
          <w:rFonts w:hint="eastAsia" w:ascii="仿宋_GB2312" w:hAnsi="仿宋_GB2312" w:eastAsia="仿宋_GB2312" w:cs="仿宋_GB2312"/>
          <w:bCs/>
          <w:kern w:val="44"/>
          <w:sz w:val="32"/>
          <w:szCs w:val="32"/>
          <w:highlight w:val="none"/>
          <w:lang w:val="en-US" w:eastAsia="zh-CN"/>
        </w:rPr>
        <w:t>8.4</w:t>
      </w:r>
      <w:r>
        <w:rPr>
          <w:rFonts w:hint="eastAsia" w:ascii="仿宋_GB2312" w:hAnsi="仿宋_GB2312" w:eastAsia="仿宋_GB2312" w:cs="仿宋_GB2312"/>
          <w:bCs/>
          <w:kern w:val="44"/>
          <w:sz w:val="32"/>
          <w:szCs w:val="32"/>
          <w:highlight w:val="none"/>
        </w:rPr>
        <w:t>%</w:t>
      </w:r>
      <w:r>
        <w:rPr>
          <w:rFonts w:hint="eastAsia" w:ascii="仿宋_GB2312" w:hAnsi="仿宋_GB2312" w:eastAsia="仿宋_GB2312" w:cs="仿宋_GB2312"/>
          <w:sz w:val="32"/>
          <w:szCs w:val="32"/>
          <w:highlight w:val="none"/>
        </w:rPr>
        <w:t>。金融业税收收入1.</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bCs/>
          <w:sz w:val="32"/>
          <w:szCs w:val="32"/>
          <w:highlight w:val="none"/>
        </w:rPr>
        <w:t>亿元，比上年下降</w:t>
      </w:r>
      <w:r>
        <w:rPr>
          <w:rFonts w:hint="eastAsia" w:ascii="仿宋_GB2312" w:hAnsi="仿宋_GB2312" w:eastAsia="仿宋_GB2312" w:cs="仿宋_GB2312"/>
          <w:bCs/>
          <w:sz w:val="32"/>
          <w:szCs w:val="32"/>
          <w:highlight w:val="none"/>
          <w:lang w:val="en-US" w:eastAsia="zh-CN"/>
        </w:rPr>
        <w:t>18.5</w:t>
      </w:r>
      <w:r>
        <w:rPr>
          <w:rFonts w:hint="eastAsia" w:ascii="仿宋_GB2312" w:hAnsi="仿宋_GB2312" w:eastAsia="仿宋_GB2312" w:cs="仿宋_GB2312"/>
          <w:bCs/>
          <w:sz w:val="32"/>
          <w:szCs w:val="32"/>
          <w:highlight w:val="none"/>
        </w:rPr>
        <w:t>%。</w:t>
      </w:r>
    </w:p>
    <w:p>
      <w:pPr>
        <w:keepNext w:val="0"/>
        <w:keepLines w:val="0"/>
        <w:pageBreakBefore w:val="0"/>
        <w:numPr>
          <w:ilvl w:val="0"/>
          <w:numId w:val="1"/>
        </w:numPr>
        <w:kinsoku/>
        <w:wordWrap/>
        <w:overflowPunct/>
        <w:topLinePunct w:val="0"/>
        <w:autoSpaceDE/>
        <w:autoSpaceDN/>
        <w:bidi w:val="0"/>
        <w:adjustRightInd w:val="0"/>
        <w:snapToGrid w:val="0"/>
        <w:spacing w:line="322" w:lineRule="auto"/>
        <w:ind w:firstLine="640" w:firstLineChars="200"/>
        <w:jc w:val="both"/>
        <w:textAlignment w:val="auto"/>
        <w:rPr>
          <w:rFonts w:ascii="黑体" w:hAnsi="黑体" w:eastAsia="黑体" w:cs="黑体"/>
          <w:bCs/>
          <w:sz w:val="32"/>
          <w:szCs w:val="32"/>
          <w:highlight w:val="none"/>
        </w:rPr>
      </w:pPr>
      <w:r>
        <w:rPr>
          <w:rFonts w:hint="eastAsia" w:ascii="黑体" w:hAnsi="黑体" w:eastAsia="黑体" w:cs="黑体"/>
          <w:bCs/>
          <w:sz w:val="32"/>
          <w:szCs w:val="32"/>
          <w:highlight w:val="none"/>
        </w:rPr>
        <w:t>科技和教育</w:t>
      </w:r>
    </w:p>
    <w:p>
      <w:pPr>
        <w:keepNext w:val="0"/>
        <w:keepLines w:val="0"/>
        <w:pageBreakBefore w:val="0"/>
        <w:kinsoku/>
        <w:wordWrap/>
        <w:overflowPunct/>
        <w:topLinePunct w:val="0"/>
        <w:autoSpaceDE/>
        <w:autoSpaceDN/>
        <w:bidi w:val="0"/>
        <w:adjustRightInd w:val="0"/>
        <w:snapToGrid w:val="0"/>
        <w:spacing w:line="32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年末全区（含高新区）有科技型中小企业171家，比上年增加46家。高新技术企业95家，比上年增加1家。雏鹰企业37家，比上年增加5家。瞪羚企业11家，比上年增加4家。市级企业工程技术研究中心53个，省级专业技术创新中心20个。</w:t>
      </w:r>
      <w:r>
        <w:rPr>
          <w:rFonts w:hint="eastAsia" w:ascii="仿宋_GB2312" w:hAnsi="仿宋_GB2312" w:eastAsia="仿宋_GB2312" w:cs="仿宋_GB2312"/>
          <w:sz w:val="32"/>
          <w:szCs w:val="32"/>
          <w:highlight w:val="none"/>
        </w:rPr>
        <w:t>全年获得省级科技进步奖1项。</w:t>
      </w:r>
    </w:p>
    <w:p>
      <w:pPr>
        <w:keepNext w:val="0"/>
        <w:keepLines w:val="0"/>
        <w:pageBreakBefore w:val="0"/>
        <w:kinsoku/>
        <w:wordWrap/>
        <w:overflowPunct/>
        <w:topLinePunct w:val="0"/>
        <w:autoSpaceDE/>
        <w:autoSpaceDN/>
        <w:bidi w:val="0"/>
        <w:adjustRightInd w:val="0"/>
        <w:snapToGrid w:val="0"/>
        <w:spacing w:line="32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全年有幼儿园1</w:t>
      </w:r>
      <w:r>
        <w:rPr>
          <w:rFonts w:hint="eastAsia" w:ascii="仿宋_GB2312" w:hAnsi="仿宋_GB2312" w:eastAsia="仿宋_GB2312" w:cs="仿宋_GB2312"/>
          <w:sz w:val="32"/>
          <w:szCs w:val="32"/>
          <w:highlight w:val="none"/>
          <w:lang w:val="en-US" w:eastAsia="zh-CN"/>
        </w:rPr>
        <w:t>06</w:t>
      </w:r>
      <w:r>
        <w:rPr>
          <w:rFonts w:hint="eastAsia" w:ascii="仿宋_GB2312" w:hAnsi="仿宋_GB2312" w:eastAsia="仿宋_GB2312" w:cs="仿宋_GB2312"/>
          <w:sz w:val="32"/>
          <w:szCs w:val="32"/>
          <w:highlight w:val="none"/>
        </w:rPr>
        <w:t>所、小学1</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所、初中</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所、九年一贯制学校</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所、高中3所。全年教职工</w:t>
      </w:r>
      <w:r>
        <w:rPr>
          <w:rFonts w:hint="eastAsia" w:ascii="仿宋_GB2312" w:hAnsi="仿宋_GB2312" w:eastAsia="仿宋_GB2312" w:cs="仿宋_GB2312"/>
          <w:sz w:val="32"/>
          <w:szCs w:val="32"/>
          <w:highlight w:val="none"/>
          <w:lang w:val="en-US" w:eastAsia="zh-CN"/>
        </w:rPr>
        <w:t>6537</w:t>
      </w:r>
      <w:r>
        <w:rPr>
          <w:rFonts w:hint="eastAsia" w:ascii="仿宋_GB2312" w:hAnsi="仿宋_GB2312" w:eastAsia="仿宋_GB2312" w:cs="仿宋_GB2312"/>
          <w:sz w:val="32"/>
          <w:szCs w:val="32"/>
          <w:highlight w:val="none"/>
        </w:rPr>
        <w:t>人，其中，幼儿园教职员工2</w:t>
      </w:r>
      <w:r>
        <w:rPr>
          <w:rFonts w:hint="eastAsia" w:ascii="仿宋_GB2312" w:hAnsi="仿宋_GB2312" w:eastAsia="仿宋_GB2312" w:cs="仿宋_GB2312"/>
          <w:sz w:val="32"/>
          <w:szCs w:val="32"/>
          <w:highlight w:val="none"/>
          <w:lang w:val="en-US" w:eastAsia="zh-CN"/>
        </w:rPr>
        <w:t>784</w:t>
      </w:r>
      <w:r>
        <w:rPr>
          <w:rFonts w:hint="eastAsia" w:ascii="仿宋_GB2312" w:hAnsi="仿宋_GB2312" w:eastAsia="仿宋_GB2312" w:cs="仿宋_GB2312"/>
          <w:sz w:val="32"/>
          <w:szCs w:val="32"/>
          <w:highlight w:val="none"/>
        </w:rPr>
        <w:t>人，小学教职工</w:t>
      </w:r>
      <w:r>
        <w:rPr>
          <w:rFonts w:hint="eastAsia" w:ascii="仿宋_GB2312" w:hAnsi="仿宋_GB2312" w:eastAsia="仿宋_GB2312" w:cs="仿宋_GB2312"/>
          <w:sz w:val="32"/>
          <w:szCs w:val="32"/>
          <w:highlight w:val="none"/>
          <w:lang w:val="en-US" w:eastAsia="zh-CN"/>
        </w:rPr>
        <w:t>1578</w:t>
      </w:r>
      <w:r>
        <w:rPr>
          <w:rFonts w:hint="eastAsia" w:ascii="仿宋_GB2312" w:hAnsi="仿宋_GB2312" w:eastAsia="仿宋_GB2312" w:cs="仿宋_GB2312"/>
          <w:sz w:val="32"/>
          <w:szCs w:val="32"/>
          <w:highlight w:val="none"/>
        </w:rPr>
        <w:t>人，初中教职工</w:t>
      </w:r>
      <w:r>
        <w:rPr>
          <w:rFonts w:hint="eastAsia" w:ascii="仿宋_GB2312" w:hAnsi="仿宋_GB2312" w:eastAsia="仿宋_GB2312" w:cs="仿宋_GB2312"/>
          <w:sz w:val="32"/>
          <w:szCs w:val="32"/>
          <w:highlight w:val="none"/>
          <w:lang w:val="en-US" w:eastAsia="zh-CN"/>
        </w:rPr>
        <w:t>1032</w:t>
      </w:r>
      <w:r>
        <w:rPr>
          <w:rFonts w:hint="eastAsia" w:ascii="仿宋_GB2312" w:hAnsi="仿宋_GB2312" w:eastAsia="仿宋_GB2312" w:cs="仿宋_GB2312"/>
          <w:sz w:val="32"/>
          <w:szCs w:val="32"/>
          <w:highlight w:val="none"/>
        </w:rPr>
        <w:t>人，九年一贯制教职工</w:t>
      </w:r>
      <w:r>
        <w:rPr>
          <w:rFonts w:hint="eastAsia" w:ascii="仿宋_GB2312" w:hAnsi="仿宋_GB2312" w:eastAsia="仿宋_GB2312" w:cs="仿宋_GB2312"/>
          <w:sz w:val="32"/>
          <w:szCs w:val="32"/>
          <w:highlight w:val="none"/>
          <w:lang w:val="en-US" w:eastAsia="zh-CN"/>
        </w:rPr>
        <w:t>534</w:t>
      </w:r>
      <w:r>
        <w:rPr>
          <w:rFonts w:hint="eastAsia" w:ascii="仿宋_GB2312" w:hAnsi="仿宋_GB2312" w:eastAsia="仿宋_GB2312" w:cs="仿宋_GB2312"/>
          <w:sz w:val="32"/>
          <w:szCs w:val="32"/>
          <w:highlight w:val="none"/>
        </w:rPr>
        <w:t>人，高中教职工</w:t>
      </w:r>
      <w:r>
        <w:rPr>
          <w:rFonts w:hint="eastAsia" w:ascii="仿宋_GB2312" w:hAnsi="仿宋_GB2312" w:eastAsia="仿宋_GB2312" w:cs="仿宋_GB2312"/>
          <w:sz w:val="32"/>
          <w:szCs w:val="32"/>
          <w:highlight w:val="none"/>
          <w:lang w:val="en-US" w:eastAsia="zh-CN"/>
        </w:rPr>
        <w:t>609</w:t>
      </w:r>
      <w:r>
        <w:rPr>
          <w:rFonts w:hint="eastAsia" w:ascii="仿宋_GB2312" w:hAnsi="仿宋_GB2312" w:eastAsia="仿宋_GB2312" w:cs="仿宋_GB2312"/>
          <w:sz w:val="32"/>
          <w:szCs w:val="32"/>
          <w:highlight w:val="none"/>
        </w:rPr>
        <w:t>人。</w:t>
      </w:r>
    </w:p>
    <w:p>
      <w:pPr>
        <w:keepNext w:val="0"/>
        <w:keepLines w:val="0"/>
        <w:pageBreakBefore w:val="0"/>
        <w:kinsoku/>
        <w:wordWrap/>
        <w:overflowPunct/>
        <w:topLinePunct w:val="0"/>
        <w:autoSpaceDE/>
        <w:autoSpaceDN/>
        <w:bidi w:val="0"/>
        <w:adjustRightInd w:val="0"/>
        <w:snapToGrid w:val="0"/>
        <w:spacing w:line="322" w:lineRule="auto"/>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全年幼儿园入园</w:t>
      </w:r>
      <w:r>
        <w:rPr>
          <w:rFonts w:hint="eastAsia" w:ascii="仿宋_GB2312" w:hAnsi="仿宋_GB2312" w:eastAsia="仿宋_GB2312" w:cs="仿宋_GB2312"/>
          <w:sz w:val="32"/>
          <w:szCs w:val="32"/>
          <w:highlight w:val="none"/>
          <w:lang w:val="en-US" w:eastAsia="zh-CN"/>
        </w:rPr>
        <w:t>3060</w:t>
      </w:r>
      <w:r>
        <w:rPr>
          <w:rFonts w:hint="eastAsia" w:ascii="仿宋_GB2312" w:hAnsi="仿宋_GB2312" w:eastAsia="仿宋_GB2312" w:cs="仿宋_GB2312"/>
          <w:sz w:val="32"/>
          <w:szCs w:val="32"/>
          <w:highlight w:val="none"/>
        </w:rPr>
        <w:t>人，在园130</w:t>
      </w:r>
      <w:r>
        <w:rPr>
          <w:rFonts w:hint="eastAsia" w:ascii="仿宋_GB2312" w:hAnsi="仿宋_GB2312" w:eastAsia="仿宋_GB2312" w:cs="仿宋_GB2312"/>
          <w:sz w:val="32"/>
          <w:szCs w:val="32"/>
          <w:highlight w:val="none"/>
          <w:lang w:val="en-US" w:eastAsia="zh-CN"/>
        </w:rPr>
        <w:t>96</w:t>
      </w:r>
      <w:r>
        <w:rPr>
          <w:rFonts w:hint="eastAsia" w:ascii="仿宋_GB2312" w:hAnsi="仿宋_GB2312" w:eastAsia="仿宋_GB2312" w:cs="仿宋_GB2312"/>
          <w:sz w:val="32"/>
          <w:szCs w:val="32"/>
          <w:highlight w:val="none"/>
        </w:rPr>
        <w:t>人，离园</w:t>
      </w:r>
      <w:r>
        <w:rPr>
          <w:rFonts w:hint="eastAsia" w:ascii="仿宋_GB2312" w:hAnsi="仿宋_GB2312" w:eastAsia="仿宋_GB2312" w:cs="仿宋_GB2312"/>
          <w:sz w:val="32"/>
          <w:szCs w:val="32"/>
          <w:highlight w:val="none"/>
          <w:lang w:val="en-US" w:eastAsia="zh-CN"/>
        </w:rPr>
        <w:t>3659</w:t>
      </w:r>
      <w:r>
        <w:rPr>
          <w:rFonts w:hint="eastAsia" w:ascii="仿宋_GB2312" w:hAnsi="仿宋_GB2312" w:eastAsia="仿宋_GB2312" w:cs="仿宋_GB2312"/>
          <w:sz w:val="32"/>
          <w:szCs w:val="32"/>
          <w:highlight w:val="none"/>
        </w:rPr>
        <w:t>人。普通小学</w:t>
      </w:r>
      <w:r>
        <w:rPr>
          <w:rFonts w:hint="eastAsia" w:ascii="仿宋_GB2312" w:hAnsi="仿宋_GB2312" w:eastAsia="仿宋_GB2312" w:cs="仿宋_GB2312"/>
          <w:sz w:val="32"/>
          <w:szCs w:val="32"/>
          <w:highlight w:val="none"/>
          <w:lang w:eastAsia="zh-CN"/>
        </w:rPr>
        <w:t>（含九年一贯制小学部）</w:t>
      </w:r>
      <w:r>
        <w:rPr>
          <w:rFonts w:hint="eastAsia" w:ascii="仿宋_GB2312" w:hAnsi="仿宋_GB2312" w:eastAsia="仿宋_GB2312" w:cs="仿宋_GB2312"/>
          <w:sz w:val="32"/>
          <w:szCs w:val="32"/>
          <w:highlight w:val="none"/>
        </w:rPr>
        <w:t>招生</w:t>
      </w:r>
      <w:r>
        <w:rPr>
          <w:rFonts w:hint="eastAsia" w:ascii="仿宋_GB2312" w:hAnsi="仿宋_GB2312" w:eastAsia="仿宋_GB2312" w:cs="仿宋_GB2312"/>
          <w:sz w:val="32"/>
          <w:szCs w:val="32"/>
          <w:highlight w:val="none"/>
          <w:lang w:val="en-US" w:eastAsia="zh-CN"/>
        </w:rPr>
        <w:t>5131</w:t>
      </w:r>
      <w:r>
        <w:rPr>
          <w:rFonts w:hint="eastAsia" w:ascii="仿宋_GB2312" w:hAnsi="仿宋_GB2312" w:eastAsia="仿宋_GB2312" w:cs="仿宋_GB2312"/>
          <w:sz w:val="32"/>
          <w:szCs w:val="32"/>
          <w:highlight w:val="none"/>
        </w:rPr>
        <w:t>人，在校生</w:t>
      </w:r>
      <w:r>
        <w:rPr>
          <w:rFonts w:hint="eastAsia" w:ascii="仿宋_GB2312" w:hAnsi="仿宋_GB2312" w:eastAsia="仿宋_GB2312" w:cs="仿宋_GB2312"/>
          <w:sz w:val="32"/>
          <w:szCs w:val="32"/>
          <w:highlight w:val="none"/>
          <w:lang w:val="en-US" w:eastAsia="zh-CN"/>
        </w:rPr>
        <w:t>27973</w:t>
      </w:r>
      <w:r>
        <w:rPr>
          <w:rFonts w:hint="eastAsia" w:ascii="仿宋_GB2312" w:hAnsi="仿宋_GB2312" w:eastAsia="仿宋_GB2312" w:cs="仿宋_GB2312"/>
          <w:sz w:val="32"/>
          <w:szCs w:val="32"/>
          <w:highlight w:val="none"/>
        </w:rPr>
        <w:t>人，毕业生</w:t>
      </w:r>
      <w:r>
        <w:rPr>
          <w:rFonts w:hint="eastAsia" w:ascii="仿宋_GB2312" w:hAnsi="仿宋_GB2312" w:eastAsia="仿宋_GB2312" w:cs="仿宋_GB2312"/>
          <w:sz w:val="32"/>
          <w:szCs w:val="32"/>
          <w:highlight w:val="none"/>
          <w:lang w:val="en-US" w:eastAsia="zh-CN"/>
        </w:rPr>
        <w:t>3793</w:t>
      </w:r>
      <w:r>
        <w:rPr>
          <w:rFonts w:hint="eastAsia" w:ascii="仿宋_GB2312" w:hAnsi="仿宋_GB2312" w:eastAsia="仿宋_GB2312" w:cs="仿宋_GB2312"/>
          <w:sz w:val="32"/>
          <w:szCs w:val="32"/>
          <w:highlight w:val="none"/>
        </w:rPr>
        <w:t>人。初中</w:t>
      </w:r>
      <w:r>
        <w:rPr>
          <w:rFonts w:hint="eastAsia" w:ascii="仿宋_GB2312" w:hAnsi="仿宋_GB2312" w:eastAsia="仿宋_GB2312" w:cs="仿宋_GB2312"/>
          <w:sz w:val="32"/>
          <w:szCs w:val="32"/>
          <w:highlight w:val="none"/>
          <w:lang w:eastAsia="zh-CN"/>
        </w:rPr>
        <w:t>（含九年一贯制中学部）</w:t>
      </w:r>
      <w:r>
        <w:rPr>
          <w:rFonts w:hint="eastAsia" w:ascii="仿宋_GB2312" w:hAnsi="仿宋_GB2312" w:eastAsia="仿宋_GB2312" w:cs="仿宋_GB2312"/>
          <w:sz w:val="32"/>
          <w:szCs w:val="32"/>
          <w:highlight w:val="none"/>
        </w:rPr>
        <w:t>招生3</w:t>
      </w:r>
      <w:r>
        <w:rPr>
          <w:rFonts w:hint="eastAsia" w:ascii="仿宋_GB2312" w:hAnsi="仿宋_GB2312" w:eastAsia="仿宋_GB2312" w:cs="仿宋_GB2312"/>
          <w:sz w:val="32"/>
          <w:szCs w:val="32"/>
          <w:highlight w:val="none"/>
          <w:lang w:val="en-US" w:eastAsia="zh-CN"/>
        </w:rPr>
        <w:t>911</w:t>
      </w:r>
      <w:r>
        <w:rPr>
          <w:rFonts w:hint="eastAsia" w:ascii="仿宋_GB2312" w:hAnsi="仿宋_GB2312" w:eastAsia="仿宋_GB2312" w:cs="仿宋_GB2312"/>
          <w:sz w:val="32"/>
          <w:szCs w:val="32"/>
          <w:highlight w:val="none"/>
        </w:rPr>
        <w:t>人，在校生</w:t>
      </w:r>
      <w:r>
        <w:rPr>
          <w:rFonts w:hint="eastAsia" w:ascii="仿宋_GB2312" w:hAnsi="仿宋_GB2312" w:eastAsia="仿宋_GB2312" w:cs="仿宋_GB2312"/>
          <w:sz w:val="32"/>
          <w:szCs w:val="32"/>
          <w:highlight w:val="none"/>
          <w:lang w:val="en-US" w:eastAsia="zh-CN"/>
        </w:rPr>
        <w:t>11792</w:t>
      </w:r>
      <w:r>
        <w:rPr>
          <w:rFonts w:hint="eastAsia" w:ascii="仿宋_GB2312" w:hAnsi="仿宋_GB2312" w:eastAsia="仿宋_GB2312" w:cs="仿宋_GB2312"/>
          <w:sz w:val="32"/>
          <w:szCs w:val="32"/>
          <w:highlight w:val="none"/>
        </w:rPr>
        <w:t>人，毕业生</w:t>
      </w:r>
      <w:r>
        <w:rPr>
          <w:rFonts w:hint="eastAsia" w:ascii="仿宋_GB2312" w:hAnsi="仿宋_GB2312" w:eastAsia="仿宋_GB2312" w:cs="仿宋_GB2312"/>
          <w:sz w:val="32"/>
          <w:szCs w:val="32"/>
          <w:highlight w:val="none"/>
          <w:lang w:val="en-US" w:eastAsia="zh-CN"/>
        </w:rPr>
        <w:t>4384</w:t>
      </w:r>
      <w:r>
        <w:rPr>
          <w:rFonts w:hint="eastAsia" w:ascii="仿宋_GB2312" w:hAnsi="仿宋_GB2312" w:eastAsia="仿宋_GB2312" w:cs="仿宋_GB2312"/>
          <w:sz w:val="32"/>
          <w:szCs w:val="32"/>
          <w:highlight w:val="none"/>
        </w:rPr>
        <w:t>人。高中招生21</w:t>
      </w:r>
      <w:r>
        <w:rPr>
          <w:rFonts w:hint="eastAsia" w:ascii="仿宋_GB2312" w:hAnsi="仿宋_GB2312" w:eastAsia="仿宋_GB2312" w:cs="仿宋_GB2312"/>
          <w:sz w:val="32"/>
          <w:szCs w:val="32"/>
          <w:highlight w:val="none"/>
          <w:lang w:val="en-US" w:eastAsia="zh-CN"/>
        </w:rPr>
        <w:t>92</w:t>
      </w:r>
      <w:r>
        <w:rPr>
          <w:rFonts w:hint="eastAsia" w:ascii="仿宋_GB2312" w:hAnsi="仿宋_GB2312" w:eastAsia="仿宋_GB2312" w:cs="仿宋_GB2312"/>
          <w:sz w:val="32"/>
          <w:szCs w:val="32"/>
          <w:highlight w:val="none"/>
        </w:rPr>
        <w:t>人，在校生</w:t>
      </w:r>
      <w:r>
        <w:rPr>
          <w:rFonts w:hint="eastAsia" w:ascii="仿宋_GB2312" w:hAnsi="仿宋_GB2312" w:eastAsia="仿宋_GB2312" w:cs="仿宋_GB2312"/>
          <w:sz w:val="32"/>
          <w:szCs w:val="32"/>
          <w:highlight w:val="none"/>
          <w:lang w:val="en-US" w:eastAsia="zh-CN"/>
        </w:rPr>
        <w:t>6437</w:t>
      </w:r>
      <w:r>
        <w:rPr>
          <w:rFonts w:hint="eastAsia" w:ascii="仿宋_GB2312" w:hAnsi="仿宋_GB2312" w:eastAsia="仿宋_GB2312" w:cs="仿宋_GB2312"/>
          <w:sz w:val="32"/>
          <w:szCs w:val="32"/>
          <w:highlight w:val="none"/>
        </w:rPr>
        <w:t>人，毕业生1</w:t>
      </w:r>
      <w:r>
        <w:rPr>
          <w:rFonts w:hint="eastAsia" w:ascii="仿宋_GB2312" w:hAnsi="仿宋_GB2312" w:eastAsia="仿宋_GB2312" w:cs="仿宋_GB2312"/>
          <w:sz w:val="32"/>
          <w:szCs w:val="32"/>
          <w:highlight w:val="none"/>
          <w:lang w:val="en-US" w:eastAsia="zh-CN"/>
        </w:rPr>
        <w:t>946</w:t>
      </w:r>
      <w:r>
        <w:rPr>
          <w:rFonts w:hint="eastAsia" w:ascii="仿宋_GB2312" w:hAnsi="仿宋_GB2312" w:eastAsia="仿宋_GB2312" w:cs="仿宋_GB2312"/>
          <w:sz w:val="32"/>
          <w:szCs w:val="32"/>
          <w:highlight w:val="none"/>
        </w:rPr>
        <w:t>人。全区中小学入学率为100%。全区升入高中学生</w:t>
      </w:r>
      <w:r>
        <w:rPr>
          <w:rFonts w:hint="eastAsia" w:ascii="仿宋_GB2312" w:hAnsi="仿宋_GB2312" w:eastAsia="仿宋_GB2312" w:cs="仿宋_GB2312"/>
          <w:sz w:val="32"/>
          <w:szCs w:val="32"/>
          <w:highlight w:val="none"/>
          <w:lang w:val="en-US" w:eastAsia="zh-CN"/>
        </w:rPr>
        <w:t>3112</w:t>
      </w:r>
      <w:r>
        <w:rPr>
          <w:rFonts w:hint="eastAsia" w:ascii="仿宋_GB2312" w:hAnsi="仿宋_GB2312" w:eastAsia="仿宋_GB2312" w:cs="仿宋_GB2312"/>
          <w:sz w:val="32"/>
          <w:szCs w:val="32"/>
          <w:highlight w:val="none"/>
        </w:rPr>
        <w:t>人，初中升学率为</w:t>
      </w:r>
      <w:r>
        <w:rPr>
          <w:rFonts w:hint="eastAsia" w:ascii="仿宋_GB2312" w:hAnsi="仿宋_GB2312" w:eastAsia="仿宋_GB2312" w:cs="仿宋_GB2312"/>
          <w:sz w:val="32"/>
          <w:szCs w:val="32"/>
          <w:highlight w:val="none"/>
          <w:lang w:val="en-US" w:eastAsia="zh-CN"/>
        </w:rPr>
        <w:t>99.42</w:t>
      </w:r>
      <w:r>
        <w:rPr>
          <w:rFonts w:hint="eastAsia" w:ascii="仿宋_GB2312" w:hAnsi="仿宋_GB2312" w:eastAsia="仿宋_GB2312" w:cs="仿宋_GB2312"/>
          <w:sz w:val="32"/>
          <w:szCs w:val="32"/>
          <w:highlight w:val="none"/>
        </w:rPr>
        <w:t>%。</w:t>
      </w:r>
    </w:p>
    <w:p>
      <w:pPr>
        <w:keepNext w:val="0"/>
        <w:keepLines w:val="0"/>
        <w:pageBreakBefore w:val="0"/>
        <w:kinsoku/>
        <w:wordWrap/>
        <w:overflowPunct/>
        <w:topLinePunct w:val="0"/>
        <w:autoSpaceDE/>
        <w:autoSpaceDN/>
        <w:bidi w:val="0"/>
        <w:adjustRightInd w:val="0"/>
        <w:snapToGrid w:val="0"/>
        <w:spacing w:line="322" w:lineRule="auto"/>
        <w:ind w:firstLine="640" w:firstLineChars="200"/>
        <w:jc w:val="both"/>
        <w:textAlignment w:val="auto"/>
        <w:rPr>
          <w:rFonts w:ascii="黑体" w:hAnsi="黑体" w:eastAsia="黑体" w:cs="黑体"/>
          <w:bCs/>
          <w:sz w:val="32"/>
          <w:szCs w:val="32"/>
          <w:highlight w:val="none"/>
        </w:rPr>
      </w:pPr>
      <w:r>
        <w:rPr>
          <w:rFonts w:hint="eastAsia" w:ascii="黑体" w:hAnsi="黑体" w:eastAsia="黑体" w:cs="黑体"/>
          <w:bCs/>
          <w:sz w:val="32"/>
          <w:szCs w:val="32"/>
          <w:highlight w:val="none"/>
        </w:rPr>
        <w:t>八、文化和卫生</w:t>
      </w:r>
    </w:p>
    <w:p>
      <w:pPr>
        <w:keepNext w:val="0"/>
        <w:keepLines w:val="0"/>
        <w:pageBreakBefore w:val="0"/>
        <w:widowControl/>
        <w:kinsoku/>
        <w:wordWrap/>
        <w:overflowPunct/>
        <w:topLinePunct w:val="0"/>
        <w:autoSpaceDE/>
        <w:autoSpaceDN/>
        <w:bidi w:val="0"/>
        <w:adjustRightInd w:val="0"/>
        <w:snapToGrid w:val="0"/>
        <w:spacing w:line="322" w:lineRule="auto"/>
        <w:ind w:firstLine="640" w:firstLineChars="200"/>
        <w:jc w:val="both"/>
        <w:textAlignment w:val="auto"/>
        <w:rPr>
          <w:rFonts w:hint="eastAsia" w:ascii="仿宋_GB2312" w:hAnsi="仿宋_GB2312" w:eastAsia="仿宋_GB2312" w:cs="仿宋_GB2312"/>
          <w:bCs/>
          <w:color w:val="auto"/>
          <w:kern w:val="0"/>
          <w:sz w:val="32"/>
          <w:szCs w:val="32"/>
          <w:highlight w:val="none"/>
          <w:lang w:eastAsia="zh-CN"/>
        </w:rPr>
      </w:pPr>
      <w:r>
        <w:rPr>
          <w:rFonts w:hint="eastAsia" w:ascii="仿宋_GB2312" w:hAnsi="仿宋_GB2312" w:eastAsia="仿宋_GB2312" w:cs="仿宋_GB2312"/>
          <w:color w:val="auto"/>
          <w:sz w:val="32"/>
          <w:szCs w:val="32"/>
          <w:highlight w:val="none"/>
        </w:rPr>
        <w:t>年末</w:t>
      </w:r>
      <w:r>
        <w:rPr>
          <w:rFonts w:hint="eastAsia" w:ascii="仿宋_GB2312" w:hAnsi="仿宋_GB2312" w:eastAsia="仿宋_GB2312" w:cs="仿宋_GB2312"/>
          <w:color w:val="auto"/>
          <w:sz w:val="32"/>
          <w:szCs w:val="32"/>
          <w:highlight w:val="none"/>
          <w:lang w:eastAsia="zh-CN"/>
        </w:rPr>
        <w:t>全区</w:t>
      </w:r>
      <w:r>
        <w:rPr>
          <w:rFonts w:hint="eastAsia" w:ascii="仿宋_GB2312" w:hAnsi="仿宋_GB2312" w:eastAsia="仿宋_GB2312" w:cs="仿宋_GB2312"/>
          <w:color w:val="auto"/>
          <w:sz w:val="32"/>
          <w:szCs w:val="32"/>
          <w:highlight w:val="none"/>
        </w:rPr>
        <w:t>有国家文化产业示范基地1个，美术馆1个，文化馆1个，图书馆1个。非物质文化遗产省级</w:t>
      </w:r>
      <w:r>
        <w:rPr>
          <w:rFonts w:hint="eastAsia" w:ascii="仿宋_GB2312" w:hAnsi="仿宋_GB2312" w:eastAsia="仿宋_GB2312" w:cs="仿宋_GB2312"/>
          <w:bCs/>
          <w:color w:val="auto"/>
          <w:kern w:val="0"/>
          <w:sz w:val="32"/>
          <w:szCs w:val="32"/>
          <w:highlight w:val="none"/>
        </w:rPr>
        <w:t>2项</w:t>
      </w:r>
      <w:r>
        <w:rPr>
          <w:rFonts w:hint="eastAsia" w:ascii="仿宋_GB2312" w:hAnsi="仿宋_GB2312" w:eastAsia="仿宋_GB2312" w:cs="仿宋_GB2312"/>
          <w:bCs/>
          <w:color w:val="auto"/>
          <w:kern w:val="0"/>
          <w:sz w:val="32"/>
          <w:szCs w:val="32"/>
          <w:highlight w:val="none"/>
          <w:lang w:eastAsia="zh-CN"/>
        </w:rPr>
        <w:t>，</w:t>
      </w:r>
      <w:r>
        <w:rPr>
          <w:rFonts w:hint="eastAsia" w:ascii="仿宋_GB2312" w:hAnsi="仿宋_GB2312" w:eastAsia="仿宋_GB2312" w:cs="仿宋_GB2312"/>
          <w:bCs/>
          <w:color w:val="auto"/>
          <w:kern w:val="0"/>
          <w:sz w:val="32"/>
          <w:szCs w:val="32"/>
          <w:highlight w:val="none"/>
        </w:rPr>
        <w:t>市级</w:t>
      </w:r>
      <w:r>
        <w:rPr>
          <w:rFonts w:hint="eastAsia" w:ascii="仿宋_GB2312" w:hAnsi="仿宋_GB2312" w:eastAsia="仿宋_GB2312" w:cs="仿宋_GB2312"/>
          <w:bCs/>
          <w:color w:val="auto"/>
          <w:kern w:val="0"/>
          <w:sz w:val="32"/>
          <w:szCs w:val="32"/>
          <w:highlight w:val="none"/>
          <w:lang w:val="en-US" w:eastAsia="zh-CN"/>
        </w:rPr>
        <w:t>10</w:t>
      </w:r>
      <w:r>
        <w:rPr>
          <w:rFonts w:hint="eastAsia" w:ascii="仿宋_GB2312" w:hAnsi="仿宋_GB2312" w:eastAsia="仿宋_GB2312" w:cs="仿宋_GB2312"/>
          <w:bCs/>
          <w:color w:val="auto"/>
          <w:kern w:val="0"/>
          <w:sz w:val="32"/>
          <w:szCs w:val="32"/>
          <w:highlight w:val="none"/>
        </w:rPr>
        <w:t>项</w:t>
      </w:r>
      <w:r>
        <w:rPr>
          <w:rFonts w:hint="eastAsia" w:ascii="仿宋_GB2312" w:hAnsi="仿宋_GB2312" w:eastAsia="仿宋_GB2312" w:cs="仿宋_GB2312"/>
          <w:bCs/>
          <w:color w:val="auto"/>
          <w:kern w:val="0"/>
          <w:sz w:val="32"/>
          <w:szCs w:val="32"/>
          <w:highlight w:val="none"/>
          <w:lang w:eastAsia="zh-CN"/>
        </w:rPr>
        <w:t>，</w:t>
      </w:r>
      <w:r>
        <w:rPr>
          <w:rFonts w:hint="eastAsia" w:ascii="仿宋_GB2312" w:hAnsi="仿宋_GB2312" w:eastAsia="仿宋_GB2312" w:cs="仿宋_GB2312"/>
          <w:bCs/>
          <w:color w:val="auto"/>
          <w:kern w:val="0"/>
          <w:sz w:val="32"/>
          <w:szCs w:val="32"/>
          <w:highlight w:val="none"/>
        </w:rPr>
        <w:t>区级</w:t>
      </w:r>
      <w:r>
        <w:rPr>
          <w:rFonts w:hint="eastAsia" w:ascii="仿宋_GB2312" w:hAnsi="仿宋_GB2312" w:eastAsia="仿宋_GB2312" w:cs="仿宋_GB2312"/>
          <w:bCs/>
          <w:color w:val="auto"/>
          <w:kern w:val="0"/>
          <w:sz w:val="32"/>
          <w:szCs w:val="32"/>
          <w:highlight w:val="none"/>
          <w:lang w:val="en-US" w:eastAsia="zh-CN"/>
        </w:rPr>
        <w:t>10</w:t>
      </w:r>
      <w:r>
        <w:rPr>
          <w:rFonts w:hint="eastAsia" w:ascii="仿宋_GB2312" w:hAnsi="仿宋_GB2312" w:eastAsia="仿宋_GB2312" w:cs="仿宋_GB2312"/>
          <w:bCs/>
          <w:color w:val="auto"/>
          <w:kern w:val="0"/>
          <w:sz w:val="32"/>
          <w:szCs w:val="32"/>
          <w:highlight w:val="none"/>
        </w:rPr>
        <w:t>项。</w:t>
      </w:r>
    </w:p>
    <w:p>
      <w:pPr>
        <w:keepNext w:val="0"/>
        <w:keepLines w:val="0"/>
        <w:pageBreakBefore w:val="0"/>
        <w:widowControl/>
        <w:kinsoku/>
        <w:wordWrap/>
        <w:overflowPunct/>
        <w:topLinePunct w:val="0"/>
        <w:autoSpaceDE/>
        <w:autoSpaceDN/>
        <w:bidi w:val="0"/>
        <w:adjustRightInd w:val="0"/>
        <w:snapToGrid w:val="0"/>
        <w:spacing w:line="322" w:lineRule="auto"/>
        <w:ind w:firstLine="640" w:firstLineChars="200"/>
        <w:jc w:val="both"/>
        <w:textAlignment w:val="auto"/>
        <w:rPr>
          <w:rFonts w:hint="default" w:ascii="仿宋_GB2312" w:hAnsi="仿宋_GB2312" w:eastAsia="仿宋_GB2312" w:cs="仿宋_GB2312"/>
          <w:bCs/>
          <w:color w:val="auto"/>
          <w:kern w:val="0"/>
          <w:sz w:val="32"/>
          <w:szCs w:val="32"/>
          <w:highlight w:val="none"/>
          <w:lang w:val="en-US" w:eastAsia="zh-CN"/>
        </w:rPr>
      </w:pPr>
      <w:r>
        <w:rPr>
          <w:rFonts w:hint="eastAsia" w:ascii="仿宋_GB2312" w:hAnsi="仿宋_GB2312" w:eastAsia="仿宋_GB2312" w:cs="仿宋_GB2312"/>
          <w:color w:val="auto"/>
          <w:sz w:val="32"/>
          <w:szCs w:val="32"/>
          <w:highlight w:val="none"/>
        </w:rPr>
        <w:t>年末</w:t>
      </w:r>
      <w:r>
        <w:rPr>
          <w:rFonts w:hint="eastAsia" w:ascii="仿宋_GB2312" w:hAnsi="仿宋_GB2312" w:eastAsia="仿宋_GB2312" w:cs="仿宋_GB2312"/>
          <w:color w:val="auto"/>
          <w:sz w:val="32"/>
          <w:szCs w:val="32"/>
          <w:highlight w:val="none"/>
          <w:lang w:eastAsia="zh-CN"/>
        </w:rPr>
        <w:t>全区</w:t>
      </w:r>
      <w:r>
        <w:rPr>
          <w:rFonts w:hint="eastAsia" w:ascii="仿宋_GB2312" w:hAnsi="仿宋_GB2312" w:eastAsia="仿宋_GB2312" w:cs="仿宋_GB2312"/>
          <w:color w:val="auto"/>
          <w:sz w:val="32"/>
          <w:szCs w:val="32"/>
          <w:highlight w:val="none"/>
        </w:rPr>
        <w:t>有各类医疗卫生机构</w:t>
      </w:r>
      <w:r>
        <w:rPr>
          <w:rFonts w:hint="eastAsia" w:ascii="仿宋_GB2312" w:hAnsi="仿宋_GB2312" w:eastAsia="仿宋_GB2312" w:cs="仿宋_GB2312"/>
          <w:color w:val="auto"/>
          <w:sz w:val="32"/>
          <w:szCs w:val="32"/>
          <w:highlight w:val="none"/>
          <w:lang w:val="en-US" w:eastAsia="zh-CN"/>
        </w:rPr>
        <w:t>463</w:t>
      </w:r>
      <w:r>
        <w:rPr>
          <w:rFonts w:hint="eastAsia" w:ascii="仿宋_GB2312" w:hAnsi="仿宋_GB2312" w:eastAsia="仿宋_GB2312" w:cs="仿宋_GB2312"/>
          <w:color w:val="auto"/>
          <w:sz w:val="32"/>
          <w:szCs w:val="32"/>
          <w:highlight w:val="none"/>
        </w:rPr>
        <w:t>个。其中，医院3</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个，门诊部</w:t>
      </w:r>
      <w:r>
        <w:rPr>
          <w:rFonts w:hint="eastAsia" w:ascii="仿宋_GB2312" w:hAnsi="仿宋_GB2312" w:eastAsia="仿宋_GB2312" w:cs="仿宋_GB2312"/>
          <w:color w:val="auto"/>
          <w:sz w:val="32"/>
          <w:szCs w:val="32"/>
          <w:highlight w:val="none"/>
          <w:lang w:val="en-US" w:eastAsia="zh-CN"/>
        </w:rPr>
        <w:t>33</w:t>
      </w:r>
      <w:r>
        <w:rPr>
          <w:rFonts w:hint="eastAsia" w:ascii="仿宋_GB2312" w:hAnsi="仿宋_GB2312" w:eastAsia="仿宋_GB2312" w:cs="仿宋_GB2312"/>
          <w:color w:val="auto"/>
          <w:sz w:val="32"/>
          <w:szCs w:val="32"/>
          <w:highlight w:val="none"/>
        </w:rPr>
        <w:t>个，社区卫生服务中心10个，社区卫生服务站</w:t>
      </w:r>
      <w:r>
        <w:rPr>
          <w:rFonts w:hint="eastAsia" w:ascii="仿宋_GB2312" w:hAnsi="仿宋_GB2312" w:eastAsia="仿宋_GB2312" w:cs="仿宋_GB2312"/>
          <w:color w:val="auto"/>
          <w:sz w:val="32"/>
          <w:szCs w:val="32"/>
          <w:highlight w:val="none"/>
          <w:lang w:val="en-US" w:eastAsia="zh-CN"/>
        </w:rPr>
        <w:t>35</w:t>
      </w:r>
      <w:r>
        <w:rPr>
          <w:rFonts w:hint="eastAsia" w:ascii="仿宋_GB2312" w:hAnsi="仿宋_GB2312" w:eastAsia="仿宋_GB2312" w:cs="仿宋_GB2312"/>
          <w:color w:val="auto"/>
          <w:sz w:val="32"/>
          <w:szCs w:val="32"/>
          <w:highlight w:val="none"/>
        </w:rPr>
        <w:t>个，村卫生所13个，个体诊所33</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个</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年末各类卫生机构拥有</w:t>
      </w:r>
      <w:r>
        <w:rPr>
          <w:rFonts w:hint="eastAsia" w:ascii="仿宋_GB2312" w:hAnsi="仿宋_GB2312" w:eastAsia="仿宋_GB2312" w:cs="仿宋_GB2312"/>
          <w:color w:val="auto"/>
          <w:sz w:val="32"/>
          <w:szCs w:val="32"/>
          <w:highlight w:val="none"/>
        </w:rPr>
        <w:t>卫生技术人员</w:t>
      </w:r>
      <w:r>
        <w:rPr>
          <w:rFonts w:hint="eastAsia" w:ascii="仿宋_GB2312" w:hAnsi="仿宋_GB2312" w:eastAsia="仿宋_GB2312" w:cs="仿宋_GB2312"/>
          <w:color w:val="auto"/>
          <w:sz w:val="32"/>
          <w:szCs w:val="32"/>
          <w:highlight w:val="none"/>
          <w:lang w:val="en-US" w:eastAsia="zh-CN"/>
        </w:rPr>
        <w:t>2943</w:t>
      </w:r>
      <w:r>
        <w:rPr>
          <w:rFonts w:hint="eastAsia" w:ascii="仿宋_GB2312" w:hAnsi="仿宋_GB2312" w:eastAsia="仿宋_GB2312" w:cs="仿宋_GB2312"/>
          <w:color w:val="auto"/>
          <w:sz w:val="32"/>
          <w:szCs w:val="32"/>
          <w:highlight w:val="none"/>
        </w:rPr>
        <w:t>人。其中，高级职称</w:t>
      </w:r>
      <w:r>
        <w:rPr>
          <w:rFonts w:hint="eastAsia" w:ascii="仿宋_GB2312" w:hAnsi="仿宋_GB2312" w:eastAsia="仿宋_GB2312" w:cs="仿宋_GB2312"/>
          <w:color w:val="auto"/>
          <w:sz w:val="32"/>
          <w:szCs w:val="32"/>
          <w:highlight w:val="none"/>
          <w:lang w:val="en-US" w:eastAsia="zh-CN"/>
        </w:rPr>
        <w:t>89</w:t>
      </w:r>
      <w:r>
        <w:rPr>
          <w:rFonts w:hint="eastAsia" w:ascii="仿宋_GB2312" w:hAnsi="仿宋_GB2312" w:eastAsia="仿宋_GB2312" w:cs="仿宋_GB2312"/>
          <w:color w:val="auto"/>
          <w:sz w:val="32"/>
          <w:szCs w:val="32"/>
          <w:highlight w:val="none"/>
        </w:rPr>
        <w:t>人，中级职称1</w:t>
      </w:r>
      <w:r>
        <w:rPr>
          <w:rFonts w:hint="eastAsia" w:ascii="仿宋_GB2312" w:hAnsi="仿宋_GB2312" w:eastAsia="仿宋_GB2312" w:cs="仿宋_GB2312"/>
          <w:color w:val="auto"/>
          <w:sz w:val="32"/>
          <w:szCs w:val="32"/>
          <w:highlight w:val="none"/>
          <w:lang w:val="en-US" w:eastAsia="zh-CN"/>
        </w:rPr>
        <w:t>16</w:t>
      </w:r>
      <w:r>
        <w:rPr>
          <w:rFonts w:hint="eastAsia" w:ascii="仿宋_GB2312" w:hAnsi="仿宋_GB2312" w:eastAsia="仿宋_GB2312" w:cs="仿宋_GB2312"/>
          <w:color w:val="auto"/>
          <w:sz w:val="32"/>
          <w:szCs w:val="32"/>
          <w:highlight w:val="none"/>
        </w:rPr>
        <w:t>9人，初级职称1</w:t>
      </w:r>
      <w:r>
        <w:rPr>
          <w:rFonts w:hint="eastAsia" w:ascii="仿宋_GB2312" w:hAnsi="仿宋_GB2312" w:eastAsia="仿宋_GB2312" w:cs="仿宋_GB2312"/>
          <w:color w:val="auto"/>
          <w:sz w:val="32"/>
          <w:szCs w:val="32"/>
          <w:highlight w:val="none"/>
          <w:lang w:val="en-US" w:eastAsia="zh-CN"/>
        </w:rPr>
        <w:t>685</w:t>
      </w:r>
      <w:r>
        <w:rPr>
          <w:rFonts w:hint="eastAsia" w:ascii="仿宋_GB2312" w:hAnsi="仿宋_GB2312" w:eastAsia="仿宋_GB2312" w:cs="仿宋_GB2312"/>
          <w:color w:val="auto"/>
          <w:sz w:val="32"/>
          <w:szCs w:val="32"/>
          <w:highlight w:val="none"/>
        </w:rPr>
        <w:t>人。</w:t>
      </w:r>
      <w:r>
        <w:rPr>
          <w:rFonts w:hint="eastAsia" w:ascii="仿宋_GB2312" w:hAnsi="仿宋_GB2312" w:eastAsia="仿宋_GB2312" w:cs="仿宋_GB2312"/>
          <w:color w:val="auto"/>
          <w:sz w:val="32"/>
          <w:szCs w:val="32"/>
          <w:highlight w:val="none"/>
          <w:lang w:val="en-US" w:eastAsia="zh-CN"/>
        </w:rPr>
        <w:t>各类卫生机构拥有病床    1761张。</w:t>
      </w:r>
      <w:r>
        <w:rPr>
          <w:rFonts w:hint="eastAsia" w:ascii="仿宋_GB2312" w:hAnsi="仿宋_GB2312" w:eastAsia="仿宋_GB2312" w:cs="仿宋_GB2312"/>
          <w:color w:val="auto"/>
          <w:sz w:val="32"/>
          <w:szCs w:val="32"/>
          <w:highlight w:val="none"/>
        </w:rPr>
        <w:t>10万元以上大型医疗设备</w:t>
      </w:r>
      <w:r>
        <w:rPr>
          <w:rFonts w:hint="eastAsia" w:ascii="仿宋_GB2312" w:hAnsi="仿宋_GB2312" w:eastAsia="仿宋_GB2312" w:cs="仿宋_GB2312"/>
          <w:color w:val="auto"/>
          <w:sz w:val="32"/>
          <w:szCs w:val="32"/>
          <w:highlight w:val="none"/>
          <w:lang w:val="en-US" w:eastAsia="zh-CN"/>
        </w:rPr>
        <w:t>78</w:t>
      </w:r>
      <w:r>
        <w:rPr>
          <w:rFonts w:hint="eastAsia" w:ascii="仿宋_GB2312" w:hAnsi="仿宋_GB2312" w:eastAsia="仿宋_GB2312" w:cs="仿宋_GB2312"/>
          <w:color w:val="auto"/>
          <w:sz w:val="32"/>
          <w:szCs w:val="32"/>
          <w:highlight w:val="none"/>
        </w:rPr>
        <w:t>台件，50万元以上大型设备</w:t>
      </w:r>
      <w:r>
        <w:rPr>
          <w:rFonts w:hint="eastAsia" w:ascii="仿宋_GB2312" w:hAnsi="仿宋_GB2312" w:eastAsia="仿宋_GB2312" w:cs="仿宋_GB2312"/>
          <w:color w:val="auto"/>
          <w:sz w:val="32"/>
          <w:szCs w:val="32"/>
          <w:highlight w:val="none"/>
          <w:lang w:val="en-US" w:eastAsia="zh-CN"/>
        </w:rPr>
        <w:t>27</w:t>
      </w:r>
      <w:r>
        <w:rPr>
          <w:rFonts w:hint="eastAsia" w:ascii="仿宋_GB2312" w:hAnsi="仿宋_GB2312" w:eastAsia="仿宋_GB2312" w:cs="仿宋_GB2312"/>
          <w:color w:val="auto"/>
          <w:sz w:val="32"/>
          <w:szCs w:val="32"/>
          <w:highlight w:val="none"/>
        </w:rPr>
        <w:t>台件，100万元以上大型设备</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台件</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line="322" w:lineRule="auto"/>
        <w:ind w:firstLine="640" w:firstLineChars="200"/>
        <w:jc w:val="both"/>
        <w:textAlignment w:val="auto"/>
        <w:rPr>
          <w:rFonts w:ascii="黑体" w:hAnsi="黑体" w:eastAsia="黑体" w:cs="黑体"/>
          <w:bCs/>
          <w:sz w:val="32"/>
          <w:szCs w:val="32"/>
          <w:highlight w:val="none"/>
        </w:rPr>
      </w:pPr>
      <w:r>
        <w:rPr>
          <w:rFonts w:hint="eastAsia" w:ascii="黑体" w:hAnsi="黑体" w:eastAsia="黑体" w:cs="黑体"/>
          <w:bCs/>
          <w:sz w:val="32"/>
          <w:szCs w:val="32"/>
          <w:highlight w:val="none"/>
        </w:rPr>
        <w:t>九、人口、人民生活和社会保障</w:t>
      </w:r>
    </w:p>
    <w:p>
      <w:pPr>
        <w:keepNext w:val="0"/>
        <w:keepLines w:val="0"/>
        <w:pageBreakBefore w:val="0"/>
        <w:kinsoku/>
        <w:wordWrap/>
        <w:overflowPunct/>
        <w:topLinePunct w:val="0"/>
        <w:autoSpaceDE/>
        <w:autoSpaceDN/>
        <w:bidi w:val="0"/>
        <w:adjustRightInd w:val="0"/>
        <w:snapToGrid w:val="0"/>
        <w:spacing w:line="322" w:lineRule="auto"/>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年末全区户籍人口44</w:t>
      </w:r>
      <w:r>
        <w:rPr>
          <w:rFonts w:hint="eastAsia" w:ascii="仿宋_GB2312" w:hAnsi="仿宋_GB2312" w:eastAsia="仿宋_GB2312" w:cs="仿宋_GB2312"/>
          <w:sz w:val="32"/>
          <w:szCs w:val="32"/>
          <w:highlight w:val="none"/>
          <w:lang w:val="en-US" w:eastAsia="zh-CN"/>
        </w:rPr>
        <w:t>8720</w:t>
      </w:r>
      <w:r>
        <w:rPr>
          <w:rFonts w:hint="eastAsia" w:ascii="仿宋_GB2312" w:hAnsi="仿宋_GB2312" w:eastAsia="仿宋_GB2312" w:cs="仿宋_GB2312"/>
          <w:sz w:val="32"/>
          <w:szCs w:val="32"/>
          <w:highlight w:val="none"/>
        </w:rPr>
        <w:t>人（见下表）。其中，城镇人口</w:t>
      </w:r>
      <w:r>
        <w:rPr>
          <w:rFonts w:hint="eastAsia" w:ascii="仿宋_GB2312" w:hAnsi="仿宋_GB2312" w:eastAsia="仿宋_GB2312" w:cs="仿宋_GB2312"/>
          <w:sz w:val="32"/>
          <w:szCs w:val="32"/>
          <w:highlight w:val="none"/>
          <w:lang w:val="en-US" w:eastAsia="zh-CN"/>
        </w:rPr>
        <w:t>428246</w:t>
      </w:r>
      <w:r>
        <w:rPr>
          <w:rFonts w:hint="eastAsia" w:ascii="仿宋_GB2312" w:hAnsi="仿宋_GB2312" w:eastAsia="仿宋_GB2312" w:cs="仿宋_GB2312"/>
          <w:sz w:val="32"/>
          <w:szCs w:val="32"/>
          <w:highlight w:val="none"/>
        </w:rPr>
        <w:t xml:space="preserve">人，乡村人口 </w:t>
      </w:r>
      <w:r>
        <w:rPr>
          <w:rFonts w:hint="eastAsia" w:ascii="仿宋_GB2312" w:hAnsi="仿宋_GB2312" w:eastAsia="仿宋_GB2312" w:cs="仿宋_GB2312"/>
          <w:sz w:val="32"/>
          <w:szCs w:val="32"/>
          <w:highlight w:val="none"/>
          <w:lang w:val="en-US" w:eastAsia="zh-CN"/>
        </w:rPr>
        <w:t>20474</w:t>
      </w:r>
      <w:r>
        <w:rPr>
          <w:rFonts w:hint="eastAsia" w:ascii="仿宋_GB2312" w:hAnsi="仿宋_GB2312" w:eastAsia="仿宋_GB2312" w:cs="仿宋_GB2312"/>
          <w:sz w:val="32"/>
          <w:szCs w:val="32"/>
          <w:highlight w:val="none"/>
        </w:rPr>
        <w:t>人。全年出生人口</w:t>
      </w:r>
      <w:r>
        <w:rPr>
          <w:rFonts w:hint="eastAsia" w:ascii="仿宋_GB2312" w:hAnsi="仿宋_GB2312" w:eastAsia="仿宋_GB2312" w:cs="仿宋_GB2312"/>
          <w:sz w:val="32"/>
          <w:szCs w:val="32"/>
          <w:highlight w:val="none"/>
          <w:lang w:val="en-US" w:eastAsia="zh-CN"/>
        </w:rPr>
        <w:t>2328</w:t>
      </w:r>
      <w:r>
        <w:rPr>
          <w:rFonts w:hint="eastAsia" w:ascii="仿宋_GB2312" w:hAnsi="仿宋_GB2312" w:eastAsia="仿宋_GB2312" w:cs="仿宋_GB2312"/>
          <w:sz w:val="32"/>
          <w:szCs w:val="32"/>
          <w:highlight w:val="none"/>
        </w:rPr>
        <w:t>人，出生率5.</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‰；死亡人口</w:t>
      </w:r>
      <w:r>
        <w:rPr>
          <w:rFonts w:hint="eastAsia" w:ascii="仿宋_GB2312" w:hAnsi="仿宋_GB2312" w:eastAsia="仿宋_GB2312" w:cs="仿宋_GB2312"/>
          <w:sz w:val="32"/>
          <w:szCs w:val="32"/>
          <w:highlight w:val="none"/>
          <w:lang w:val="en-US" w:eastAsia="zh-CN"/>
        </w:rPr>
        <w:t>1009</w:t>
      </w:r>
      <w:r>
        <w:rPr>
          <w:rFonts w:hint="eastAsia" w:ascii="仿宋_GB2312" w:hAnsi="仿宋_GB2312" w:eastAsia="仿宋_GB2312" w:cs="仿宋_GB2312"/>
          <w:sz w:val="32"/>
          <w:szCs w:val="32"/>
          <w:highlight w:val="none"/>
        </w:rPr>
        <w:t>人，死亡率</w:t>
      </w:r>
      <w:r>
        <w:rPr>
          <w:rFonts w:hint="eastAsia" w:ascii="仿宋_GB2312" w:hAnsi="仿宋_GB2312" w:eastAsia="仿宋_GB2312" w:cs="仿宋_GB2312"/>
          <w:sz w:val="32"/>
          <w:szCs w:val="32"/>
          <w:highlight w:val="none"/>
          <w:lang w:val="en-US" w:eastAsia="zh-CN"/>
        </w:rPr>
        <w:t>2.3</w:t>
      </w:r>
      <w:r>
        <w:rPr>
          <w:rFonts w:hint="eastAsia" w:ascii="仿宋_GB2312" w:hAnsi="仿宋_GB2312" w:eastAsia="仿宋_GB2312" w:cs="仿宋_GB2312"/>
          <w:sz w:val="32"/>
          <w:szCs w:val="32"/>
          <w:highlight w:val="none"/>
        </w:rPr>
        <w:t>‰，人口自然增长率</w:t>
      </w:r>
      <w:r>
        <w:rPr>
          <w:rFonts w:hint="eastAsia" w:ascii="仿宋_GB2312" w:hAnsi="仿宋_GB2312" w:eastAsia="仿宋_GB2312" w:cs="仿宋_GB2312"/>
          <w:sz w:val="32"/>
          <w:szCs w:val="32"/>
          <w:highlight w:val="none"/>
          <w:lang w:val="en-US" w:eastAsia="zh-CN"/>
        </w:rPr>
        <w:t>2.9</w:t>
      </w:r>
      <w:r>
        <w:rPr>
          <w:rFonts w:hint="eastAsia" w:ascii="仿宋_GB2312" w:hAnsi="仿宋_GB2312" w:eastAsia="仿宋_GB2312" w:cs="仿宋_GB2312"/>
          <w:sz w:val="32"/>
          <w:szCs w:val="32"/>
          <w:highlight w:val="none"/>
        </w:rPr>
        <w:t>‰。</w:t>
      </w:r>
    </w:p>
    <w:p>
      <w:pPr>
        <w:jc w:val="center"/>
        <w:rPr>
          <w:rFonts w:hint="eastAsia" w:ascii="方正小标宋简体" w:hAnsi="方正小标宋简体" w:eastAsia="方正小标宋简体" w:cs="方正小标宋简体"/>
          <w:b w:val="0"/>
          <w:bCs/>
          <w:sz w:val="32"/>
          <w:szCs w:val="32"/>
          <w:highlight w:val="none"/>
        </w:rPr>
      </w:pPr>
      <w:r>
        <w:rPr>
          <w:rFonts w:hint="eastAsia" w:ascii="方正小标宋简体" w:hAnsi="方正小标宋简体" w:eastAsia="方正小标宋简体" w:cs="方正小标宋简体"/>
          <w:b w:val="0"/>
          <w:bCs/>
          <w:sz w:val="32"/>
          <w:szCs w:val="32"/>
          <w:highlight w:val="none"/>
        </w:rPr>
        <w:t>202</w:t>
      </w:r>
      <w:r>
        <w:rPr>
          <w:rFonts w:hint="eastAsia" w:ascii="方正小标宋简体" w:hAnsi="方正小标宋简体" w:eastAsia="方正小标宋简体" w:cs="方正小标宋简体"/>
          <w:b w:val="0"/>
          <w:bCs/>
          <w:sz w:val="32"/>
          <w:szCs w:val="32"/>
          <w:highlight w:val="none"/>
          <w:lang w:val="en-US" w:eastAsia="zh-CN"/>
        </w:rPr>
        <w:t>2</w:t>
      </w:r>
      <w:r>
        <w:rPr>
          <w:rFonts w:hint="eastAsia" w:ascii="方正小标宋简体" w:hAnsi="方正小标宋简体" w:eastAsia="方正小标宋简体" w:cs="方正小标宋简体"/>
          <w:b w:val="0"/>
          <w:bCs/>
          <w:sz w:val="32"/>
          <w:szCs w:val="32"/>
          <w:highlight w:val="none"/>
        </w:rPr>
        <w:t>年户籍人口数及构成</w:t>
      </w:r>
    </w:p>
    <w:tbl>
      <w:tblPr>
        <w:tblStyle w:val="10"/>
        <w:tblW w:w="8040" w:type="dxa"/>
        <w:tblInd w:w="93" w:type="dxa"/>
        <w:tblLayout w:type="autofit"/>
        <w:tblCellMar>
          <w:top w:w="0" w:type="dxa"/>
          <w:left w:w="108" w:type="dxa"/>
          <w:bottom w:w="0" w:type="dxa"/>
          <w:right w:w="108" w:type="dxa"/>
        </w:tblCellMar>
      </w:tblPr>
      <w:tblGrid>
        <w:gridCol w:w="2200"/>
        <w:gridCol w:w="2920"/>
        <w:gridCol w:w="2920"/>
      </w:tblGrid>
      <w:tr>
        <w:tblPrEx>
          <w:tblCellMar>
            <w:top w:w="0" w:type="dxa"/>
            <w:left w:w="108" w:type="dxa"/>
            <w:bottom w:w="0" w:type="dxa"/>
            <w:right w:w="108" w:type="dxa"/>
          </w:tblCellMar>
        </w:tblPrEx>
        <w:trPr>
          <w:trHeight w:val="317" w:hRule="atLeast"/>
        </w:trPr>
        <w:tc>
          <w:tcPr>
            <w:tcW w:w="2200" w:type="dxa"/>
            <w:tcBorders>
              <w:top w:val="nil"/>
              <w:left w:val="nil"/>
              <w:bottom w:val="nil"/>
              <w:right w:val="nil"/>
            </w:tcBorders>
            <w:shd w:val="clear" w:color="auto" w:fill="auto"/>
            <w:noWrap/>
            <w:vAlign w:val="center"/>
          </w:tcPr>
          <w:p>
            <w:pPr>
              <w:widowControl/>
              <w:jc w:val="left"/>
              <w:rPr>
                <w:rFonts w:hint="eastAsia" w:ascii="宋体" w:hAnsi="宋体" w:eastAsia="宋体" w:cs="宋体"/>
                <w:b w:val="0"/>
                <w:bCs w:val="0"/>
                <w:kern w:val="0"/>
                <w:sz w:val="24"/>
                <w:szCs w:val="24"/>
                <w:highlight w:val="none"/>
              </w:rPr>
            </w:pPr>
          </w:p>
        </w:tc>
        <w:tc>
          <w:tcPr>
            <w:tcW w:w="2920" w:type="dxa"/>
            <w:tcBorders>
              <w:top w:val="nil"/>
              <w:left w:val="nil"/>
              <w:bottom w:val="nil"/>
              <w:right w:val="nil"/>
            </w:tcBorders>
            <w:shd w:val="clear" w:color="auto" w:fill="auto"/>
            <w:noWrap/>
            <w:vAlign w:val="center"/>
          </w:tcPr>
          <w:p>
            <w:pPr>
              <w:widowControl/>
              <w:jc w:val="left"/>
              <w:rPr>
                <w:rFonts w:hint="eastAsia" w:ascii="宋体" w:hAnsi="宋体" w:eastAsia="宋体" w:cs="宋体"/>
                <w:b w:val="0"/>
                <w:bCs w:val="0"/>
                <w:kern w:val="0"/>
                <w:sz w:val="24"/>
                <w:szCs w:val="24"/>
                <w:highlight w:val="none"/>
              </w:rPr>
            </w:pPr>
          </w:p>
        </w:tc>
        <w:tc>
          <w:tcPr>
            <w:tcW w:w="2920" w:type="dxa"/>
            <w:tcBorders>
              <w:top w:val="nil"/>
              <w:left w:val="nil"/>
              <w:bottom w:val="nil"/>
              <w:right w:val="nil"/>
            </w:tcBorders>
            <w:shd w:val="clear" w:color="auto" w:fill="auto"/>
            <w:noWrap/>
            <w:vAlign w:val="center"/>
          </w:tcPr>
          <w:p>
            <w:pPr>
              <w:widowControl/>
              <w:jc w:val="right"/>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rPr>
              <w:t>单位：人</w:t>
            </w:r>
          </w:p>
        </w:tc>
      </w:tr>
      <w:tr>
        <w:tblPrEx>
          <w:tblCellMar>
            <w:top w:w="0" w:type="dxa"/>
            <w:left w:w="108" w:type="dxa"/>
            <w:bottom w:w="0" w:type="dxa"/>
            <w:right w:w="108" w:type="dxa"/>
          </w:tblCellMar>
        </w:tblPrEx>
        <w:trPr>
          <w:trHeight w:val="300" w:hRule="atLeast"/>
        </w:trPr>
        <w:tc>
          <w:tcPr>
            <w:tcW w:w="2200" w:type="dxa"/>
            <w:tcBorders>
              <w:top w:val="single" w:color="auto" w:sz="8" w:space="0"/>
              <w:left w:val="nil"/>
              <w:bottom w:val="single" w:color="auto" w:sz="8" w:space="0"/>
              <w:right w:val="single" w:color="auto" w:sz="8" w:space="0"/>
            </w:tcBorders>
            <w:shd w:val="clear" w:color="auto" w:fill="auto"/>
            <w:vAlign w:val="center"/>
          </w:tcPr>
          <w:p>
            <w:pPr>
              <w:widowControl/>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　</w:t>
            </w:r>
          </w:p>
        </w:tc>
        <w:tc>
          <w:tcPr>
            <w:tcW w:w="292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年末数</w:t>
            </w:r>
          </w:p>
        </w:tc>
        <w:tc>
          <w:tcPr>
            <w:tcW w:w="2920" w:type="dxa"/>
            <w:tcBorders>
              <w:top w:val="single" w:color="auto" w:sz="8" w:space="0"/>
              <w:left w:val="nil"/>
              <w:bottom w:val="single" w:color="auto" w:sz="8" w:space="0"/>
              <w:right w:val="nil"/>
            </w:tcBorders>
            <w:shd w:val="clear" w:color="auto" w:fill="auto"/>
            <w:vAlign w:val="center"/>
          </w:tcPr>
          <w:p>
            <w:pPr>
              <w:widowControl/>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比重（%）</w:t>
            </w:r>
          </w:p>
        </w:tc>
      </w:tr>
      <w:tr>
        <w:tblPrEx>
          <w:tblCellMar>
            <w:top w:w="0" w:type="dxa"/>
            <w:left w:w="108" w:type="dxa"/>
            <w:bottom w:w="0" w:type="dxa"/>
            <w:right w:w="108" w:type="dxa"/>
          </w:tblCellMar>
        </w:tblPrEx>
        <w:trPr>
          <w:trHeight w:val="360" w:hRule="atLeast"/>
        </w:trPr>
        <w:tc>
          <w:tcPr>
            <w:tcW w:w="2200" w:type="dxa"/>
            <w:tcBorders>
              <w:top w:val="nil"/>
              <w:left w:val="nil"/>
              <w:bottom w:val="nil"/>
              <w:right w:val="nil"/>
            </w:tcBorders>
            <w:shd w:val="clear" w:color="auto" w:fill="auto"/>
            <w:vAlign w:val="center"/>
          </w:tcPr>
          <w:p>
            <w:pPr>
              <w:widowControl/>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全区总人口</w:t>
            </w:r>
          </w:p>
        </w:tc>
        <w:tc>
          <w:tcPr>
            <w:tcW w:w="2920" w:type="dxa"/>
            <w:tcBorders>
              <w:top w:val="nil"/>
              <w:left w:val="single" w:color="auto" w:sz="8" w:space="0"/>
              <w:bottom w:val="nil"/>
              <w:right w:val="single" w:color="auto" w:sz="8" w:space="0"/>
            </w:tcBorders>
            <w:shd w:val="clear" w:color="auto" w:fill="auto"/>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44</w:t>
            </w:r>
            <w:r>
              <w:rPr>
                <w:rFonts w:hint="eastAsia" w:ascii="宋体" w:hAnsi="宋体" w:cs="宋体"/>
                <w:kern w:val="0"/>
                <w:sz w:val="24"/>
                <w:szCs w:val="24"/>
                <w:highlight w:val="none"/>
                <w:lang w:val="en-US" w:eastAsia="zh-CN"/>
              </w:rPr>
              <w:t>8720</w:t>
            </w:r>
          </w:p>
        </w:tc>
        <w:tc>
          <w:tcPr>
            <w:tcW w:w="2920" w:type="dxa"/>
            <w:tcBorders>
              <w:top w:val="nil"/>
              <w:left w:val="nil"/>
              <w:bottom w:val="nil"/>
              <w:right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100</w:t>
            </w:r>
          </w:p>
        </w:tc>
      </w:tr>
      <w:tr>
        <w:tblPrEx>
          <w:tblCellMar>
            <w:top w:w="0" w:type="dxa"/>
            <w:left w:w="108" w:type="dxa"/>
            <w:bottom w:w="0" w:type="dxa"/>
            <w:right w:w="108" w:type="dxa"/>
          </w:tblCellMar>
        </w:tblPrEx>
        <w:trPr>
          <w:trHeight w:val="360" w:hRule="atLeast"/>
        </w:trPr>
        <w:tc>
          <w:tcPr>
            <w:tcW w:w="2200" w:type="dxa"/>
            <w:tcBorders>
              <w:top w:val="nil"/>
              <w:left w:val="nil"/>
              <w:bottom w:val="nil"/>
              <w:right w:val="nil"/>
            </w:tcBorders>
            <w:shd w:val="clear" w:color="auto" w:fill="auto"/>
            <w:vAlign w:val="center"/>
          </w:tcPr>
          <w:p>
            <w:pPr>
              <w:widowControl/>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城镇</w:t>
            </w:r>
          </w:p>
        </w:tc>
        <w:tc>
          <w:tcPr>
            <w:tcW w:w="2920" w:type="dxa"/>
            <w:tcBorders>
              <w:top w:val="nil"/>
              <w:left w:val="single" w:color="auto" w:sz="8" w:space="0"/>
              <w:bottom w:val="nil"/>
              <w:right w:val="single" w:color="auto" w:sz="8" w:space="0"/>
            </w:tcBorders>
            <w:shd w:val="clear" w:color="auto" w:fill="auto"/>
            <w:vAlign w:val="center"/>
          </w:tcPr>
          <w:p>
            <w:pPr>
              <w:widowControl/>
              <w:jc w:val="center"/>
              <w:rPr>
                <w:rFonts w:hint="default"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rPr>
              <w:t>42</w:t>
            </w:r>
            <w:r>
              <w:rPr>
                <w:rFonts w:hint="eastAsia" w:asciiTheme="minorEastAsia" w:hAnsiTheme="minorEastAsia" w:eastAsiaTheme="minorEastAsia" w:cstheme="minorEastAsia"/>
                <w:kern w:val="0"/>
                <w:sz w:val="24"/>
                <w:szCs w:val="24"/>
                <w:highlight w:val="none"/>
                <w:lang w:val="en-US" w:eastAsia="zh-CN"/>
              </w:rPr>
              <w:t>8246</w:t>
            </w:r>
          </w:p>
        </w:tc>
        <w:tc>
          <w:tcPr>
            <w:tcW w:w="2920" w:type="dxa"/>
            <w:tcBorders>
              <w:top w:val="nil"/>
              <w:left w:val="nil"/>
              <w:bottom w:val="nil"/>
              <w:right w:val="nil"/>
            </w:tcBorders>
            <w:shd w:val="clear" w:color="auto" w:fill="auto"/>
            <w:vAlign w:val="bottom"/>
          </w:tcPr>
          <w:p>
            <w:pPr>
              <w:widowControl/>
              <w:jc w:val="center"/>
              <w:rPr>
                <w:rFonts w:hint="eastAsia" w:asciiTheme="minorEastAsia" w:hAnsiTheme="minorEastAsia" w:eastAsiaTheme="minorEastAsia" w:cstheme="minorEastAsia"/>
                <w:kern w:val="0"/>
                <w:sz w:val="24"/>
                <w:szCs w:val="24"/>
                <w:highlight w:val="none"/>
                <w:lang w:val="en-US" w:eastAsia="zh-CN"/>
              </w:rPr>
            </w:pPr>
            <w:r>
              <w:rPr>
                <w:rFonts w:hint="default" w:asciiTheme="minorEastAsia" w:hAnsiTheme="minorEastAsia" w:eastAsiaTheme="minorEastAsia" w:cstheme="minorEastAsia"/>
                <w:kern w:val="0"/>
                <w:sz w:val="24"/>
                <w:szCs w:val="24"/>
                <w:highlight w:val="none"/>
                <w:lang w:val="en-US" w:eastAsia="zh-CN"/>
              </w:rPr>
              <w:t>95.4</w:t>
            </w:r>
          </w:p>
        </w:tc>
      </w:tr>
      <w:tr>
        <w:tblPrEx>
          <w:tblCellMar>
            <w:top w:w="0" w:type="dxa"/>
            <w:left w:w="108" w:type="dxa"/>
            <w:bottom w:w="0" w:type="dxa"/>
            <w:right w:w="108" w:type="dxa"/>
          </w:tblCellMar>
        </w:tblPrEx>
        <w:trPr>
          <w:trHeight w:val="360" w:hRule="atLeast"/>
        </w:trPr>
        <w:tc>
          <w:tcPr>
            <w:tcW w:w="2200" w:type="dxa"/>
            <w:tcBorders>
              <w:top w:val="nil"/>
              <w:left w:val="nil"/>
              <w:bottom w:val="nil"/>
              <w:right w:val="nil"/>
            </w:tcBorders>
            <w:shd w:val="clear" w:color="auto" w:fill="auto"/>
            <w:vAlign w:val="center"/>
          </w:tcPr>
          <w:p>
            <w:pPr>
              <w:widowControl/>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乡村</w:t>
            </w:r>
          </w:p>
        </w:tc>
        <w:tc>
          <w:tcPr>
            <w:tcW w:w="2920" w:type="dxa"/>
            <w:tcBorders>
              <w:top w:val="nil"/>
              <w:left w:val="single" w:color="auto" w:sz="8" w:space="0"/>
              <w:bottom w:val="nil"/>
              <w:right w:val="single" w:color="auto" w:sz="8" w:space="0"/>
            </w:tcBorders>
            <w:shd w:val="clear" w:color="auto" w:fill="auto"/>
            <w:vAlign w:val="center"/>
          </w:tcPr>
          <w:p>
            <w:pPr>
              <w:widowControl/>
              <w:jc w:val="center"/>
              <w:rPr>
                <w:rFonts w:hint="default"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20474</w:t>
            </w:r>
          </w:p>
        </w:tc>
        <w:tc>
          <w:tcPr>
            <w:tcW w:w="2920" w:type="dxa"/>
            <w:tcBorders>
              <w:top w:val="nil"/>
              <w:left w:val="nil"/>
              <w:bottom w:val="nil"/>
              <w:right w:val="nil"/>
            </w:tcBorders>
            <w:shd w:val="clear" w:color="auto" w:fill="auto"/>
            <w:vAlign w:val="bottom"/>
          </w:tcPr>
          <w:p>
            <w:pPr>
              <w:widowControl/>
              <w:jc w:val="center"/>
              <w:rPr>
                <w:rFonts w:hint="eastAsia" w:asciiTheme="minorEastAsia" w:hAnsiTheme="minorEastAsia" w:eastAsiaTheme="minorEastAsia" w:cstheme="minorEastAsia"/>
                <w:kern w:val="0"/>
                <w:sz w:val="24"/>
                <w:szCs w:val="24"/>
                <w:highlight w:val="none"/>
                <w:lang w:val="en-US" w:eastAsia="zh-CN"/>
              </w:rPr>
            </w:pPr>
            <w:r>
              <w:rPr>
                <w:rFonts w:hint="default" w:asciiTheme="minorEastAsia" w:hAnsiTheme="minorEastAsia" w:eastAsiaTheme="minorEastAsia" w:cstheme="minorEastAsia"/>
                <w:kern w:val="0"/>
                <w:sz w:val="24"/>
                <w:szCs w:val="24"/>
                <w:highlight w:val="none"/>
                <w:lang w:val="en-US" w:eastAsia="zh-CN"/>
              </w:rPr>
              <w:t>4.6</w:t>
            </w:r>
          </w:p>
        </w:tc>
      </w:tr>
      <w:tr>
        <w:tblPrEx>
          <w:tblCellMar>
            <w:top w:w="0" w:type="dxa"/>
            <w:left w:w="108" w:type="dxa"/>
            <w:bottom w:w="0" w:type="dxa"/>
            <w:right w:w="108" w:type="dxa"/>
          </w:tblCellMar>
        </w:tblPrEx>
        <w:trPr>
          <w:trHeight w:val="360" w:hRule="atLeast"/>
        </w:trPr>
        <w:tc>
          <w:tcPr>
            <w:tcW w:w="2200" w:type="dxa"/>
            <w:tcBorders>
              <w:top w:val="nil"/>
              <w:left w:val="nil"/>
              <w:bottom w:val="nil"/>
              <w:right w:val="nil"/>
            </w:tcBorders>
            <w:shd w:val="clear" w:color="auto" w:fill="auto"/>
            <w:vAlign w:val="center"/>
          </w:tcPr>
          <w:p>
            <w:pPr>
              <w:widowControl/>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其中：男性</w:t>
            </w:r>
          </w:p>
        </w:tc>
        <w:tc>
          <w:tcPr>
            <w:tcW w:w="2920" w:type="dxa"/>
            <w:tcBorders>
              <w:top w:val="nil"/>
              <w:left w:val="single" w:color="auto" w:sz="8" w:space="0"/>
              <w:bottom w:val="nil"/>
              <w:right w:val="single" w:color="auto" w:sz="8" w:space="0"/>
            </w:tcBorders>
            <w:shd w:val="clear" w:color="auto" w:fill="auto"/>
            <w:vAlign w:val="center"/>
          </w:tcPr>
          <w:p>
            <w:pPr>
              <w:widowControl/>
              <w:jc w:val="center"/>
              <w:rPr>
                <w:rFonts w:hint="default"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221755</w:t>
            </w:r>
          </w:p>
        </w:tc>
        <w:tc>
          <w:tcPr>
            <w:tcW w:w="2920" w:type="dxa"/>
            <w:tcBorders>
              <w:top w:val="nil"/>
              <w:left w:val="nil"/>
              <w:bottom w:val="nil"/>
              <w:right w:val="nil"/>
            </w:tcBorders>
            <w:shd w:val="clear" w:color="auto" w:fill="auto"/>
            <w:vAlign w:val="bottom"/>
          </w:tcPr>
          <w:p>
            <w:pPr>
              <w:widowControl/>
              <w:jc w:val="center"/>
              <w:rPr>
                <w:rFonts w:hint="eastAsia" w:asciiTheme="minorEastAsia" w:hAnsiTheme="minorEastAsia" w:eastAsiaTheme="minorEastAsia" w:cstheme="minorEastAsia"/>
                <w:kern w:val="0"/>
                <w:sz w:val="24"/>
                <w:szCs w:val="24"/>
                <w:highlight w:val="none"/>
                <w:lang w:val="en-US" w:eastAsia="zh-CN"/>
              </w:rPr>
            </w:pPr>
            <w:r>
              <w:rPr>
                <w:rFonts w:hint="default" w:asciiTheme="minorEastAsia" w:hAnsiTheme="minorEastAsia" w:eastAsiaTheme="minorEastAsia" w:cstheme="minorEastAsia"/>
                <w:kern w:val="0"/>
                <w:sz w:val="24"/>
                <w:szCs w:val="24"/>
                <w:highlight w:val="none"/>
                <w:lang w:val="en-US" w:eastAsia="zh-CN"/>
              </w:rPr>
              <w:t>49.4</w:t>
            </w:r>
          </w:p>
        </w:tc>
      </w:tr>
      <w:tr>
        <w:tblPrEx>
          <w:tblCellMar>
            <w:top w:w="0" w:type="dxa"/>
            <w:left w:w="108" w:type="dxa"/>
            <w:bottom w:w="0" w:type="dxa"/>
            <w:right w:w="108" w:type="dxa"/>
          </w:tblCellMar>
        </w:tblPrEx>
        <w:trPr>
          <w:trHeight w:val="360" w:hRule="atLeast"/>
        </w:trPr>
        <w:tc>
          <w:tcPr>
            <w:tcW w:w="2200" w:type="dxa"/>
            <w:tcBorders>
              <w:top w:val="nil"/>
              <w:left w:val="nil"/>
              <w:bottom w:val="nil"/>
              <w:right w:val="nil"/>
            </w:tcBorders>
            <w:shd w:val="clear" w:color="auto" w:fill="auto"/>
            <w:vAlign w:val="center"/>
          </w:tcPr>
          <w:p>
            <w:pPr>
              <w:widowControl/>
              <w:ind w:firstLine="720" w:firstLineChars="300"/>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女性</w:t>
            </w:r>
          </w:p>
        </w:tc>
        <w:tc>
          <w:tcPr>
            <w:tcW w:w="2920" w:type="dxa"/>
            <w:tcBorders>
              <w:top w:val="nil"/>
              <w:left w:val="single" w:color="auto" w:sz="8" w:space="0"/>
              <w:bottom w:val="nil"/>
              <w:right w:val="single" w:color="auto" w:sz="8" w:space="0"/>
            </w:tcBorders>
            <w:shd w:val="clear" w:color="auto" w:fill="auto"/>
            <w:vAlign w:val="center"/>
          </w:tcPr>
          <w:p>
            <w:pPr>
              <w:widowControl/>
              <w:jc w:val="center"/>
              <w:rPr>
                <w:rFonts w:hint="default"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226965</w:t>
            </w:r>
          </w:p>
        </w:tc>
        <w:tc>
          <w:tcPr>
            <w:tcW w:w="2920" w:type="dxa"/>
            <w:tcBorders>
              <w:top w:val="nil"/>
              <w:left w:val="nil"/>
              <w:bottom w:val="nil"/>
              <w:right w:val="nil"/>
            </w:tcBorders>
            <w:shd w:val="clear" w:color="auto" w:fill="auto"/>
            <w:vAlign w:val="bottom"/>
          </w:tcPr>
          <w:p>
            <w:pPr>
              <w:widowControl/>
              <w:jc w:val="center"/>
              <w:rPr>
                <w:rFonts w:hint="eastAsia" w:asciiTheme="minorEastAsia" w:hAnsiTheme="minorEastAsia" w:eastAsiaTheme="minorEastAsia" w:cstheme="minorEastAsia"/>
                <w:kern w:val="0"/>
                <w:sz w:val="24"/>
                <w:szCs w:val="24"/>
                <w:highlight w:val="none"/>
                <w:lang w:val="en-US" w:eastAsia="zh-CN"/>
              </w:rPr>
            </w:pPr>
            <w:r>
              <w:rPr>
                <w:rFonts w:hint="default" w:asciiTheme="minorEastAsia" w:hAnsiTheme="minorEastAsia" w:eastAsiaTheme="minorEastAsia" w:cstheme="minorEastAsia"/>
                <w:kern w:val="0"/>
                <w:sz w:val="24"/>
                <w:szCs w:val="24"/>
                <w:highlight w:val="none"/>
                <w:lang w:val="en-US" w:eastAsia="zh-CN"/>
              </w:rPr>
              <w:t>50.6</w:t>
            </w:r>
          </w:p>
        </w:tc>
      </w:tr>
      <w:tr>
        <w:tblPrEx>
          <w:tblCellMar>
            <w:top w:w="0" w:type="dxa"/>
            <w:left w:w="108" w:type="dxa"/>
            <w:bottom w:w="0" w:type="dxa"/>
            <w:right w:w="108" w:type="dxa"/>
          </w:tblCellMar>
        </w:tblPrEx>
        <w:trPr>
          <w:trHeight w:val="360" w:hRule="atLeast"/>
        </w:trPr>
        <w:tc>
          <w:tcPr>
            <w:tcW w:w="2200" w:type="dxa"/>
            <w:tcBorders>
              <w:top w:val="nil"/>
              <w:left w:val="nil"/>
              <w:bottom w:val="nil"/>
              <w:right w:val="nil"/>
            </w:tcBorders>
            <w:shd w:val="clear" w:color="auto" w:fill="auto"/>
            <w:vAlign w:val="center"/>
          </w:tcPr>
          <w:p>
            <w:pPr>
              <w:widowControl/>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其中：0-17岁</w:t>
            </w:r>
          </w:p>
        </w:tc>
        <w:tc>
          <w:tcPr>
            <w:tcW w:w="2920" w:type="dxa"/>
            <w:tcBorders>
              <w:top w:val="nil"/>
              <w:left w:val="single" w:color="auto" w:sz="8" w:space="0"/>
              <w:bottom w:val="nil"/>
              <w:right w:val="single" w:color="auto" w:sz="8" w:space="0"/>
            </w:tcBorders>
            <w:shd w:val="clear" w:color="auto" w:fill="auto"/>
            <w:vAlign w:val="center"/>
          </w:tcPr>
          <w:p>
            <w:pPr>
              <w:widowControl/>
              <w:jc w:val="center"/>
              <w:rPr>
                <w:rFonts w:hint="default"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65307</w:t>
            </w:r>
          </w:p>
        </w:tc>
        <w:tc>
          <w:tcPr>
            <w:tcW w:w="2920" w:type="dxa"/>
            <w:tcBorders>
              <w:top w:val="nil"/>
              <w:left w:val="nil"/>
              <w:bottom w:val="nil"/>
              <w:right w:val="nil"/>
            </w:tcBorders>
            <w:shd w:val="clear" w:color="auto" w:fill="auto"/>
            <w:vAlign w:val="bottom"/>
          </w:tcPr>
          <w:p>
            <w:pPr>
              <w:widowControl/>
              <w:jc w:val="center"/>
              <w:rPr>
                <w:rFonts w:hint="eastAsia" w:asciiTheme="minorEastAsia" w:hAnsiTheme="minorEastAsia" w:eastAsiaTheme="minorEastAsia" w:cstheme="minorEastAsia"/>
                <w:kern w:val="0"/>
                <w:sz w:val="24"/>
                <w:szCs w:val="24"/>
                <w:highlight w:val="none"/>
                <w:lang w:val="en-US" w:eastAsia="zh-CN"/>
              </w:rPr>
            </w:pPr>
            <w:r>
              <w:rPr>
                <w:rFonts w:hint="default" w:asciiTheme="minorEastAsia" w:hAnsiTheme="minorEastAsia" w:eastAsiaTheme="minorEastAsia" w:cstheme="minorEastAsia"/>
                <w:kern w:val="0"/>
                <w:sz w:val="24"/>
                <w:szCs w:val="24"/>
                <w:highlight w:val="none"/>
                <w:lang w:val="en-US" w:eastAsia="zh-CN"/>
              </w:rPr>
              <w:t>14.6</w:t>
            </w:r>
          </w:p>
        </w:tc>
      </w:tr>
      <w:tr>
        <w:tblPrEx>
          <w:tblCellMar>
            <w:top w:w="0" w:type="dxa"/>
            <w:left w:w="108" w:type="dxa"/>
            <w:bottom w:w="0" w:type="dxa"/>
            <w:right w:w="108" w:type="dxa"/>
          </w:tblCellMar>
        </w:tblPrEx>
        <w:trPr>
          <w:trHeight w:val="360" w:hRule="atLeast"/>
        </w:trPr>
        <w:tc>
          <w:tcPr>
            <w:tcW w:w="2200" w:type="dxa"/>
            <w:tcBorders>
              <w:top w:val="nil"/>
              <w:left w:val="nil"/>
              <w:bottom w:val="nil"/>
              <w:right w:val="nil"/>
            </w:tcBorders>
            <w:shd w:val="clear" w:color="auto" w:fill="auto"/>
            <w:vAlign w:val="center"/>
          </w:tcPr>
          <w:p>
            <w:pPr>
              <w:widowControl/>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 xml:space="preserve">      18-34岁</w:t>
            </w:r>
          </w:p>
        </w:tc>
        <w:tc>
          <w:tcPr>
            <w:tcW w:w="2920" w:type="dxa"/>
            <w:tcBorders>
              <w:top w:val="nil"/>
              <w:left w:val="single" w:color="auto" w:sz="8" w:space="0"/>
              <w:bottom w:val="nil"/>
              <w:right w:val="single" w:color="auto" w:sz="8" w:space="0"/>
            </w:tcBorders>
            <w:shd w:val="clear" w:color="auto" w:fill="auto"/>
            <w:vAlign w:val="center"/>
          </w:tcPr>
          <w:p>
            <w:pPr>
              <w:widowControl/>
              <w:jc w:val="center"/>
              <w:rPr>
                <w:rFonts w:hint="default"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74538</w:t>
            </w:r>
          </w:p>
        </w:tc>
        <w:tc>
          <w:tcPr>
            <w:tcW w:w="2920" w:type="dxa"/>
            <w:tcBorders>
              <w:top w:val="nil"/>
              <w:left w:val="nil"/>
              <w:bottom w:val="nil"/>
              <w:right w:val="nil"/>
            </w:tcBorders>
            <w:shd w:val="clear" w:color="auto" w:fill="auto"/>
            <w:vAlign w:val="bottom"/>
          </w:tcPr>
          <w:p>
            <w:pPr>
              <w:widowControl/>
              <w:jc w:val="center"/>
              <w:rPr>
                <w:rFonts w:hint="eastAsia" w:asciiTheme="minorEastAsia" w:hAnsiTheme="minorEastAsia" w:eastAsiaTheme="minorEastAsia" w:cstheme="minorEastAsia"/>
                <w:kern w:val="0"/>
                <w:sz w:val="24"/>
                <w:szCs w:val="24"/>
                <w:highlight w:val="none"/>
                <w:lang w:val="en-US" w:eastAsia="zh-CN"/>
              </w:rPr>
            </w:pPr>
            <w:r>
              <w:rPr>
                <w:rFonts w:hint="default" w:asciiTheme="minorEastAsia" w:hAnsiTheme="minorEastAsia" w:eastAsiaTheme="minorEastAsia" w:cstheme="minorEastAsia"/>
                <w:kern w:val="0"/>
                <w:sz w:val="24"/>
                <w:szCs w:val="24"/>
                <w:highlight w:val="none"/>
                <w:lang w:val="en-US" w:eastAsia="zh-CN"/>
              </w:rPr>
              <w:t>16.6</w:t>
            </w:r>
          </w:p>
        </w:tc>
      </w:tr>
      <w:tr>
        <w:tblPrEx>
          <w:tblCellMar>
            <w:top w:w="0" w:type="dxa"/>
            <w:left w:w="108" w:type="dxa"/>
            <w:bottom w:w="0" w:type="dxa"/>
            <w:right w:w="108" w:type="dxa"/>
          </w:tblCellMar>
        </w:tblPrEx>
        <w:trPr>
          <w:trHeight w:val="360" w:hRule="atLeast"/>
        </w:trPr>
        <w:tc>
          <w:tcPr>
            <w:tcW w:w="2200" w:type="dxa"/>
            <w:tcBorders>
              <w:top w:val="nil"/>
              <w:left w:val="nil"/>
              <w:bottom w:val="nil"/>
              <w:right w:val="nil"/>
            </w:tcBorders>
            <w:shd w:val="clear" w:color="auto" w:fill="auto"/>
            <w:vAlign w:val="center"/>
          </w:tcPr>
          <w:p>
            <w:pPr>
              <w:widowControl/>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 xml:space="preserve">      35-59岁</w:t>
            </w:r>
          </w:p>
        </w:tc>
        <w:tc>
          <w:tcPr>
            <w:tcW w:w="2920" w:type="dxa"/>
            <w:tcBorders>
              <w:top w:val="nil"/>
              <w:left w:val="single" w:color="auto" w:sz="8" w:space="0"/>
              <w:bottom w:val="nil"/>
              <w:right w:val="single" w:color="auto" w:sz="8" w:space="0"/>
            </w:tcBorders>
            <w:shd w:val="clear" w:color="auto" w:fill="auto"/>
            <w:vAlign w:val="center"/>
          </w:tcPr>
          <w:p>
            <w:pPr>
              <w:widowControl/>
              <w:jc w:val="center"/>
              <w:rPr>
                <w:rFonts w:hint="default"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202912</w:t>
            </w:r>
          </w:p>
        </w:tc>
        <w:tc>
          <w:tcPr>
            <w:tcW w:w="2920" w:type="dxa"/>
            <w:tcBorders>
              <w:top w:val="nil"/>
              <w:left w:val="nil"/>
              <w:bottom w:val="nil"/>
              <w:right w:val="nil"/>
            </w:tcBorders>
            <w:shd w:val="clear" w:color="auto" w:fill="auto"/>
            <w:vAlign w:val="bottom"/>
          </w:tcPr>
          <w:p>
            <w:pPr>
              <w:widowControl/>
              <w:jc w:val="center"/>
              <w:rPr>
                <w:rFonts w:hint="eastAsia" w:asciiTheme="minorEastAsia" w:hAnsiTheme="minorEastAsia" w:eastAsiaTheme="minorEastAsia" w:cstheme="minorEastAsia"/>
                <w:kern w:val="0"/>
                <w:sz w:val="24"/>
                <w:szCs w:val="24"/>
                <w:highlight w:val="none"/>
                <w:lang w:val="en-US" w:eastAsia="zh-CN"/>
              </w:rPr>
            </w:pPr>
            <w:r>
              <w:rPr>
                <w:rFonts w:hint="default" w:asciiTheme="minorEastAsia" w:hAnsiTheme="minorEastAsia" w:eastAsiaTheme="minorEastAsia" w:cstheme="minorEastAsia"/>
                <w:kern w:val="0"/>
                <w:sz w:val="24"/>
                <w:szCs w:val="24"/>
                <w:highlight w:val="none"/>
                <w:lang w:val="en-US" w:eastAsia="zh-CN"/>
              </w:rPr>
              <w:t>45.2</w:t>
            </w:r>
          </w:p>
        </w:tc>
      </w:tr>
      <w:tr>
        <w:tblPrEx>
          <w:tblCellMar>
            <w:top w:w="0" w:type="dxa"/>
            <w:left w:w="108" w:type="dxa"/>
            <w:bottom w:w="0" w:type="dxa"/>
            <w:right w:w="108" w:type="dxa"/>
          </w:tblCellMar>
        </w:tblPrEx>
        <w:trPr>
          <w:trHeight w:val="360" w:hRule="atLeast"/>
        </w:trPr>
        <w:tc>
          <w:tcPr>
            <w:tcW w:w="2200" w:type="dxa"/>
            <w:tcBorders>
              <w:top w:val="nil"/>
              <w:left w:val="nil"/>
              <w:bottom w:val="single" w:color="auto" w:sz="8" w:space="0"/>
              <w:right w:val="nil"/>
            </w:tcBorders>
            <w:shd w:val="clear" w:color="auto" w:fill="auto"/>
            <w:vAlign w:val="center"/>
          </w:tcPr>
          <w:p>
            <w:pPr>
              <w:widowControl/>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 xml:space="preserve">      60岁及以上</w:t>
            </w:r>
          </w:p>
        </w:tc>
        <w:tc>
          <w:tcPr>
            <w:tcW w:w="292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105963</w:t>
            </w:r>
          </w:p>
        </w:tc>
        <w:tc>
          <w:tcPr>
            <w:tcW w:w="2920" w:type="dxa"/>
            <w:tcBorders>
              <w:top w:val="nil"/>
              <w:left w:val="nil"/>
              <w:bottom w:val="single" w:color="auto" w:sz="8" w:space="0"/>
              <w:right w:val="nil"/>
            </w:tcBorders>
            <w:shd w:val="clear" w:color="auto" w:fill="auto"/>
            <w:vAlign w:val="bottom"/>
          </w:tcPr>
          <w:p>
            <w:pPr>
              <w:widowControl/>
              <w:jc w:val="center"/>
              <w:rPr>
                <w:rFonts w:hint="eastAsia" w:asciiTheme="minorEastAsia" w:hAnsiTheme="minorEastAsia" w:eastAsiaTheme="minorEastAsia" w:cstheme="minorEastAsia"/>
                <w:kern w:val="0"/>
                <w:sz w:val="24"/>
                <w:szCs w:val="24"/>
                <w:highlight w:val="none"/>
                <w:lang w:val="en-US" w:eastAsia="zh-CN"/>
              </w:rPr>
            </w:pPr>
            <w:r>
              <w:rPr>
                <w:rFonts w:hint="default" w:asciiTheme="minorEastAsia" w:hAnsiTheme="minorEastAsia" w:eastAsiaTheme="minorEastAsia" w:cstheme="minorEastAsia"/>
                <w:kern w:val="0"/>
                <w:sz w:val="24"/>
                <w:szCs w:val="24"/>
                <w:highlight w:val="none"/>
                <w:lang w:val="en-US" w:eastAsia="zh-CN"/>
              </w:rPr>
              <w:t>23.6</w:t>
            </w:r>
          </w:p>
        </w:tc>
      </w:tr>
    </w:tbl>
    <w:p>
      <w:pPr>
        <w:keepNext w:val="0"/>
        <w:keepLines w:val="0"/>
        <w:pageBreakBefore w:val="0"/>
        <w:kinsoku/>
        <w:wordWrap/>
        <w:overflowPunct/>
        <w:topLinePunct w:val="0"/>
        <w:autoSpaceDE/>
        <w:autoSpaceDN/>
        <w:bidi w:val="0"/>
        <w:adjustRightInd w:val="0"/>
        <w:snapToGrid w:val="0"/>
        <w:spacing w:line="322" w:lineRule="auto"/>
        <w:ind w:firstLine="480" w:firstLineChars="200"/>
        <w:jc w:val="both"/>
        <w:textAlignment w:val="auto"/>
        <w:rPr>
          <w:rFonts w:ascii="仿宋_GB2312" w:hAnsi="仿宋_GB2312" w:eastAsia="仿宋_GB2312" w:cs="仿宋_GB2312"/>
          <w:sz w:val="24"/>
          <w:szCs w:val="24"/>
          <w:highlight w:val="none"/>
        </w:rPr>
      </w:pPr>
    </w:p>
    <w:p>
      <w:pPr>
        <w:keepNext w:val="0"/>
        <w:keepLines w:val="0"/>
        <w:pageBreakBefore w:val="0"/>
        <w:kinsoku/>
        <w:wordWrap/>
        <w:overflowPunct/>
        <w:topLinePunct w:val="0"/>
        <w:autoSpaceDE/>
        <w:autoSpaceDN/>
        <w:bidi w:val="0"/>
        <w:adjustRightInd w:val="0"/>
        <w:snapToGrid w:val="0"/>
        <w:spacing w:line="322" w:lineRule="auto"/>
        <w:ind w:firstLine="640" w:firstLineChars="200"/>
        <w:jc w:val="both"/>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全年</w:t>
      </w:r>
      <w:r>
        <w:rPr>
          <w:rFonts w:hint="eastAsia" w:ascii="仿宋_GB2312" w:hAnsi="仿宋_GB2312" w:eastAsia="仿宋_GB2312" w:cs="仿宋_GB2312"/>
          <w:kern w:val="0"/>
          <w:sz w:val="32"/>
          <w:szCs w:val="32"/>
          <w:highlight w:val="none"/>
        </w:rPr>
        <w:t>城镇常住居民人均可支配收入</w:t>
      </w:r>
      <w:r>
        <w:rPr>
          <w:rFonts w:hint="eastAsia" w:ascii="仿宋_GB2312" w:hAnsi="仿宋_GB2312" w:eastAsia="仿宋_GB2312" w:cs="仿宋_GB2312"/>
          <w:sz w:val="32"/>
          <w:szCs w:val="32"/>
          <w:highlight w:val="none"/>
          <w:lang w:val="en-US" w:eastAsia="zh-CN"/>
        </w:rPr>
        <w:t>57053</w:t>
      </w:r>
      <w:r>
        <w:rPr>
          <w:rFonts w:hint="eastAsia" w:ascii="仿宋_GB2312" w:hAnsi="仿宋_GB2312" w:eastAsia="仿宋_GB2312" w:cs="仿宋_GB2312"/>
          <w:sz w:val="32"/>
          <w:szCs w:val="32"/>
          <w:highlight w:val="none"/>
        </w:rPr>
        <w:t>元，比上年增长</w:t>
      </w:r>
      <w:r>
        <w:rPr>
          <w:rFonts w:hint="eastAsia" w:ascii="仿宋_GB2312" w:hAnsi="仿宋_GB2312" w:eastAsia="仿宋_GB2312" w:cs="仿宋_GB2312"/>
          <w:sz w:val="32"/>
          <w:szCs w:val="32"/>
          <w:highlight w:val="none"/>
          <w:lang w:val="en-US" w:eastAsia="zh-CN"/>
        </w:rPr>
        <w:t>2.2</w:t>
      </w:r>
      <w:r>
        <w:rPr>
          <w:rFonts w:hint="eastAsia" w:ascii="仿宋_GB2312" w:hAnsi="仿宋_GB2312" w:eastAsia="仿宋_GB2312" w:cs="仿宋_GB2312"/>
          <w:sz w:val="32"/>
          <w:szCs w:val="32"/>
          <w:highlight w:val="none"/>
        </w:rPr>
        <w:t>%。</w:t>
      </w:r>
    </w:p>
    <w:p>
      <w:pPr>
        <w:keepNext w:val="0"/>
        <w:keepLines w:val="0"/>
        <w:pageBreakBefore w:val="0"/>
        <w:kinsoku/>
        <w:wordWrap/>
        <w:overflowPunct/>
        <w:topLinePunct w:val="0"/>
        <w:autoSpaceDE/>
        <w:autoSpaceDN/>
        <w:bidi w:val="0"/>
        <w:adjustRightInd w:val="0"/>
        <w:snapToGrid w:val="0"/>
        <w:spacing w:line="322" w:lineRule="auto"/>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年末有低保对象</w:t>
      </w:r>
      <w:r>
        <w:rPr>
          <w:rFonts w:hint="eastAsia" w:ascii="仿宋" w:hAnsi="仿宋" w:eastAsia="仿宋"/>
          <w:sz w:val="32"/>
          <w:szCs w:val="32"/>
          <w:lang w:val="en-US" w:eastAsia="zh-CN"/>
        </w:rPr>
        <w:t>870</w:t>
      </w:r>
      <w:r>
        <w:rPr>
          <w:rFonts w:hint="eastAsia" w:ascii="仿宋" w:hAnsi="仿宋" w:eastAsia="仿宋"/>
          <w:sz w:val="32"/>
          <w:szCs w:val="32"/>
        </w:rPr>
        <w:t>户</w:t>
      </w:r>
      <w:r>
        <w:rPr>
          <w:rFonts w:hint="eastAsia" w:ascii="仿宋" w:hAnsi="仿宋" w:eastAsia="仿宋"/>
          <w:sz w:val="32"/>
          <w:szCs w:val="32"/>
          <w:lang w:val="en-US" w:eastAsia="zh-CN"/>
        </w:rPr>
        <w:t>1270</w:t>
      </w:r>
      <w:r>
        <w:rPr>
          <w:rFonts w:hint="eastAsia" w:ascii="仿宋" w:hAnsi="仿宋" w:eastAsia="仿宋"/>
          <w:sz w:val="32"/>
          <w:szCs w:val="32"/>
        </w:rPr>
        <w:t>人，其中低保户</w:t>
      </w:r>
      <w:r>
        <w:rPr>
          <w:rFonts w:hint="eastAsia" w:ascii="仿宋" w:hAnsi="仿宋" w:eastAsia="仿宋"/>
          <w:sz w:val="32"/>
          <w:szCs w:val="32"/>
          <w:lang w:val="en-US" w:eastAsia="zh-CN"/>
        </w:rPr>
        <w:t>842</w:t>
      </w:r>
      <w:r>
        <w:rPr>
          <w:rFonts w:hint="eastAsia" w:ascii="仿宋" w:hAnsi="仿宋" w:eastAsia="仿宋"/>
          <w:sz w:val="32"/>
          <w:szCs w:val="32"/>
        </w:rPr>
        <w:t>户1</w:t>
      </w:r>
      <w:r>
        <w:rPr>
          <w:rFonts w:hint="eastAsia" w:ascii="仿宋" w:hAnsi="仿宋" w:eastAsia="仿宋"/>
          <w:sz w:val="32"/>
          <w:szCs w:val="32"/>
          <w:lang w:val="en-US" w:eastAsia="zh-CN"/>
        </w:rPr>
        <w:t>219</w:t>
      </w:r>
      <w:r>
        <w:rPr>
          <w:rFonts w:hint="eastAsia" w:ascii="仿宋" w:hAnsi="仿宋" w:eastAsia="仿宋"/>
          <w:sz w:val="32"/>
          <w:szCs w:val="32"/>
        </w:rPr>
        <w:t>人，低保边缘户</w:t>
      </w:r>
      <w:r>
        <w:rPr>
          <w:rFonts w:hint="eastAsia" w:ascii="仿宋" w:hAnsi="仿宋" w:eastAsia="仿宋"/>
          <w:sz w:val="32"/>
          <w:szCs w:val="32"/>
          <w:lang w:val="en-US" w:eastAsia="zh-CN"/>
        </w:rPr>
        <w:t>28</w:t>
      </w:r>
      <w:r>
        <w:rPr>
          <w:rFonts w:hint="eastAsia" w:ascii="仿宋" w:hAnsi="仿宋" w:eastAsia="仿宋"/>
          <w:sz w:val="32"/>
          <w:szCs w:val="32"/>
        </w:rPr>
        <w:t>户</w:t>
      </w:r>
      <w:r>
        <w:rPr>
          <w:rFonts w:hint="eastAsia" w:ascii="仿宋" w:hAnsi="仿宋" w:eastAsia="仿宋"/>
          <w:sz w:val="32"/>
          <w:szCs w:val="32"/>
          <w:lang w:val="en-US" w:eastAsia="zh-CN"/>
        </w:rPr>
        <w:t>51</w:t>
      </w:r>
      <w:r>
        <w:rPr>
          <w:rFonts w:hint="eastAsia" w:ascii="仿宋" w:hAnsi="仿宋" w:eastAsia="仿宋"/>
          <w:sz w:val="32"/>
          <w:szCs w:val="32"/>
        </w:rPr>
        <w:t>人。城区低保月人均标准</w:t>
      </w:r>
      <w:r>
        <w:rPr>
          <w:rFonts w:hint="eastAsia" w:ascii="仿宋" w:hAnsi="仿宋" w:eastAsia="仿宋"/>
          <w:sz w:val="32"/>
          <w:szCs w:val="32"/>
          <w:lang w:val="en-US" w:eastAsia="zh-CN"/>
        </w:rPr>
        <w:t>776</w:t>
      </w:r>
      <w:r>
        <w:rPr>
          <w:rFonts w:hint="eastAsia" w:ascii="仿宋" w:hAnsi="仿宋" w:eastAsia="仿宋"/>
          <w:sz w:val="32"/>
          <w:szCs w:val="32"/>
        </w:rPr>
        <w:t>元/月，累计发放低保金</w:t>
      </w:r>
      <w:r>
        <w:rPr>
          <w:rFonts w:hint="eastAsia" w:ascii="仿宋" w:hAnsi="仿宋" w:eastAsia="仿宋"/>
          <w:sz w:val="32"/>
          <w:szCs w:val="32"/>
          <w:lang w:val="en-US" w:eastAsia="zh-CN"/>
        </w:rPr>
        <w:t>1271.3</w:t>
      </w:r>
      <w:r>
        <w:rPr>
          <w:rFonts w:hint="eastAsia" w:ascii="仿宋" w:hAnsi="仿宋" w:eastAsia="仿宋"/>
          <w:sz w:val="32"/>
          <w:szCs w:val="32"/>
        </w:rPr>
        <w:t>万元。</w:t>
      </w:r>
    </w:p>
    <w:p>
      <w:pPr>
        <w:keepNext w:val="0"/>
        <w:keepLines w:val="0"/>
        <w:pageBreakBefore w:val="0"/>
        <w:widowControl/>
        <w:kinsoku/>
        <w:wordWrap/>
        <w:overflowPunct/>
        <w:topLinePunct w:val="0"/>
        <w:autoSpaceDE/>
        <w:autoSpaceDN/>
        <w:bidi w:val="0"/>
        <w:adjustRightInd w:val="0"/>
        <w:snapToGrid w:val="0"/>
        <w:spacing w:line="322" w:lineRule="auto"/>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全年</w:t>
      </w:r>
      <w:r>
        <w:rPr>
          <w:rFonts w:hint="eastAsia" w:ascii="仿宋_GB2312" w:hAnsi="仿宋_GB2312" w:eastAsia="仿宋_GB2312" w:cs="仿宋_GB2312"/>
          <w:sz w:val="32"/>
          <w:szCs w:val="32"/>
          <w:highlight w:val="none"/>
        </w:rPr>
        <w:t>结婚登记</w:t>
      </w:r>
      <w:r>
        <w:rPr>
          <w:rFonts w:hint="eastAsia" w:ascii="仿宋_GB2312" w:hAnsi="仿宋_GB2312" w:eastAsia="仿宋_GB2312" w:cs="仿宋_GB2312"/>
          <w:sz w:val="32"/>
          <w:szCs w:val="32"/>
          <w:highlight w:val="none"/>
          <w:lang w:val="en-US" w:eastAsia="zh-CN"/>
        </w:rPr>
        <w:t>2611</w:t>
      </w:r>
      <w:r>
        <w:rPr>
          <w:rFonts w:hint="eastAsia" w:ascii="仿宋_GB2312" w:hAnsi="仿宋_GB2312" w:eastAsia="仿宋_GB2312" w:cs="仿宋_GB2312"/>
          <w:sz w:val="32"/>
          <w:szCs w:val="32"/>
          <w:highlight w:val="none"/>
        </w:rPr>
        <w:t>对，离婚登记</w:t>
      </w:r>
      <w:r>
        <w:rPr>
          <w:rFonts w:hint="eastAsia" w:ascii="仿宋_GB2312" w:hAnsi="仿宋_GB2312" w:eastAsia="仿宋_GB2312" w:cs="仿宋_GB2312"/>
          <w:sz w:val="32"/>
          <w:szCs w:val="32"/>
          <w:highlight w:val="none"/>
          <w:lang w:val="en-US" w:eastAsia="zh-CN"/>
        </w:rPr>
        <w:t>1095</w:t>
      </w:r>
      <w:r>
        <w:rPr>
          <w:rFonts w:hint="eastAsia" w:ascii="仿宋_GB2312" w:hAnsi="仿宋_GB2312" w:eastAsia="仿宋_GB2312" w:cs="仿宋_GB2312"/>
          <w:sz w:val="32"/>
          <w:szCs w:val="32"/>
          <w:highlight w:val="none"/>
        </w:rPr>
        <w:t>对，补领结婚证</w:t>
      </w:r>
      <w:r>
        <w:rPr>
          <w:rFonts w:hint="eastAsia" w:ascii="仿宋_GB2312" w:hAnsi="仿宋_GB2312" w:eastAsia="仿宋_GB2312" w:cs="仿宋_GB2312"/>
          <w:sz w:val="32"/>
          <w:szCs w:val="32"/>
          <w:highlight w:val="none"/>
          <w:lang w:val="en-US" w:eastAsia="zh-CN"/>
        </w:rPr>
        <w:t>510</w:t>
      </w:r>
      <w:r>
        <w:rPr>
          <w:rFonts w:hint="eastAsia" w:ascii="仿宋_GB2312" w:hAnsi="仿宋_GB2312" w:eastAsia="仿宋_GB2312" w:cs="仿宋_GB2312"/>
          <w:sz w:val="32"/>
          <w:szCs w:val="32"/>
          <w:highlight w:val="none"/>
        </w:rPr>
        <w:t>对，补领离婚证</w:t>
      </w:r>
      <w:r>
        <w:rPr>
          <w:rFonts w:hint="eastAsia" w:ascii="仿宋_GB2312" w:hAnsi="仿宋_GB2312" w:eastAsia="仿宋_GB2312" w:cs="仿宋_GB2312"/>
          <w:sz w:val="32"/>
          <w:szCs w:val="32"/>
          <w:highlight w:val="none"/>
          <w:lang w:val="en-US" w:eastAsia="zh-CN"/>
        </w:rPr>
        <w:t>148</w:t>
      </w:r>
      <w:r>
        <w:rPr>
          <w:rFonts w:hint="eastAsia" w:ascii="仿宋_GB2312" w:hAnsi="仿宋_GB2312" w:eastAsia="仿宋_GB2312" w:cs="仿宋_GB2312"/>
          <w:sz w:val="32"/>
          <w:szCs w:val="32"/>
          <w:highlight w:val="none"/>
        </w:rPr>
        <w:t>对，档案查</w:t>
      </w:r>
      <w:r>
        <w:rPr>
          <w:rFonts w:hint="eastAsia" w:ascii="仿宋_GB2312" w:hAnsi="仿宋_GB2312" w:eastAsia="仿宋_GB2312" w:cs="仿宋_GB2312"/>
          <w:sz w:val="32"/>
          <w:szCs w:val="32"/>
          <w:highlight w:val="none"/>
          <w:lang w:eastAsia="zh-CN"/>
        </w:rPr>
        <w:t>询</w:t>
      </w:r>
      <w:r>
        <w:rPr>
          <w:rFonts w:hint="eastAsia" w:ascii="仿宋_GB2312" w:hAnsi="仿宋_GB2312" w:eastAsia="仿宋_GB2312" w:cs="仿宋_GB2312"/>
          <w:sz w:val="32"/>
          <w:szCs w:val="32"/>
          <w:highlight w:val="none"/>
          <w:lang w:val="en-US" w:eastAsia="zh-CN"/>
        </w:rPr>
        <w:t>2064</w:t>
      </w:r>
      <w:r>
        <w:rPr>
          <w:rFonts w:hint="eastAsia" w:ascii="仿宋_GB2312" w:hAnsi="仿宋_GB2312" w:eastAsia="仿宋_GB2312" w:cs="仿宋_GB2312"/>
          <w:sz w:val="32"/>
          <w:szCs w:val="32"/>
          <w:highlight w:val="none"/>
        </w:rPr>
        <w:t>人次，登记合格率 100％。</w:t>
      </w:r>
    </w:p>
    <w:p>
      <w:pPr>
        <w:keepNext w:val="0"/>
        <w:keepLines w:val="0"/>
        <w:pageBreakBefore w:val="0"/>
        <w:widowControl/>
        <w:kinsoku/>
        <w:wordWrap/>
        <w:overflowPunct/>
        <w:topLinePunct w:val="0"/>
        <w:autoSpaceDE/>
        <w:autoSpaceDN/>
        <w:bidi w:val="0"/>
        <w:adjustRightInd w:val="0"/>
        <w:snapToGrid w:val="0"/>
        <w:spacing w:line="322" w:lineRule="auto"/>
        <w:ind w:firstLine="640" w:firstLineChars="200"/>
        <w:jc w:val="both"/>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全年城镇新增就业10153人，城镇登记失业率为2.6%</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“零就业家庭”保持动态为零。</w:t>
      </w:r>
      <w:r>
        <w:rPr>
          <w:rFonts w:hint="eastAsia" w:ascii="仿宋_GB2312" w:hAnsi="仿宋_GB2312" w:eastAsia="仿宋_GB2312" w:cs="仿宋_GB2312"/>
          <w:color w:val="auto"/>
          <w:kern w:val="0"/>
          <w:sz w:val="32"/>
          <w:szCs w:val="32"/>
          <w:highlight w:val="none"/>
          <w:lang w:val="en-US" w:eastAsia="zh-CN"/>
        </w:rPr>
        <w:t>扶</w:t>
      </w:r>
      <w:r>
        <w:rPr>
          <w:rFonts w:hint="eastAsia" w:ascii="仿宋_GB2312" w:hAnsi="仿宋_GB2312" w:eastAsia="仿宋_GB2312" w:cs="仿宋_GB2312"/>
          <w:color w:val="auto"/>
          <w:kern w:val="0"/>
          <w:sz w:val="32"/>
          <w:szCs w:val="32"/>
          <w:highlight w:val="none"/>
        </w:rPr>
        <w:t>持创业带头人155人，带动就业471人。全民创业3715人，带动就业6020人</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引进各类人才700人，引进高层次人才3人。离校未就业毕业生已就业998人，就业率达96%</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安置符合条件就业困难人员14人</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22" w:lineRule="auto"/>
        <w:ind w:firstLine="640" w:firstLineChars="200"/>
        <w:jc w:val="both"/>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全年</w:t>
      </w:r>
      <w:r>
        <w:rPr>
          <w:rFonts w:hint="eastAsia" w:ascii="仿宋_GB2312" w:hAnsi="仿宋_GB2312" w:eastAsia="仿宋_GB2312" w:cs="仿宋_GB2312"/>
          <w:color w:val="auto"/>
          <w:kern w:val="0"/>
          <w:sz w:val="32"/>
          <w:szCs w:val="32"/>
          <w:highlight w:val="none"/>
          <w:lang w:eastAsia="zh-CN"/>
        </w:rPr>
        <w:t>全区</w:t>
      </w:r>
      <w:r>
        <w:rPr>
          <w:rFonts w:hint="eastAsia" w:ascii="仿宋_GB2312" w:hAnsi="仿宋_GB2312" w:eastAsia="仿宋_GB2312" w:cs="仿宋_GB2312"/>
          <w:color w:val="auto"/>
          <w:kern w:val="0"/>
          <w:sz w:val="32"/>
          <w:szCs w:val="32"/>
          <w:highlight w:val="none"/>
          <w:lang w:val="en-US" w:eastAsia="zh-CN"/>
        </w:rPr>
        <w:t>机关事业单位养老保险参保单位</w:t>
      </w:r>
      <w:r>
        <w:rPr>
          <w:rFonts w:hint="eastAsia" w:ascii="仿宋_GB2312" w:hAnsi="仿宋_GB2312" w:eastAsia="仿宋_GB2312" w:cs="仿宋_GB2312"/>
          <w:color w:val="auto"/>
          <w:kern w:val="0"/>
          <w:sz w:val="32"/>
          <w:szCs w:val="32"/>
          <w:highlight w:val="none"/>
          <w:lang w:eastAsia="zh-CN"/>
        </w:rPr>
        <w:t>97户，参保职工6278人。</w:t>
      </w:r>
    </w:p>
    <w:p>
      <w:pPr>
        <w:keepNext w:val="0"/>
        <w:keepLines w:val="0"/>
        <w:pageBreakBefore w:val="0"/>
        <w:widowControl/>
        <w:kinsoku/>
        <w:wordWrap/>
        <w:overflowPunct/>
        <w:topLinePunct w:val="0"/>
        <w:autoSpaceDE/>
        <w:autoSpaceDN/>
        <w:bidi w:val="0"/>
        <w:adjustRightInd w:val="0"/>
        <w:snapToGrid w:val="0"/>
        <w:spacing w:line="322" w:lineRule="auto"/>
        <w:ind w:firstLine="640" w:firstLineChars="200"/>
        <w:jc w:val="both"/>
        <w:textAlignment w:val="auto"/>
        <w:rPr>
          <w:rFonts w:ascii="黑体" w:hAnsi="黑体" w:eastAsia="黑体" w:cs="黑体"/>
          <w:bCs/>
          <w:kern w:val="0"/>
          <w:sz w:val="32"/>
          <w:szCs w:val="32"/>
          <w:highlight w:val="none"/>
        </w:rPr>
      </w:pPr>
      <w:r>
        <w:rPr>
          <w:rFonts w:hint="eastAsia" w:ascii="黑体" w:hAnsi="黑体" w:eastAsia="黑体" w:cs="黑体"/>
          <w:bCs/>
          <w:kern w:val="0"/>
          <w:sz w:val="32"/>
          <w:szCs w:val="32"/>
          <w:highlight w:val="none"/>
        </w:rPr>
        <w:t>十、能源、环境和安全生产</w:t>
      </w:r>
    </w:p>
    <w:p>
      <w:pPr>
        <w:keepNext w:val="0"/>
        <w:keepLines w:val="0"/>
        <w:pageBreakBefore w:val="0"/>
        <w:widowControl/>
        <w:kinsoku/>
        <w:wordWrap/>
        <w:overflowPunct/>
        <w:topLinePunct w:val="0"/>
        <w:autoSpaceDE/>
        <w:autoSpaceDN/>
        <w:bidi w:val="0"/>
        <w:adjustRightInd w:val="0"/>
        <w:snapToGrid w:val="0"/>
        <w:spacing w:line="322" w:lineRule="auto"/>
        <w:ind w:firstLine="640" w:firstLineChars="200"/>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全年规模以上工业企业用电量</w:t>
      </w:r>
      <w:r>
        <w:rPr>
          <w:rFonts w:hint="eastAsia" w:ascii="仿宋_GB2312" w:hAnsi="仿宋_GB2312" w:eastAsia="仿宋_GB2312" w:cs="仿宋_GB2312"/>
          <w:kern w:val="0"/>
          <w:sz w:val="32"/>
          <w:szCs w:val="32"/>
          <w:highlight w:val="none"/>
          <w:lang w:val="en-US" w:eastAsia="zh-CN"/>
        </w:rPr>
        <w:t>8.6</w:t>
      </w:r>
      <w:r>
        <w:rPr>
          <w:rFonts w:hint="eastAsia" w:ascii="仿宋_GB2312" w:hAnsi="仿宋_GB2312" w:eastAsia="仿宋_GB2312" w:cs="仿宋_GB2312"/>
          <w:kern w:val="0"/>
          <w:sz w:val="32"/>
          <w:szCs w:val="32"/>
          <w:highlight w:val="none"/>
        </w:rPr>
        <w:t>亿千瓦时，比上年增长</w:t>
      </w:r>
      <w:r>
        <w:rPr>
          <w:rFonts w:hint="eastAsia" w:ascii="仿宋_GB2312" w:hAnsi="仿宋_GB2312" w:eastAsia="仿宋_GB2312" w:cs="仿宋_GB2312"/>
          <w:kern w:val="0"/>
          <w:sz w:val="32"/>
          <w:szCs w:val="32"/>
          <w:highlight w:val="none"/>
          <w:lang w:val="en-US" w:eastAsia="zh-CN"/>
        </w:rPr>
        <w:t>3.3</w:t>
      </w:r>
      <w:r>
        <w:rPr>
          <w:rFonts w:hint="eastAsia" w:ascii="仿宋_GB2312" w:hAnsi="仿宋_GB2312" w:eastAsia="仿宋_GB2312" w:cs="仿宋_GB2312"/>
          <w:kern w:val="0"/>
          <w:sz w:val="32"/>
          <w:szCs w:val="32"/>
          <w:highlight w:val="none"/>
        </w:rPr>
        <w:t>%。</w:t>
      </w:r>
    </w:p>
    <w:p>
      <w:pPr>
        <w:keepNext w:val="0"/>
        <w:keepLines w:val="0"/>
        <w:pageBreakBefore w:val="0"/>
        <w:widowControl/>
        <w:kinsoku/>
        <w:wordWrap/>
        <w:overflowPunct/>
        <w:topLinePunct w:val="0"/>
        <w:autoSpaceDE/>
        <w:autoSpaceDN/>
        <w:bidi w:val="0"/>
        <w:adjustRightInd w:val="0"/>
        <w:snapToGrid w:val="0"/>
        <w:spacing w:line="322" w:lineRule="auto"/>
        <w:ind w:firstLine="640" w:firstLineChars="200"/>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全年规模以上工业综合能源消费量</w:t>
      </w:r>
      <w:r>
        <w:rPr>
          <w:rFonts w:hint="eastAsia" w:ascii="仿宋_GB2312" w:hAnsi="仿宋_GB2312" w:eastAsia="仿宋_GB2312" w:cs="仿宋_GB2312"/>
          <w:kern w:val="0"/>
          <w:sz w:val="32"/>
          <w:szCs w:val="32"/>
          <w:highlight w:val="none"/>
          <w:lang w:val="en-US" w:eastAsia="zh-CN"/>
        </w:rPr>
        <w:t>85.9</w:t>
      </w:r>
      <w:r>
        <w:rPr>
          <w:rFonts w:hint="eastAsia" w:ascii="仿宋_GB2312" w:hAnsi="仿宋_GB2312" w:eastAsia="仿宋_GB2312" w:cs="仿宋_GB2312"/>
          <w:kern w:val="0"/>
          <w:sz w:val="32"/>
          <w:szCs w:val="32"/>
          <w:highlight w:val="none"/>
        </w:rPr>
        <w:t>万吨标准煤，比上年下降</w:t>
      </w:r>
      <w:r>
        <w:rPr>
          <w:rFonts w:hint="eastAsia" w:ascii="仿宋_GB2312" w:hAnsi="仿宋_GB2312" w:eastAsia="仿宋_GB2312" w:cs="仿宋_GB2312"/>
          <w:kern w:val="0"/>
          <w:sz w:val="32"/>
          <w:szCs w:val="32"/>
          <w:highlight w:val="none"/>
          <w:lang w:val="en-US" w:eastAsia="zh-CN"/>
        </w:rPr>
        <w:t>5.1</w:t>
      </w:r>
      <w:r>
        <w:rPr>
          <w:rFonts w:hint="eastAsia" w:ascii="仿宋_GB2312" w:hAnsi="仿宋_GB2312" w:eastAsia="仿宋_GB2312" w:cs="仿宋_GB2312"/>
          <w:kern w:val="0"/>
          <w:sz w:val="32"/>
          <w:szCs w:val="32"/>
          <w:highlight w:val="none"/>
        </w:rPr>
        <w:t>%。</w:t>
      </w:r>
    </w:p>
    <w:p>
      <w:pPr>
        <w:keepNext w:val="0"/>
        <w:keepLines w:val="0"/>
        <w:pageBreakBefore w:val="0"/>
        <w:widowControl/>
        <w:kinsoku/>
        <w:wordWrap/>
        <w:overflowPunct/>
        <w:topLinePunct w:val="0"/>
        <w:autoSpaceDE/>
        <w:autoSpaceDN/>
        <w:bidi w:val="0"/>
        <w:adjustRightInd w:val="0"/>
        <w:snapToGrid w:val="0"/>
        <w:spacing w:line="322" w:lineRule="auto"/>
        <w:ind w:firstLine="640"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kern w:val="0"/>
          <w:sz w:val="32"/>
          <w:szCs w:val="32"/>
          <w:highlight w:val="none"/>
        </w:rPr>
        <w:t>全年城市环境空气质量平均优良天数为31</w:t>
      </w:r>
      <w:r>
        <w:rPr>
          <w:rFonts w:hint="eastAsia" w:ascii="仿宋_GB2312" w:hAnsi="仿宋_GB2312" w:eastAsia="仿宋_GB2312" w:cs="仿宋_GB2312"/>
          <w:kern w:val="0"/>
          <w:sz w:val="32"/>
          <w:szCs w:val="32"/>
          <w:highlight w:val="none"/>
          <w:lang w:val="en-US" w:eastAsia="zh-CN"/>
        </w:rPr>
        <w:t>4</w:t>
      </w:r>
      <w:r>
        <w:rPr>
          <w:rFonts w:hint="eastAsia" w:ascii="仿宋_GB2312" w:hAnsi="仿宋_GB2312" w:eastAsia="仿宋_GB2312" w:cs="仿宋_GB2312"/>
          <w:kern w:val="0"/>
          <w:sz w:val="32"/>
          <w:szCs w:val="32"/>
          <w:highlight w:val="none"/>
        </w:rPr>
        <w:t>天，优良天数比例为86%。</w:t>
      </w:r>
      <w:r>
        <w:rPr>
          <w:rFonts w:hint="eastAsia" w:ascii="仿宋_GB2312" w:hAnsi="仿宋_GB2312" w:eastAsia="仿宋_GB2312" w:cs="仿宋_GB2312"/>
          <w:color w:val="auto"/>
          <w:kern w:val="0"/>
          <w:sz w:val="32"/>
          <w:szCs w:val="32"/>
          <w:highlight w:val="none"/>
        </w:rPr>
        <w:t>全年新增绿化面积</w:t>
      </w:r>
      <w:r>
        <w:rPr>
          <w:rFonts w:hint="eastAsia" w:ascii="仿宋_GB2312" w:hAnsi="仿宋_GB2312" w:eastAsia="仿宋_GB2312" w:cs="仿宋_GB2312"/>
          <w:color w:val="auto"/>
          <w:kern w:val="0"/>
          <w:sz w:val="32"/>
          <w:szCs w:val="32"/>
          <w:highlight w:val="none"/>
          <w:lang w:val="en-US" w:eastAsia="zh-CN"/>
        </w:rPr>
        <w:t>5.27</w:t>
      </w:r>
      <w:r>
        <w:rPr>
          <w:rFonts w:hint="eastAsia" w:ascii="仿宋_GB2312" w:hAnsi="仿宋_GB2312" w:eastAsia="仿宋_GB2312" w:cs="仿宋_GB2312"/>
          <w:color w:val="auto"/>
          <w:kern w:val="0"/>
          <w:sz w:val="32"/>
          <w:szCs w:val="32"/>
          <w:highlight w:val="none"/>
        </w:rPr>
        <w:t>公顷。</w:t>
      </w:r>
    </w:p>
    <w:p>
      <w:pPr>
        <w:keepNext w:val="0"/>
        <w:keepLines w:val="0"/>
        <w:pageBreakBefore w:val="0"/>
        <w:widowControl/>
        <w:kinsoku/>
        <w:wordWrap/>
        <w:overflowPunct/>
        <w:topLinePunct w:val="0"/>
        <w:autoSpaceDE/>
        <w:autoSpaceDN/>
        <w:bidi w:val="0"/>
        <w:adjustRightInd w:val="0"/>
        <w:snapToGrid w:val="0"/>
        <w:spacing w:line="322" w:lineRule="auto"/>
        <w:ind w:firstLine="640" w:firstLineChars="200"/>
        <w:jc w:val="both"/>
        <w:textAlignment w:val="auto"/>
        <w:rPr>
          <w:rFonts w:hint="eastAsia" w:ascii="仿宋_GB2312" w:hAnsi="仿宋_GB2312" w:eastAsia="仿宋_GB2312" w:cs="仿宋_GB2312"/>
          <w:kern w:val="0"/>
          <w:sz w:val="32"/>
          <w:szCs w:val="32"/>
          <w:highlight w:val="yellow"/>
          <w:lang w:eastAsia="zh-CN"/>
        </w:rPr>
      </w:pPr>
      <w:r>
        <w:rPr>
          <w:rFonts w:hint="eastAsia" w:ascii="仿宋_GB2312" w:hAnsi="仿宋_GB2312" w:eastAsia="仿宋_GB2312" w:cs="仿宋_GB2312"/>
          <w:sz w:val="32"/>
          <w:szCs w:val="32"/>
          <w:highlight w:val="none"/>
        </w:rPr>
        <w:t>全年</w:t>
      </w:r>
      <w:r>
        <w:rPr>
          <w:rFonts w:hint="eastAsia" w:ascii="仿宋_GB2312" w:hAnsi="仿宋_GB2312" w:eastAsia="仿宋_GB2312" w:cs="仿宋_GB2312"/>
          <w:sz w:val="32"/>
          <w:szCs w:val="32"/>
          <w:highlight w:val="none"/>
          <w:lang w:val="en-US" w:eastAsia="zh-CN"/>
        </w:rPr>
        <w:t>无各类</w:t>
      </w:r>
      <w:r>
        <w:rPr>
          <w:rFonts w:hint="eastAsia" w:ascii="仿宋_GB2312" w:hAnsi="仿宋_GB2312" w:eastAsia="仿宋_GB2312" w:cs="仿宋_GB2312"/>
          <w:sz w:val="32"/>
          <w:szCs w:val="32"/>
          <w:highlight w:val="none"/>
        </w:rPr>
        <w:t>生产安全事故。</w:t>
      </w:r>
    </w:p>
    <w:p>
      <w:pPr>
        <w:spacing w:line="360" w:lineRule="auto"/>
        <w:rPr>
          <w:rFonts w:hint="eastAsia" w:ascii="仿宋_GB2312" w:hAnsi="仿宋_GB2312" w:eastAsia="仿宋_GB2312" w:cs="仿宋_GB2312"/>
          <w:sz w:val="32"/>
          <w:szCs w:val="32"/>
          <w:highlight w:val="none"/>
        </w:rPr>
      </w:pPr>
    </w:p>
    <w:p>
      <w:pPr>
        <w:keepNext w:val="0"/>
        <w:keepLines w:val="0"/>
        <w:pageBreakBefore w:val="0"/>
        <w:kinsoku/>
        <w:wordWrap/>
        <w:overflowPunct/>
        <w:topLinePunct w:val="0"/>
        <w:autoSpaceDE/>
        <w:autoSpaceDN/>
        <w:bidi w:val="0"/>
        <w:adjustRightInd w:val="0"/>
        <w:snapToGrid w:val="0"/>
        <w:spacing w:line="322" w:lineRule="auto"/>
        <w:ind w:firstLine="602" w:firstLineChars="200"/>
        <w:textAlignment w:val="auto"/>
        <w:rPr>
          <w:rFonts w:ascii="楷体" w:hAnsi="楷体" w:eastAsia="楷体"/>
          <w:b/>
          <w:sz w:val="30"/>
          <w:szCs w:val="30"/>
          <w:highlight w:val="none"/>
        </w:rPr>
      </w:pPr>
      <w:r>
        <w:rPr>
          <w:rFonts w:hint="eastAsia" w:ascii="楷体" w:hAnsi="楷体" w:eastAsia="楷体"/>
          <w:b/>
          <w:sz w:val="30"/>
          <w:szCs w:val="30"/>
          <w:highlight w:val="none"/>
        </w:rPr>
        <w:t>注释：</w:t>
      </w:r>
    </w:p>
    <w:p>
      <w:pPr>
        <w:keepNext w:val="0"/>
        <w:keepLines w:val="0"/>
        <w:pageBreakBefore w:val="0"/>
        <w:widowControl w:val="0"/>
        <w:kinsoku/>
        <w:wordWrap/>
        <w:overflowPunct/>
        <w:topLinePunct w:val="0"/>
        <w:autoSpaceDE/>
        <w:autoSpaceDN/>
        <w:bidi w:val="0"/>
        <w:adjustRightInd w:val="0"/>
        <w:snapToGrid w:val="0"/>
        <w:spacing w:line="322" w:lineRule="auto"/>
        <w:ind w:firstLine="648" w:firstLineChars="200"/>
        <w:textAlignment w:val="auto"/>
        <w:rPr>
          <w:rFonts w:ascii="楷体" w:hAnsi="楷体" w:eastAsia="楷体"/>
          <w:sz w:val="30"/>
          <w:szCs w:val="30"/>
          <w:highlight w:val="none"/>
        </w:rPr>
      </w:pPr>
      <w:r>
        <w:rPr>
          <w:rFonts w:hint="eastAsia" w:ascii="楷体" w:hAnsi="楷体" w:eastAsia="楷体" w:cs="宋体"/>
          <w:spacing w:val="12"/>
          <w:kern w:val="0"/>
          <w:sz w:val="30"/>
          <w:szCs w:val="30"/>
          <w:highlight w:val="none"/>
        </w:rPr>
        <w:t>1.本公报中数据均为初步统计数。部分指标数据在年报时可能还有调整。</w:t>
      </w:r>
    </w:p>
    <w:p>
      <w:pPr>
        <w:keepNext w:val="0"/>
        <w:keepLines w:val="0"/>
        <w:pageBreakBefore w:val="0"/>
        <w:widowControl w:val="0"/>
        <w:kinsoku/>
        <w:wordWrap/>
        <w:overflowPunct/>
        <w:topLinePunct w:val="0"/>
        <w:autoSpaceDE/>
        <w:autoSpaceDN/>
        <w:bidi w:val="0"/>
        <w:adjustRightInd w:val="0"/>
        <w:snapToGrid w:val="0"/>
        <w:spacing w:line="322" w:lineRule="auto"/>
        <w:ind w:firstLine="648" w:firstLineChars="200"/>
        <w:textAlignment w:val="auto"/>
        <w:rPr>
          <w:rFonts w:ascii="楷体" w:hAnsi="楷体" w:eastAsia="楷体"/>
          <w:sz w:val="30"/>
          <w:szCs w:val="30"/>
          <w:highlight w:val="none"/>
        </w:rPr>
      </w:pPr>
      <w:r>
        <w:rPr>
          <w:rFonts w:hint="eastAsia" w:ascii="楷体" w:hAnsi="楷体" w:eastAsia="楷体" w:cs="宋体"/>
          <w:spacing w:val="12"/>
          <w:kern w:val="0"/>
          <w:sz w:val="30"/>
          <w:szCs w:val="30"/>
          <w:highlight w:val="none"/>
        </w:rPr>
        <w:t>2.</w:t>
      </w:r>
      <w:r>
        <w:rPr>
          <w:rFonts w:hint="eastAsia" w:ascii="楷体" w:hAnsi="楷体" w:eastAsia="楷体" w:cs="宋体"/>
          <w:kern w:val="0"/>
          <w:sz w:val="30"/>
          <w:szCs w:val="30"/>
          <w:highlight w:val="none"/>
        </w:rPr>
        <w:t>地区生产总值、各产业增加值绝对数按现价计算，增长速度按可比价格计算。</w:t>
      </w:r>
    </w:p>
    <w:p>
      <w:pPr>
        <w:keepNext w:val="0"/>
        <w:keepLines w:val="0"/>
        <w:pageBreakBefore w:val="0"/>
        <w:widowControl w:val="0"/>
        <w:kinsoku/>
        <w:wordWrap/>
        <w:overflowPunct/>
        <w:topLinePunct w:val="0"/>
        <w:autoSpaceDE/>
        <w:autoSpaceDN/>
        <w:bidi w:val="0"/>
        <w:adjustRightInd w:val="0"/>
        <w:snapToGrid w:val="0"/>
        <w:spacing w:line="322" w:lineRule="auto"/>
        <w:ind w:firstLine="600" w:firstLineChars="200"/>
        <w:textAlignment w:val="auto"/>
        <w:rPr>
          <w:rFonts w:ascii="楷体" w:hAnsi="楷体" w:eastAsia="楷体"/>
          <w:sz w:val="30"/>
          <w:szCs w:val="30"/>
          <w:highlight w:val="none"/>
        </w:rPr>
      </w:pPr>
      <w:r>
        <w:rPr>
          <w:rFonts w:hint="eastAsia" w:ascii="楷体" w:hAnsi="楷体" w:eastAsia="楷体" w:cs="宋体"/>
          <w:kern w:val="0"/>
          <w:sz w:val="30"/>
          <w:szCs w:val="30"/>
          <w:highlight w:val="none"/>
        </w:rPr>
        <w:t>3.规模以上工业统计范围为年主营业务收入2000万元及以上的</w:t>
      </w:r>
      <w:r>
        <w:rPr>
          <w:rFonts w:hint="eastAsia" w:ascii="楷体" w:hAnsi="楷体" w:eastAsia="楷体" w:cs="宋体"/>
          <w:spacing w:val="12"/>
          <w:kern w:val="0"/>
          <w:sz w:val="30"/>
          <w:szCs w:val="30"/>
          <w:highlight w:val="none"/>
        </w:rPr>
        <w:t>工业法人企业；固定资产投资统计的起点为500万元及以上项目</w:t>
      </w:r>
      <w:r>
        <w:rPr>
          <w:rFonts w:hint="eastAsia" w:ascii="楷体" w:hAnsi="楷体" w:eastAsia="楷体" w:cs="宋体"/>
          <w:spacing w:val="12"/>
          <w:kern w:val="0"/>
          <w:sz w:val="30"/>
          <w:szCs w:val="30"/>
          <w:highlight w:val="none"/>
          <w:lang w:eastAsia="zh-CN"/>
        </w:rPr>
        <w:t>；</w:t>
      </w:r>
      <w:r>
        <w:rPr>
          <w:rFonts w:hint="eastAsia" w:ascii="楷体" w:hAnsi="楷体" w:eastAsia="楷体" w:cs="宋体"/>
          <w:spacing w:val="12"/>
          <w:kern w:val="0"/>
          <w:sz w:val="30"/>
          <w:szCs w:val="30"/>
          <w:highlight w:val="none"/>
        </w:rPr>
        <w:t>限额以上批发业统计范围为年主营业务收入2000万元及以上的批发业法人企业、产业活动单位和个体经营户，限额以上零售业统计范围为年主营业务收入500万元及以上的零售业法人企业、产业活动单位和个体经营户，限额以上住宿和餐饮业统计范围为年主营业务收入200万元及以上的住宿和餐饮业法人企业、产业活动单位和个体经营户。</w:t>
      </w:r>
    </w:p>
    <w:p>
      <w:pPr>
        <w:keepNext w:val="0"/>
        <w:keepLines w:val="0"/>
        <w:pageBreakBefore w:val="0"/>
        <w:widowControl/>
        <w:kinsoku/>
        <w:wordWrap/>
        <w:overflowPunct/>
        <w:topLinePunct w:val="0"/>
        <w:autoSpaceDE/>
        <w:autoSpaceDN/>
        <w:bidi w:val="0"/>
        <w:adjustRightInd w:val="0"/>
        <w:snapToGrid w:val="0"/>
        <w:spacing w:line="322" w:lineRule="auto"/>
        <w:textAlignment w:val="auto"/>
        <w:rPr>
          <w:rFonts w:ascii="楷体" w:hAnsi="楷体" w:eastAsia="楷体"/>
          <w:sz w:val="30"/>
          <w:szCs w:val="30"/>
          <w:highlight w:val="none"/>
        </w:rPr>
      </w:pPr>
    </w:p>
    <w:p>
      <w:pPr>
        <w:keepNext w:val="0"/>
        <w:keepLines w:val="0"/>
        <w:pageBreakBefore w:val="0"/>
        <w:widowControl/>
        <w:kinsoku/>
        <w:wordWrap/>
        <w:overflowPunct/>
        <w:topLinePunct w:val="0"/>
        <w:autoSpaceDE/>
        <w:autoSpaceDN/>
        <w:bidi w:val="0"/>
        <w:adjustRightInd w:val="0"/>
        <w:snapToGrid w:val="0"/>
        <w:spacing w:line="322" w:lineRule="auto"/>
        <w:ind w:firstLine="650" w:firstLineChars="200"/>
        <w:textAlignment w:val="auto"/>
        <w:rPr>
          <w:rFonts w:ascii="楷体" w:hAnsi="楷体" w:eastAsia="楷体" w:cs="宋体"/>
          <w:b/>
          <w:spacing w:val="12"/>
          <w:kern w:val="0"/>
          <w:sz w:val="30"/>
          <w:szCs w:val="30"/>
          <w:highlight w:val="none"/>
        </w:rPr>
      </w:pPr>
      <w:r>
        <w:rPr>
          <w:rFonts w:hint="eastAsia" w:ascii="楷体" w:hAnsi="楷体" w:eastAsia="楷体" w:cs="宋体"/>
          <w:b/>
          <w:spacing w:val="12"/>
          <w:kern w:val="0"/>
          <w:sz w:val="30"/>
          <w:szCs w:val="30"/>
          <w:highlight w:val="none"/>
        </w:rPr>
        <w:t>资料来源：</w:t>
      </w:r>
    </w:p>
    <w:p>
      <w:pPr>
        <w:keepNext w:val="0"/>
        <w:keepLines w:val="0"/>
        <w:pageBreakBefore w:val="0"/>
        <w:widowControl/>
        <w:kinsoku/>
        <w:wordWrap/>
        <w:overflowPunct/>
        <w:topLinePunct w:val="0"/>
        <w:autoSpaceDE/>
        <w:autoSpaceDN/>
        <w:bidi w:val="0"/>
        <w:adjustRightInd w:val="0"/>
        <w:snapToGrid w:val="0"/>
        <w:spacing w:line="322" w:lineRule="auto"/>
        <w:ind w:firstLine="600" w:firstLineChars="200"/>
        <w:textAlignment w:val="auto"/>
        <w:rPr>
          <w:rFonts w:ascii="楷体" w:hAnsi="楷体" w:eastAsia="楷体" w:cs="宋体"/>
          <w:kern w:val="0"/>
          <w:sz w:val="30"/>
          <w:szCs w:val="30"/>
          <w:highlight w:val="none"/>
        </w:rPr>
      </w:pPr>
      <w:r>
        <w:rPr>
          <w:rFonts w:hint="eastAsia" w:ascii="楷体" w:hAnsi="楷体" w:eastAsia="楷体" w:cs="宋体"/>
          <w:kern w:val="0"/>
          <w:sz w:val="30"/>
          <w:szCs w:val="30"/>
          <w:highlight w:val="none"/>
        </w:rPr>
        <w:t>本公报中外贸出口数据来自区商务局；利用外资数据来自区招商中心；财政税收数据来自区财政局；科技数据来自区科技局；教育数据来自区教育局；卫生数据来自区卫健局；文化、旅游数据来自区文旅广电局；城乡居民收入数据来自国家统计局盘锦调查队；城镇养老保险、城镇医疗保险、就业等数据来自区人社局；城乡最低生活保障、社会福利、婚姻登记等数据来自区民政局；资源环境等数据来自区环保局；安全生产数据来自区应急管理局；人口数据来自区公安分局；其他数据均来自区统计局。</w:t>
      </w:r>
    </w:p>
    <w:sectPr>
      <w:headerReference r:id="rId3" w:type="default"/>
      <w:footerReference r:id="rId4" w:type="default"/>
      <w:footerReference r:id="rId5" w:type="even"/>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黑体_GBK">
    <w:altName w:val="黑体"/>
    <w:panose1 w:val="00000000000000000000"/>
    <w:charset w:val="86"/>
    <w:family w:val="auto"/>
    <w:pitch w:val="default"/>
    <w:sig w:usb0="00000000" w:usb1="00000000" w:usb2="00000000"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1"/>
    <w:family w:val="auto"/>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3C8FB7"/>
    <w:multiLevelType w:val="singleLevel"/>
    <w:tmpl w:val="DF3C8FB7"/>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1YWQyZTQ1Yjk4ZGRiNGQ1MzdmMjJkOTBjZjFjYzcifQ=="/>
  </w:docVars>
  <w:rsids>
    <w:rsidRoot w:val="00172A27"/>
    <w:rsid w:val="0000028B"/>
    <w:rsid w:val="00000946"/>
    <w:rsid w:val="00000B1E"/>
    <w:rsid w:val="00000C58"/>
    <w:rsid w:val="000020B1"/>
    <w:rsid w:val="0000238C"/>
    <w:rsid w:val="000037F5"/>
    <w:rsid w:val="00004C07"/>
    <w:rsid w:val="000051B0"/>
    <w:rsid w:val="0000622C"/>
    <w:rsid w:val="000114C9"/>
    <w:rsid w:val="000151EF"/>
    <w:rsid w:val="0001680B"/>
    <w:rsid w:val="000175E6"/>
    <w:rsid w:val="00020385"/>
    <w:rsid w:val="00020958"/>
    <w:rsid w:val="00024ACF"/>
    <w:rsid w:val="000259A1"/>
    <w:rsid w:val="00025C92"/>
    <w:rsid w:val="00025FBD"/>
    <w:rsid w:val="0003026D"/>
    <w:rsid w:val="00031D27"/>
    <w:rsid w:val="00032E2E"/>
    <w:rsid w:val="000332E7"/>
    <w:rsid w:val="000343DD"/>
    <w:rsid w:val="00034F73"/>
    <w:rsid w:val="00035F2E"/>
    <w:rsid w:val="00040A0F"/>
    <w:rsid w:val="00041731"/>
    <w:rsid w:val="0004208E"/>
    <w:rsid w:val="00042617"/>
    <w:rsid w:val="00043956"/>
    <w:rsid w:val="00043F7E"/>
    <w:rsid w:val="000443DF"/>
    <w:rsid w:val="0004467E"/>
    <w:rsid w:val="0004513B"/>
    <w:rsid w:val="00045230"/>
    <w:rsid w:val="00045F19"/>
    <w:rsid w:val="00050FFA"/>
    <w:rsid w:val="00053046"/>
    <w:rsid w:val="00053130"/>
    <w:rsid w:val="00054292"/>
    <w:rsid w:val="00054E0E"/>
    <w:rsid w:val="00056313"/>
    <w:rsid w:val="00060BB5"/>
    <w:rsid w:val="00061881"/>
    <w:rsid w:val="00061A3B"/>
    <w:rsid w:val="000629A2"/>
    <w:rsid w:val="00062E65"/>
    <w:rsid w:val="000630F4"/>
    <w:rsid w:val="00063D4E"/>
    <w:rsid w:val="0006635C"/>
    <w:rsid w:val="0007269E"/>
    <w:rsid w:val="00073E4C"/>
    <w:rsid w:val="00074359"/>
    <w:rsid w:val="000749AE"/>
    <w:rsid w:val="00074A2C"/>
    <w:rsid w:val="00074BEA"/>
    <w:rsid w:val="00075431"/>
    <w:rsid w:val="00076BC3"/>
    <w:rsid w:val="00076E49"/>
    <w:rsid w:val="00080030"/>
    <w:rsid w:val="000800D4"/>
    <w:rsid w:val="00080C36"/>
    <w:rsid w:val="00081447"/>
    <w:rsid w:val="00082423"/>
    <w:rsid w:val="0008348D"/>
    <w:rsid w:val="000842F2"/>
    <w:rsid w:val="00084E2E"/>
    <w:rsid w:val="00085296"/>
    <w:rsid w:val="00085AAA"/>
    <w:rsid w:val="00085C4A"/>
    <w:rsid w:val="00090462"/>
    <w:rsid w:val="00090610"/>
    <w:rsid w:val="000906AE"/>
    <w:rsid w:val="000909B5"/>
    <w:rsid w:val="00090B8B"/>
    <w:rsid w:val="000933C5"/>
    <w:rsid w:val="0009582B"/>
    <w:rsid w:val="000962C7"/>
    <w:rsid w:val="000963EF"/>
    <w:rsid w:val="000967CF"/>
    <w:rsid w:val="0009700E"/>
    <w:rsid w:val="00097837"/>
    <w:rsid w:val="000A0388"/>
    <w:rsid w:val="000A11E2"/>
    <w:rsid w:val="000A180A"/>
    <w:rsid w:val="000A30D7"/>
    <w:rsid w:val="000A3C1D"/>
    <w:rsid w:val="000B12C8"/>
    <w:rsid w:val="000B2804"/>
    <w:rsid w:val="000B2FFF"/>
    <w:rsid w:val="000B3389"/>
    <w:rsid w:val="000B39BF"/>
    <w:rsid w:val="000B678A"/>
    <w:rsid w:val="000B7266"/>
    <w:rsid w:val="000C076E"/>
    <w:rsid w:val="000C090C"/>
    <w:rsid w:val="000C1E1C"/>
    <w:rsid w:val="000C1F93"/>
    <w:rsid w:val="000C297E"/>
    <w:rsid w:val="000C2CEE"/>
    <w:rsid w:val="000C455A"/>
    <w:rsid w:val="000C46BD"/>
    <w:rsid w:val="000C5136"/>
    <w:rsid w:val="000C528A"/>
    <w:rsid w:val="000C6043"/>
    <w:rsid w:val="000C6562"/>
    <w:rsid w:val="000D013F"/>
    <w:rsid w:val="000D045D"/>
    <w:rsid w:val="000D0792"/>
    <w:rsid w:val="000D1BFE"/>
    <w:rsid w:val="000D2AED"/>
    <w:rsid w:val="000D4D1A"/>
    <w:rsid w:val="000D50D4"/>
    <w:rsid w:val="000D6BF1"/>
    <w:rsid w:val="000E07A8"/>
    <w:rsid w:val="000E2B52"/>
    <w:rsid w:val="000E2C29"/>
    <w:rsid w:val="000E364D"/>
    <w:rsid w:val="000F0130"/>
    <w:rsid w:val="000F059E"/>
    <w:rsid w:val="000F0ADA"/>
    <w:rsid w:val="000F1D1D"/>
    <w:rsid w:val="000F32B8"/>
    <w:rsid w:val="000F3367"/>
    <w:rsid w:val="000F3A36"/>
    <w:rsid w:val="000F5FE1"/>
    <w:rsid w:val="000F74EA"/>
    <w:rsid w:val="000F7911"/>
    <w:rsid w:val="00103326"/>
    <w:rsid w:val="00104211"/>
    <w:rsid w:val="00104219"/>
    <w:rsid w:val="00104893"/>
    <w:rsid w:val="00104DF3"/>
    <w:rsid w:val="00105CFE"/>
    <w:rsid w:val="00106A0D"/>
    <w:rsid w:val="001116A7"/>
    <w:rsid w:val="001125DC"/>
    <w:rsid w:val="0011282D"/>
    <w:rsid w:val="001135BE"/>
    <w:rsid w:val="00114BCF"/>
    <w:rsid w:val="00114BE9"/>
    <w:rsid w:val="00116400"/>
    <w:rsid w:val="00117D60"/>
    <w:rsid w:val="0012124F"/>
    <w:rsid w:val="001226BC"/>
    <w:rsid w:val="001238BD"/>
    <w:rsid w:val="00124397"/>
    <w:rsid w:val="00124647"/>
    <w:rsid w:val="00126400"/>
    <w:rsid w:val="00126739"/>
    <w:rsid w:val="00127D39"/>
    <w:rsid w:val="0013039E"/>
    <w:rsid w:val="001306E9"/>
    <w:rsid w:val="00131F66"/>
    <w:rsid w:val="001327B4"/>
    <w:rsid w:val="00133246"/>
    <w:rsid w:val="0013369F"/>
    <w:rsid w:val="001344BC"/>
    <w:rsid w:val="001360EF"/>
    <w:rsid w:val="001365A4"/>
    <w:rsid w:val="0014051F"/>
    <w:rsid w:val="00141560"/>
    <w:rsid w:val="001423C5"/>
    <w:rsid w:val="001432B8"/>
    <w:rsid w:val="00143A06"/>
    <w:rsid w:val="00144CB9"/>
    <w:rsid w:val="00145483"/>
    <w:rsid w:val="0014764C"/>
    <w:rsid w:val="001476C2"/>
    <w:rsid w:val="00150EBF"/>
    <w:rsid w:val="00151269"/>
    <w:rsid w:val="001515C5"/>
    <w:rsid w:val="0015210B"/>
    <w:rsid w:val="00152201"/>
    <w:rsid w:val="001542C1"/>
    <w:rsid w:val="0015443C"/>
    <w:rsid w:val="001548C9"/>
    <w:rsid w:val="001557F3"/>
    <w:rsid w:val="00160C16"/>
    <w:rsid w:val="001634E3"/>
    <w:rsid w:val="00165544"/>
    <w:rsid w:val="001658DB"/>
    <w:rsid w:val="00167133"/>
    <w:rsid w:val="00167600"/>
    <w:rsid w:val="00172A27"/>
    <w:rsid w:val="00174313"/>
    <w:rsid w:val="001751BF"/>
    <w:rsid w:val="00175D35"/>
    <w:rsid w:val="00175EE7"/>
    <w:rsid w:val="00176AF1"/>
    <w:rsid w:val="00181579"/>
    <w:rsid w:val="0018306D"/>
    <w:rsid w:val="00184DDD"/>
    <w:rsid w:val="001854E6"/>
    <w:rsid w:val="00186424"/>
    <w:rsid w:val="0019360A"/>
    <w:rsid w:val="00195232"/>
    <w:rsid w:val="00195A47"/>
    <w:rsid w:val="00197345"/>
    <w:rsid w:val="001977BB"/>
    <w:rsid w:val="00197BFF"/>
    <w:rsid w:val="001A06ED"/>
    <w:rsid w:val="001A1259"/>
    <w:rsid w:val="001A4BE7"/>
    <w:rsid w:val="001A578C"/>
    <w:rsid w:val="001A5FC7"/>
    <w:rsid w:val="001A628D"/>
    <w:rsid w:val="001A6D0B"/>
    <w:rsid w:val="001B0E39"/>
    <w:rsid w:val="001B45C0"/>
    <w:rsid w:val="001B4983"/>
    <w:rsid w:val="001B73A9"/>
    <w:rsid w:val="001B7764"/>
    <w:rsid w:val="001C0580"/>
    <w:rsid w:val="001C09A0"/>
    <w:rsid w:val="001C1332"/>
    <w:rsid w:val="001C4067"/>
    <w:rsid w:val="001C4314"/>
    <w:rsid w:val="001C5763"/>
    <w:rsid w:val="001C6918"/>
    <w:rsid w:val="001C70C4"/>
    <w:rsid w:val="001C7B33"/>
    <w:rsid w:val="001C7C82"/>
    <w:rsid w:val="001D1A62"/>
    <w:rsid w:val="001D2859"/>
    <w:rsid w:val="001D3DA4"/>
    <w:rsid w:val="001D4A75"/>
    <w:rsid w:val="001D5A8F"/>
    <w:rsid w:val="001D7CD8"/>
    <w:rsid w:val="001E04E4"/>
    <w:rsid w:val="001E3341"/>
    <w:rsid w:val="001E4B38"/>
    <w:rsid w:val="001E5AAD"/>
    <w:rsid w:val="001E6E4D"/>
    <w:rsid w:val="001F07AE"/>
    <w:rsid w:val="001F0B49"/>
    <w:rsid w:val="001F1DA6"/>
    <w:rsid w:val="001F2349"/>
    <w:rsid w:val="001F2B2F"/>
    <w:rsid w:val="001F2C10"/>
    <w:rsid w:val="001F4B70"/>
    <w:rsid w:val="001F7556"/>
    <w:rsid w:val="00201A5D"/>
    <w:rsid w:val="002034F8"/>
    <w:rsid w:val="0020378D"/>
    <w:rsid w:val="00203C1E"/>
    <w:rsid w:val="0020446B"/>
    <w:rsid w:val="00205C87"/>
    <w:rsid w:val="00210A2E"/>
    <w:rsid w:val="00216F90"/>
    <w:rsid w:val="00220746"/>
    <w:rsid w:val="00220FCD"/>
    <w:rsid w:val="00221D3C"/>
    <w:rsid w:val="00221F0B"/>
    <w:rsid w:val="00223D48"/>
    <w:rsid w:val="00224B13"/>
    <w:rsid w:val="00224C74"/>
    <w:rsid w:val="00225206"/>
    <w:rsid w:val="002271E8"/>
    <w:rsid w:val="00227ABB"/>
    <w:rsid w:val="00230F08"/>
    <w:rsid w:val="00231DE7"/>
    <w:rsid w:val="00231E56"/>
    <w:rsid w:val="00234EE8"/>
    <w:rsid w:val="002353D6"/>
    <w:rsid w:val="00235DB0"/>
    <w:rsid w:val="00235FB6"/>
    <w:rsid w:val="00235FE4"/>
    <w:rsid w:val="00236390"/>
    <w:rsid w:val="00236B59"/>
    <w:rsid w:val="0023707C"/>
    <w:rsid w:val="00240725"/>
    <w:rsid w:val="00241BA8"/>
    <w:rsid w:val="0024201F"/>
    <w:rsid w:val="00243949"/>
    <w:rsid w:val="00244969"/>
    <w:rsid w:val="00245406"/>
    <w:rsid w:val="0024603A"/>
    <w:rsid w:val="0025355D"/>
    <w:rsid w:val="00256A51"/>
    <w:rsid w:val="00256B59"/>
    <w:rsid w:val="002606AF"/>
    <w:rsid w:val="00262132"/>
    <w:rsid w:val="00262E27"/>
    <w:rsid w:val="00262EC4"/>
    <w:rsid w:val="002643A4"/>
    <w:rsid w:val="00264F07"/>
    <w:rsid w:val="00264F6C"/>
    <w:rsid w:val="0026528B"/>
    <w:rsid w:val="00266223"/>
    <w:rsid w:val="00270786"/>
    <w:rsid w:val="00270812"/>
    <w:rsid w:val="002716CD"/>
    <w:rsid w:val="00272C6B"/>
    <w:rsid w:val="00272ED1"/>
    <w:rsid w:val="00273ACA"/>
    <w:rsid w:val="00274B2C"/>
    <w:rsid w:val="002775C1"/>
    <w:rsid w:val="00277674"/>
    <w:rsid w:val="0027785C"/>
    <w:rsid w:val="00280CDC"/>
    <w:rsid w:val="00281741"/>
    <w:rsid w:val="00283761"/>
    <w:rsid w:val="00283E63"/>
    <w:rsid w:val="00284F4E"/>
    <w:rsid w:val="002857B4"/>
    <w:rsid w:val="002869DB"/>
    <w:rsid w:val="00287914"/>
    <w:rsid w:val="00290DEE"/>
    <w:rsid w:val="002913B3"/>
    <w:rsid w:val="00291530"/>
    <w:rsid w:val="00292C62"/>
    <w:rsid w:val="002935CB"/>
    <w:rsid w:val="00293C6C"/>
    <w:rsid w:val="00293F16"/>
    <w:rsid w:val="002957DC"/>
    <w:rsid w:val="00295BE4"/>
    <w:rsid w:val="00295DD0"/>
    <w:rsid w:val="0029665F"/>
    <w:rsid w:val="00297D28"/>
    <w:rsid w:val="002A1BF5"/>
    <w:rsid w:val="002A3E24"/>
    <w:rsid w:val="002A452A"/>
    <w:rsid w:val="002A544A"/>
    <w:rsid w:val="002A5835"/>
    <w:rsid w:val="002A6BBB"/>
    <w:rsid w:val="002B039E"/>
    <w:rsid w:val="002B0A5F"/>
    <w:rsid w:val="002B0D14"/>
    <w:rsid w:val="002B2791"/>
    <w:rsid w:val="002B2E4C"/>
    <w:rsid w:val="002B4845"/>
    <w:rsid w:val="002B5F0D"/>
    <w:rsid w:val="002B6E05"/>
    <w:rsid w:val="002B7899"/>
    <w:rsid w:val="002C0BDC"/>
    <w:rsid w:val="002C30EA"/>
    <w:rsid w:val="002C3110"/>
    <w:rsid w:val="002C6ADA"/>
    <w:rsid w:val="002C7530"/>
    <w:rsid w:val="002D04B3"/>
    <w:rsid w:val="002D1F6C"/>
    <w:rsid w:val="002D27A3"/>
    <w:rsid w:val="002D440A"/>
    <w:rsid w:val="002D5BE7"/>
    <w:rsid w:val="002D5C01"/>
    <w:rsid w:val="002D6DF7"/>
    <w:rsid w:val="002D7120"/>
    <w:rsid w:val="002D73C7"/>
    <w:rsid w:val="002E0020"/>
    <w:rsid w:val="002E1667"/>
    <w:rsid w:val="002E174D"/>
    <w:rsid w:val="002E45D8"/>
    <w:rsid w:val="002E6FB2"/>
    <w:rsid w:val="002F01D7"/>
    <w:rsid w:val="002F105C"/>
    <w:rsid w:val="002F45B8"/>
    <w:rsid w:val="002F7B90"/>
    <w:rsid w:val="002F7F25"/>
    <w:rsid w:val="00302E27"/>
    <w:rsid w:val="003032CF"/>
    <w:rsid w:val="0030411C"/>
    <w:rsid w:val="00305618"/>
    <w:rsid w:val="003057F5"/>
    <w:rsid w:val="003115A2"/>
    <w:rsid w:val="003115C7"/>
    <w:rsid w:val="00311B31"/>
    <w:rsid w:val="00312444"/>
    <w:rsid w:val="00312A04"/>
    <w:rsid w:val="00313DD3"/>
    <w:rsid w:val="00314184"/>
    <w:rsid w:val="00314656"/>
    <w:rsid w:val="003149E1"/>
    <w:rsid w:val="0031688D"/>
    <w:rsid w:val="00316962"/>
    <w:rsid w:val="003174B0"/>
    <w:rsid w:val="00320119"/>
    <w:rsid w:val="00320901"/>
    <w:rsid w:val="003209E6"/>
    <w:rsid w:val="00321439"/>
    <w:rsid w:val="0032197D"/>
    <w:rsid w:val="0032236F"/>
    <w:rsid w:val="00323D59"/>
    <w:rsid w:val="00324960"/>
    <w:rsid w:val="00324D4F"/>
    <w:rsid w:val="00325212"/>
    <w:rsid w:val="00325C44"/>
    <w:rsid w:val="0032709B"/>
    <w:rsid w:val="003276FC"/>
    <w:rsid w:val="003309DE"/>
    <w:rsid w:val="003341EE"/>
    <w:rsid w:val="00334294"/>
    <w:rsid w:val="00334462"/>
    <w:rsid w:val="003344FC"/>
    <w:rsid w:val="003348F1"/>
    <w:rsid w:val="0033525F"/>
    <w:rsid w:val="00336532"/>
    <w:rsid w:val="00343029"/>
    <w:rsid w:val="00344906"/>
    <w:rsid w:val="00344BEF"/>
    <w:rsid w:val="00346533"/>
    <w:rsid w:val="00346D37"/>
    <w:rsid w:val="00353EAE"/>
    <w:rsid w:val="00353EC1"/>
    <w:rsid w:val="00353FA6"/>
    <w:rsid w:val="00355346"/>
    <w:rsid w:val="00355D5F"/>
    <w:rsid w:val="00356D4F"/>
    <w:rsid w:val="00360E6D"/>
    <w:rsid w:val="00360F5B"/>
    <w:rsid w:val="00361B1D"/>
    <w:rsid w:val="00361CCE"/>
    <w:rsid w:val="0036222C"/>
    <w:rsid w:val="00362E40"/>
    <w:rsid w:val="003633F3"/>
    <w:rsid w:val="00363EE1"/>
    <w:rsid w:val="0036418B"/>
    <w:rsid w:val="00364CF1"/>
    <w:rsid w:val="00365017"/>
    <w:rsid w:val="0036524E"/>
    <w:rsid w:val="003652AE"/>
    <w:rsid w:val="003656BB"/>
    <w:rsid w:val="0036606E"/>
    <w:rsid w:val="00366CC4"/>
    <w:rsid w:val="00366D49"/>
    <w:rsid w:val="0036729C"/>
    <w:rsid w:val="00371693"/>
    <w:rsid w:val="0037349D"/>
    <w:rsid w:val="00373E58"/>
    <w:rsid w:val="003756BA"/>
    <w:rsid w:val="003767C9"/>
    <w:rsid w:val="003805CE"/>
    <w:rsid w:val="003808A0"/>
    <w:rsid w:val="00384B91"/>
    <w:rsid w:val="0038601E"/>
    <w:rsid w:val="00386162"/>
    <w:rsid w:val="00386772"/>
    <w:rsid w:val="00387137"/>
    <w:rsid w:val="003871D8"/>
    <w:rsid w:val="003904F7"/>
    <w:rsid w:val="00394289"/>
    <w:rsid w:val="003960DD"/>
    <w:rsid w:val="0039651E"/>
    <w:rsid w:val="003970A5"/>
    <w:rsid w:val="003A3039"/>
    <w:rsid w:val="003A379E"/>
    <w:rsid w:val="003A3CAB"/>
    <w:rsid w:val="003A3DD5"/>
    <w:rsid w:val="003A4980"/>
    <w:rsid w:val="003A58F2"/>
    <w:rsid w:val="003A5AC7"/>
    <w:rsid w:val="003A672E"/>
    <w:rsid w:val="003B0496"/>
    <w:rsid w:val="003B0952"/>
    <w:rsid w:val="003B12AB"/>
    <w:rsid w:val="003B131C"/>
    <w:rsid w:val="003B2691"/>
    <w:rsid w:val="003B51BA"/>
    <w:rsid w:val="003B63A3"/>
    <w:rsid w:val="003B6EEC"/>
    <w:rsid w:val="003B716C"/>
    <w:rsid w:val="003C1CA3"/>
    <w:rsid w:val="003C25C9"/>
    <w:rsid w:val="003C353E"/>
    <w:rsid w:val="003C3D14"/>
    <w:rsid w:val="003C3E69"/>
    <w:rsid w:val="003C4669"/>
    <w:rsid w:val="003C52AD"/>
    <w:rsid w:val="003C5414"/>
    <w:rsid w:val="003D09AF"/>
    <w:rsid w:val="003D0AD5"/>
    <w:rsid w:val="003D2606"/>
    <w:rsid w:val="003D33B2"/>
    <w:rsid w:val="003D6C4F"/>
    <w:rsid w:val="003D6C80"/>
    <w:rsid w:val="003E09B0"/>
    <w:rsid w:val="003E134D"/>
    <w:rsid w:val="003E2E44"/>
    <w:rsid w:val="003E3527"/>
    <w:rsid w:val="003E3599"/>
    <w:rsid w:val="003E415E"/>
    <w:rsid w:val="003E47EF"/>
    <w:rsid w:val="003E5EAE"/>
    <w:rsid w:val="003E6067"/>
    <w:rsid w:val="003E6A5D"/>
    <w:rsid w:val="003E7131"/>
    <w:rsid w:val="003E7E05"/>
    <w:rsid w:val="003E7F87"/>
    <w:rsid w:val="003F03A8"/>
    <w:rsid w:val="003F0EC5"/>
    <w:rsid w:val="003F0EDB"/>
    <w:rsid w:val="003F1E7E"/>
    <w:rsid w:val="003F1F6A"/>
    <w:rsid w:val="003F2994"/>
    <w:rsid w:val="003F38A3"/>
    <w:rsid w:val="003F3D1D"/>
    <w:rsid w:val="003F5C1C"/>
    <w:rsid w:val="003F5D04"/>
    <w:rsid w:val="003F71D2"/>
    <w:rsid w:val="003F723D"/>
    <w:rsid w:val="003F7FBA"/>
    <w:rsid w:val="004017EB"/>
    <w:rsid w:val="0040228F"/>
    <w:rsid w:val="00405A72"/>
    <w:rsid w:val="0040795E"/>
    <w:rsid w:val="004113C4"/>
    <w:rsid w:val="00412639"/>
    <w:rsid w:val="00413C89"/>
    <w:rsid w:val="00414378"/>
    <w:rsid w:val="00414B46"/>
    <w:rsid w:val="00415050"/>
    <w:rsid w:val="004150FC"/>
    <w:rsid w:val="0041538D"/>
    <w:rsid w:val="004157DC"/>
    <w:rsid w:val="00415E9B"/>
    <w:rsid w:val="004172FA"/>
    <w:rsid w:val="0042099E"/>
    <w:rsid w:val="00421B8F"/>
    <w:rsid w:val="004225E9"/>
    <w:rsid w:val="00423A99"/>
    <w:rsid w:val="00424B56"/>
    <w:rsid w:val="00427346"/>
    <w:rsid w:val="00427F51"/>
    <w:rsid w:val="004302CF"/>
    <w:rsid w:val="00431898"/>
    <w:rsid w:val="004324AF"/>
    <w:rsid w:val="00433F6B"/>
    <w:rsid w:val="00434E2A"/>
    <w:rsid w:val="0043579E"/>
    <w:rsid w:val="00436F88"/>
    <w:rsid w:val="0043718D"/>
    <w:rsid w:val="004412CC"/>
    <w:rsid w:val="004415BD"/>
    <w:rsid w:val="00441B1C"/>
    <w:rsid w:val="0044219E"/>
    <w:rsid w:val="00442581"/>
    <w:rsid w:val="00444BA0"/>
    <w:rsid w:val="00447038"/>
    <w:rsid w:val="00451DC8"/>
    <w:rsid w:val="004549B5"/>
    <w:rsid w:val="004553BA"/>
    <w:rsid w:val="00455645"/>
    <w:rsid w:val="0045576C"/>
    <w:rsid w:val="004557EE"/>
    <w:rsid w:val="00455AF5"/>
    <w:rsid w:val="004607C3"/>
    <w:rsid w:val="00463D6D"/>
    <w:rsid w:val="004649F1"/>
    <w:rsid w:val="00465DF9"/>
    <w:rsid w:val="0046662C"/>
    <w:rsid w:val="00466F83"/>
    <w:rsid w:val="00470588"/>
    <w:rsid w:val="00470FE1"/>
    <w:rsid w:val="004716C6"/>
    <w:rsid w:val="00471ADC"/>
    <w:rsid w:val="00474B04"/>
    <w:rsid w:val="00475072"/>
    <w:rsid w:val="004753B7"/>
    <w:rsid w:val="004753FA"/>
    <w:rsid w:val="004754FA"/>
    <w:rsid w:val="00475981"/>
    <w:rsid w:val="00475BBF"/>
    <w:rsid w:val="00475E52"/>
    <w:rsid w:val="00475EB4"/>
    <w:rsid w:val="0048152F"/>
    <w:rsid w:val="0048190F"/>
    <w:rsid w:val="004823F8"/>
    <w:rsid w:val="004843C0"/>
    <w:rsid w:val="004850E7"/>
    <w:rsid w:val="004864FC"/>
    <w:rsid w:val="004868A5"/>
    <w:rsid w:val="00486C0A"/>
    <w:rsid w:val="0049090B"/>
    <w:rsid w:val="00492226"/>
    <w:rsid w:val="004932AC"/>
    <w:rsid w:val="00493412"/>
    <w:rsid w:val="00493A1C"/>
    <w:rsid w:val="004944F1"/>
    <w:rsid w:val="004946E9"/>
    <w:rsid w:val="00495C29"/>
    <w:rsid w:val="004961A9"/>
    <w:rsid w:val="004A0227"/>
    <w:rsid w:val="004A29EC"/>
    <w:rsid w:val="004A3149"/>
    <w:rsid w:val="004A435A"/>
    <w:rsid w:val="004A52E9"/>
    <w:rsid w:val="004A5AC2"/>
    <w:rsid w:val="004A67E1"/>
    <w:rsid w:val="004A6AF1"/>
    <w:rsid w:val="004A7F97"/>
    <w:rsid w:val="004A7FEB"/>
    <w:rsid w:val="004B2485"/>
    <w:rsid w:val="004B31DC"/>
    <w:rsid w:val="004B37CC"/>
    <w:rsid w:val="004B6BF1"/>
    <w:rsid w:val="004C01F4"/>
    <w:rsid w:val="004C1B1B"/>
    <w:rsid w:val="004C246C"/>
    <w:rsid w:val="004C2F18"/>
    <w:rsid w:val="004C3094"/>
    <w:rsid w:val="004C4684"/>
    <w:rsid w:val="004C5CFD"/>
    <w:rsid w:val="004C6036"/>
    <w:rsid w:val="004C6C41"/>
    <w:rsid w:val="004C733F"/>
    <w:rsid w:val="004C7A1C"/>
    <w:rsid w:val="004D150F"/>
    <w:rsid w:val="004D2983"/>
    <w:rsid w:val="004D3F45"/>
    <w:rsid w:val="004D4F99"/>
    <w:rsid w:val="004D5663"/>
    <w:rsid w:val="004D6614"/>
    <w:rsid w:val="004D6756"/>
    <w:rsid w:val="004E03F3"/>
    <w:rsid w:val="004E05AE"/>
    <w:rsid w:val="004E0863"/>
    <w:rsid w:val="004E1269"/>
    <w:rsid w:val="004E2071"/>
    <w:rsid w:val="004E28B8"/>
    <w:rsid w:val="004E3EF2"/>
    <w:rsid w:val="004E53E4"/>
    <w:rsid w:val="004E55FE"/>
    <w:rsid w:val="004E70BD"/>
    <w:rsid w:val="004E723C"/>
    <w:rsid w:val="004E7584"/>
    <w:rsid w:val="004E7C20"/>
    <w:rsid w:val="004E7E5C"/>
    <w:rsid w:val="004F2F60"/>
    <w:rsid w:val="004F44AF"/>
    <w:rsid w:val="004F5DEC"/>
    <w:rsid w:val="004F675A"/>
    <w:rsid w:val="004F6A7E"/>
    <w:rsid w:val="004F6B02"/>
    <w:rsid w:val="005004CD"/>
    <w:rsid w:val="00501595"/>
    <w:rsid w:val="00501DC6"/>
    <w:rsid w:val="00502118"/>
    <w:rsid w:val="0050389E"/>
    <w:rsid w:val="00504A0E"/>
    <w:rsid w:val="005052F4"/>
    <w:rsid w:val="00505E02"/>
    <w:rsid w:val="00506AD4"/>
    <w:rsid w:val="00507F00"/>
    <w:rsid w:val="00510E04"/>
    <w:rsid w:val="00511591"/>
    <w:rsid w:val="00511E19"/>
    <w:rsid w:val="005128EC"/>
    <w:rsid w:val="00513F6A"/>
    <w:rsid w:val="005140A6"/>
    <w:rsid w:val="0051529B"/>
    <w:rsid w:val="00515544"/>
    <w:rsid w:val="00515EA9"/>
    <w:rsid w:val="0051785F"/>
    <w:rsid w:val="00517AFD"/>
    <w:rsid w:val="00517C40"/>
    <w:rsid w:val="0052005E"/>
    <w:rsid w:val="00521D58"/>
    <w:rsid w:val="0052478B"/>
    <w:rsid w:val="0052699A"/>
    <w:rsid w:val="00526EAE"/>
    <w:rsid w:val="0052753E"/>
    <w:rsid w:val="00530DF6"/>
    <w:rsid w:val="00532062"/>
    <w:rsid w:val="005320E5"/>
    <w:rsid w:val="00533159"/>
    <w:rsid w:val="00533318"/>
    <w:rsid w:val="00533BCA"/>
    <w:rsid w:val="0053518F"/>
    <w:rsid w:val="005362BA"/>
    <w:rsid w:val="00536A91"/>
    <w:rsid w:val="005373A6"/>
    <w:rsid w:val="00537544"/>
    <w:rsid w:val="00540490"/>
    <w:rsid w:val="00540D63"/>
    <w:rsid w:val="00543BA9"/>
    <w:rsid w:val="00543D79"/>
    <w:rsid w:val="00545CCA"/>
    <w:rsid w:val="00550B7E"/>
    <w:rsid w:val="0055279B"/>
    <w:rsid w:val="00552824"/>
    <w:rsid w:val="005540A8"/>
    <w:rsid w:val="00555AE0"/>
    <w:rsid w:val="00555B41"/>
    <w:rsid w:val="00556AE9"/>
    <w:rsid w:val="005609F9"/>
    <w:rsid w:val="00562B80"/>
    <w:rsid w:val="00562E0C"/>
    <w:rsid w:val="005633B1"/>
    <w:rsid w:val="005633E9"/>
    <w:rsid w:val="00563EE4"/>
    <w:rsid w:val="00565C9C"/>
    <w:rsid w:val="00566D40"/>
    <w:rsid w:val="0057034E"/>
    <w:rsid w:val="0057258C"/>
    <w:rsid w:val="00572A72"/>
    <w:rsid w:val="00575A19"/>
    <w:rsid w:val="005768BC"/>
    <w:rsid w:val="005818D3"/>
    <w:rsid w:val="00585C23"/>
    <w:rsid w:val="005867CB"/>
    <w:rsid w:val="00590E65"/>
    <w:rsid w:val="00590F0E"/>
    <w:rsid w:val="00594165"/>
    <w:rsid w:val="00594F82"/>
    <w:rsid w:val="005959E3"/>
    <w:rsid w:val="00596099"/>
    <w:rsid w:val="00596964"/>
    <w:rsid w:val="00596F2A"/>
    <w:rsid w:val="0059757F"/>
    <w:rsid w:val="00597BFE"/>
    <w:rsid w:val="00597C58"/>
    <w:rsid w:val="00597DA9"/>
    <w:rsid w:val="005A0F78"/>
    <w:rsid w:val="005A1FA1"/>
    <w:rsid w:val="005A33D1"/>
    <w:rsid w:val="005A344D"/>
    <w:rsid w:val="005A3C3B"/>
    <w:rsid w:val="005A4245"/>
    <w:rsid w:val="005A4657"/>
    <w:rsid w:val="005A49FB"/>
    <w:rsid w:val="005A7D58"/>
    <w:rsid w:val="005B0138"/>
    <w:rsid w:val="005B075E"/>
    <w:rsid w:val="005B115E"/>
    <w:rsid w:val="005B17E5"/>
    <w:rsid w:val="005B200F"/>
    <w:rsid w:val="005B2ECC"/>
    <w:rsid w:val="005B2F46"/>
    <w:rsid w:val="005B5011"/>
    <w:rsid w:val="005B504A"/>
    <w:rsid w:val="005B68AC"/>
    <w:rsid w:val="005B6D88"/>
    <w:rsid w:val="005B7CFE"/>
    <w:rsid w:val="005C18DA"/>
    <w:rsid w:val="005C1B20"/>
    <w:rsid w:val="005C1F34"/>
    <w:rsid w:val="005C5637"/>
    <w:rsid w:val="005C5649"/>
    <w:rsid w:val="005C598D"/>
    <w:rsid w:val="005C5D0C"/>
    <w:rsid w:val="005C6259"/>
    <w:rsid w:val="005C6D94"/>
    <w:rsid w:val="005C70DB"/>
    <w:rsid w:val="005C7FDE"/>
    <w:rsid w:val="005D2E75"/>
    <w:rsid w:val="005D3D19"/>
    <w:rsid w:val="005D5A23"/>
    <w:rsid w:val="005D7D43"/>
    <w:rsid w:val="005E02B6"/>
    <w:rsid w:val="005E0354"/>
    <w:rsid w:val="005E0EAA"/>
    <w:rsid w:val="005E0EFA"/>
    <w:rsid w:val="005E466F"/>
    <w:rsid w:val="005E4B0F"/>
    <w:rsid w:val="005E50E9"/>
    <w:rsid w:val="005E5F7E"/>
    <w:rsid w:val="005E60B0"/>
    <w:rsid w:val="005E65F8"/>
    <w:rsid w:val="005E6CD1"/>
    <w:rsid w:val="005E727E"/>
    <w:rsid w:val="005E7545"/>
    <w:rsid w:val="005E78CA"/>
    <w:rsid w:val="005F006D"/>
    <w:rsid w:val="005F0AE9"/>
    <w:rsid w:val="005F1CE4"/>
    <w:rsid w:val="005F243E"/>
    <w:rsid w:val="005F318A"/>
    <w:rsid w:val="005F4EEA"/>
    <w:rsid w:val="005F64B0"/>
    <w:rsid w:val="005F6FE0"/>
    <w:rsid w:val="005F745C"/>
    <w:rsid w:val="00601051"/>
    <w:rsid w:val="006010D7"/>
    <w:rsid w:val="006020E1"/>
    <w:rsid w:val="00602408"/>
    <w:rsid w:val="00602F61"/>
    <w:rsid w:val="006034C9"/>
    <w:rsid w:val="0060389A"/>
    <w:rsid w:val="00603D67"/>
    <w:rsid w:val="006053F7"/>
    <w:rsid w:val="00605AF6"/>
    <w:rsid w:val="006060FC"/>
    <w:rsid w:val="00606A42"/>
    <w:rsid w:val="00606E23"/>
    <w:rsid w:val="00607602"/>
    <w:rsid w:val="006077C3"/>
    <w:rsid w:val="006105BD"/>
    <w:rsid w:val="00612BAE"/>
    <w:rsid w:val="00615109"/>
    <w:rsid w:val="006156C8"/>
    <w:rsid w:val="00616F2A"/>
    <w:rsid w:val="006173FF"/>
    <w:rsid w:val="0062103C"/>
    <w:rsid w:val="00621C93"/>
    <w:rsid w:val="006230AF"/>
    <w:rsid w:val="0062452E"/>
    <w:rsid w:val="00625B21"/>
    <w:rsid w:val="00625DE3"/>
    <w:rsid w:val="006268B8"/>
    <w:rsid w:val="00627FFE"/>
    <w:rsid w:val="00631E16"/>
    <w:rsid w:val="0063246B"/>
    <w:rsid w:val="00632B37"/>
    <w:rsid w:val="0063399F"/>
    <w:rsid w:val="00634BB5"/>
    <w:rsid w:val="006357CF"/>
    <w:rsid w:val="00635AD9"/>
    <w:rsid w:val="006400F4"/>
    <w:rsid w:val="006404FD"/>
    <w:rsid w:val="00640C24"/>
    <w:rsid w:val="00640C64"/>
    <w:rsid w:val="00641AB4"/>
    <w:rsid w:val="006423A0"/>
    <w:rsid w:val="00644644"/>
    <w:rsid w:val="006447FE"/>
    <w:rsid w:val="00645300"/>
    <w:rsid w:val="0064547F"/>
    <w:rsid w:val="00646D42"/>
    <w:rsid w:val="006479F8"/>
    <w:rsid w:val="00647EE5"/>
    <w:rsid w:val="006500CF"/>
    <w:rsid w:val="0065020C"/>
    <w:rsid w:val="00650925"/>
    <w:rsid w:val="0065309C"/>
    <w:rsid w:val="0065325C"/>
    <w:rsid w:val="00654811"/>
    <w:rsid w:val="00654849"/>
    <w:rsid w:val="006557BE"/>
    <w:rsid w:val="0065725C"/>
    <w:rsid w:val="00657E44"/>
    <w:rsid w:val="006618FD"/>
    <w:rsid w:val="006639C4"/>
    <w:rsid w:val="00663BFF"/>
    <w:rsid w:val="00664E9A"/>
    <w:rsid w:val="00665422"/>
    <w:rsid w:val="00671C3A"/>
    <w:rsid w:val="0067277D"/>
    <w:rsid w:val="0067306B"/>
    <w:rsid w:val="0067764D"/>
    <w:rsid w:val="006801B9"/>
    <w:rsid w:val="00681C88"/>
    <w:rsid w:val="00682606"/>
    <w:rsid w:val="006830FA"/>
    <w:rsid w:val="006834CF"/>
    <w:rsid w:val="00683821"/>
    <w:rsid w:val="00691A39"/>
    <w:rsid w:val="00692A4C"/>
    <w:rsid w:val="00693385"/>
    <w:rsid w:val="006939F7"/>
    <w:rsid w:val="006942D5"/>
    <w:rsid w:val="00694D14"/>
    <w:rsid w:val="00694EC8"/>
    <w:rsid w:val="006956B6"/>
    <w:rsid w:val="006964B9"/>
    <w:rsid w:val="00696603"/>
    <w:rsid w:val="00697C9C"/>
    <w:rsid w:val="006A209B"/>
    <w:rsid w:val="006A2D07"/>
    <w:rsid w:val="006A41AF"/>
    <w:rsid w:val="006A4BAA"/>
    <w:rsid w:val="006A5FA3"/>
    <w:rsid w:val="006A73AA"/>
    <w:rsid w:val="006B3DE1"/>
    <w:rsid w:val="006B4556"/>
    <w:rsid w:val="006B5538"/>
    <w:rsid w:val="006B5C6F"/>
    <w:rsid w:val="006B5E07"/>
    <w:rsid w:val="006C00F2"/>
    <w:rsid w:val="006C1028"/>
    <w:rsid w:val="006C14B3"/>
    <w:rsid w:val="006C2ECE"/>
    <w:rsid w:val="006C2F60"/>
    <w:rsid w:val="006C3E5F"/>
    <w:rsid w:val="006C42EF"/>
    <w:rsid w:val="006C4510"/>
    <w:rsid w:val="006C53C7"/>
    <w:rsid w:val="006C56CC"/>
    <w:rsid w:val="006C5DB2"/>
    <w:rsid w:val="006C7077"/>
    <w:rsid w:val="006D0003"/>
    <w:rsid w:val="006D165E"/>
    <w:rsid w:val="006D196C"/>
    <w:rsid w:val="006D211F"/>
    <w:rsid w:val="006D2A82"/>
    <w:rsid w:val="006D405B"/>
    <w:rsid w:val="006D4281"/>
    <w:rsid w:val="006D4912"/>
    <w:rsid w:val="006D4B2D"/>
    <w:rsid w:val="006D4D7D"/>
    <w:rsid w:val="006D63B9"/>
    <w:rsid w:val="006D7617"/>
    <w:rsid w:val="006E2758"/>
    <w:rsid w:val="006E462B"/>
    <w:rsid w:val="006E50C6"/>
    <w:rsid w:val="006F01B0"/>
    <w:rsid w:val="006F08BF"/>
    <w:rsid w:val="006F127A"/>
    <w:rsid w:val="006F239F"/>
    <w:rsid w:val="006F2863"/>
    <w:rsid w:val="006F2A9E"/>
    <w:rsid w:val="006F3755"/>
    <w:rsid w:val="006F5574"/>
    <w:rsid w:val="006F5DB2"/>
    <w:rsid w:val="006F5DC0"/>
    <w:rsid w:val="006F70D5"/>
    <w:rsid w:val="00700BF1"/>
    <w:rsid w:val="00700C2D"/>
    <w:rsid w:val="007032E5"/>
    <w:rsid w:val="00703D5C"/>
    <w:rsid w:val="00704CA8"/>
    <w:rsid w:val="00705A0D"/>
    <w:rsid w:val="007065D0"/>
    <w:rsid w:val="00710271"/>
    <w:rsid w:val="007122FD"/>
    <w:rsid w:val="007127C4"/>
    <w:rsid w:val="00713DFA"/>
    <w:rsid w:val="007151B5"/>
    <w:rsid w:val="0071628A"/>
    <w:rsid w:val="00717FE5"/>
    <w:rsid w:val="007200D9"/>
    <w:rsid w:val="00721726"/>
    <w:rsid w:val="00722740"/>
    <w:rsid w:val="00724287"/>
    <w:rsid w:val="007263CA"/>
    <w:rsid w:val="00726C6C"/>
    <w:rsid w:val="00726DFC"/>
    <w:rsid w:val="00734A03"/>
    <w:rsid w:val="007367F1"/>
    <w:rsid w:val="00737B46"/>
    <w:rsid w:val="00740145"/>
    <w:rsid w:val="0074062A"/>
    <w:rsid w:val="00741A0E"/>
    <w:rsid w:val="007420C8"/>
    <w:rsid w:val="007421A6"/>
    <w:rsid w:val="00742984"/>
    <w:rsid w:val="007441D5"/>
    <w:rsid w:val="007444D3"/>
    <w:rsid w:val="00744D04"/>
    <w:rsid w:val="00744E14"/>
    <w:rsid w:val="0074769C"/>
    <w:rsid w:val="007477BF"/>
    <w:rsid w:val="00751B7D"/>
    <w:rsid w:val="00751F29"/>
    <w:rsid w:val="0075294A"/>
    <w:rsid w:val="00752C7F"/>
    <w:rsid w:val="00752D9E"/>
    <w:rsid w:val="00754E3E"/>
    <w:rsid w:val="00757334"/>
    <w:rsid w:val="007577A0"/>
    <w:rsid w:val="00762855"/>
    <w:rsid w:val="00763695"/>
    <w:rsid w:val="00766311"/>
    <w:rsid w:val="007666DA"/>
    <w:rsid w:val="00767239"/>
    <w:rsid w:val="00767396"/>
    <w:rsid w:val="007703CF"/>
    <w:rsid w:val="00770874"/>
    <w:rsid w:val="0077169E"/>
    <w:rsid w:val="0077307C"/>
    <w:rsid w:val="00773F5B"/>
    <w:rsid w:val="0077414A"/>
    <w:rsid w:val="00774236"/>
    <w:rsid w:val="007742EF"/>
    <w:rsid w:val="00774380"/>
    <w:rsid w:val="00774702"/>
    <w:rsid w:val="00774B38"/>
    <w:rsid w:val="00775223"/>
    <w:rsid w:val="00775C32"/>
    <w:rsid w:val="00776E32"/>
    <w:rsid w:val="00776F5B"/>
    <w:rsid w:val="00781363"/>
    <w:rsid w:val="007819CC"/>
    <w:rsid w:val="00785112"/>
    <w:rsid w:val="0078548E"/>
    <w:rsid w:val="007863AC"/>
    <w:rsid w:val="007867E7"/>
    <w:rsid w:val="00787245"/>
    <w:rsid w:val="00790EDC"/>
    <w:rsid w:val="007910D2"/>
    <w:rsid w:val="00792262"/>
    <w:rsid w:val="007926FE"/>
    <w:rsid w:val="00797EFE"/>
    <w:rsid w:val="007A1243"/>
    <w:rsid w:val="007A214B"/>
    <w:rsid w:val="007A4BAF"/>
    <w:rsid w:val="007A62A5"/>
    <w:rsid w:val="007A643B"/>
    <w:rsid w:val="007A7727"/>
    <w:rsid w:val="007A7975"/>
    <w:rsid w:val="007B03B1"/>
    <w:rsid w:val="007B0D43"/>
    <w:rsid w:val="007B0D88"/>
    <w:rsid w:val="007B15B1"/>
    <w:rsid w:val="007B1BFA"/>
    <w:rsid w:val="007B2CB1"/>
    <w:rsid w:val="007B338E"/>
    <w:rsid w:val="007B35D5"/>
    <w:rsid w:val="007B622D"/>
    <w:rsid w:val="007B78CF"/>
    <w:rsid w:val="007B7D33"/>
    <w:rsid w:val="007C08B7"/>
    <w:rsid w:val="007C134F"/>
    <w:rsid w:val="007C3077"/>
    <w:rsid w:val="007C4EEA"/>
    <w:rsid w:val="007C7CE6"/>
    <w:rsid w:val="007D04F3"/>
    <w:rsid w:val="007D197F"/>
    <w:rsid w:val="007D2043"/>
    <w:rsid w:val="007D25F0"/>
    <w:rsid w:val="007D2EB2"/>
    <w:rsid w:val="007D32C5"/>
    <w:rsid w:val="007D6D5A"/>
    <w:rsid w:val="007D6DE2"/>
    <w:rsid w:val="007E090D"/>
    <w:rsid w:val="007E4CA5"/>
    <w:rsid w:val="007E6F8B"/>
    <w:rsid w:val="007F071B"/>
    <w:rsid w:val="007F0BBB"/>
    <w:rsid w:val="007F2EDB"/>
    <w:rsid w:val="007F4EEE"/>
    <w:rsid w:val="007F5CA3"/>
    <w:rsid w:val="007F6CD2"/>
    <w:rsid w:val="007F6EA1"/>
    <w:rsid w:val="00800949"/>
    <w:rsid w:val="00801964"/>
    <w:rsid w:val="00801CFE"/>
    <w:rsid w:val="00802AAC"/>
    <w:rsid w:val="00802ADE"/>
    <w:rsid w:val="00802C77"/>
    <w:rsid w:val="008039C0"/>
    <w:rsid w:val="00805100"/>
    <w:rsid w:val="00806AE8"/>
    <w:rsid w:val="0081144E"/>
    <w:rsid w:val="00811A5E"/>
    <w:rsid w:val="00812965"/>
    <w:rsid w:val="00812E4C"/>
    <w:rsid w:val="00812FCE"/>
    <w:rsid w:val="00813962"/>
    <w:rsid w:val="00814614"/>
    <w:rsid w:val="00814986"/>
    <w:rsid w:val="00816255"/>
    <w:rsid w:val="00816292"/>
    <w:rsid w:val="00817DE5"/>
    <w:rsid w:val="00823BE0"/>
    <w:rsid w:val="00824E1D"/>
    <w:rsid w:val="008252A5"/>
    <w:rsid w:val="008254D0"/>
    <w:rsid w:val="00826902"/>
    <w:rsid w:val="00826C49"/>
    <w:rsid w:val="00830480"/>
    <w:rsid w:val="008312CA"/>
    <w:rsid w:val="00832552"/>
    <w:rsid w:val="0083301B"/>
    <w:rsid w:val="0083437C"/>
    <w:rsid w:val="00834E61"/>
    <w:rsid w:val="00837EB1"/>
    <w:rsid w:val="00841218"/>
    <w:rsid w:val="00842DE6"/>
    <w:rsid w:val="008442C0"/>
    <w:rsid w:val="0084670E"/>
    <w:rsid w:val="00850905"/>
    <w:rsid w:val="00850BBA"/>
    <w:rsid w:val="0085212F"/>
    <w:rsid w:val="00854705"/>
    <w:rsid w:val="008564A2"/>
    <w:rsid w:val="00856B95"/>
    <w:rsid w:val="008602ED"/>
    <w:rsid w:val="00860BF0"/>
    <w:rsid w:val="00861CC5"/>
    <w:rsid w:val="00862927"/>
    <w:rsid w:val="00862EB6"/>
    <w:rsid w:val="008647C9"/>
    <w:rsid w:val="008654EE"/>
    <w:rsid w:val="008660A1"/>
    <w:rsid w:val="008674F9"/>
    <w:rsid w:val="0086771C"/>
    <w:rsid w:val="0087058B"/>
    <w:rsid w:val="00870726"/>
    <w:rsid w:val="00873D87"/>
    <w:rsid w:val="00874FEA"/>
    <w:rsid w:val="00875A26"/>
    <w:rsid w:val="00875FAA"/>
    <w:rsid w:val="008760FE"/>
    <w:rsid w:val="008763F3"/>
    <w:rsid w:val="008768CF"/>
    <w:rsid w:val="00876EA4"/>
    <w:rsid w:val="00876FBE"/>
    <w:rsid w:val="00877CD7"/>
    <w:rsid w:val="00880F4A"/>
    <w:rsid w:val="008818FC"/>
    <w:rsid w:val="0088268D"/>
    <w:rsid w:val="00882CEA"/>
    <w:rsid w:val="008830B3"/>
    <w:rsid w:val="008831C0"/>
    <w:rsid w:val="008844EE"/>
    <w:rsid w:val="00884E80"/>
    <w:rsid w:val="00885B90"/>
    <w:rsid w:val="008872B3"/>
    <w:rsid w:val="00891457"/>
    <w:rsid w:val="0089460E"/>
    <w:rsid w:val="00894AC4"/>
    <w:rsid w:val="008A080D"/>
    <w:rsid w:val="008A0E4B"/>
    <w:rsid w:val="008A0E68"/>
    <w:rsid w:val="008A24D0"/>
    <w:rsid w:val="008A24E8"/>
    <w:rsid w:val="008A2856"/>
    <w:rsid w:val="008A2A31"/>
    <w:rsid w:val="008A3044"/>
    <w:rsid w:val="008A3146"/>
    <w:rsid w:val="008A41B7"/>
    <w:rsid w:val="008A425A"/>
    <w:rsid w:val="008A4604"/>
    <w:rsid w:val="008A52B8"/>
    <w:rsid w:val="008A59CD"/>
    <w:rsid w:val="008A6656"/>
    <w:rsid w:val="008A6EDC"/>
    <w:rsid w:val="008A6F5F"/>
    <w:rsid w:val="008B0A3C"/>
    <w:rsid w:val="008B1297"/>
    <w:rsid w:val="008B18E0"/>
    <w:rsid w:val="008B199E"/>
    <w:rsid w:val="008B3436"/>
    <w:rsid w:val="008B3D53"/>
    <w:rsid w:val="008B4151"/>
    <w:rsid w:val="008C2245"/>
    <w:rsid w:val="008C2D02"/>
    <w:rsid w:val="008C37BF"/>
    <w:rsid w:val="008C3F00"/>
    <w:rsid w:val="008D0BE1"/>
    <w:rsid w:val="008D259D"/>
    <w:rsid w:val="008D3D36"/>
    <w:rsid w:val="008D3EC4"/>
    <w:rsid w:val="008D4084"/>
    <w:rsid w:val="008D41C5"/>
    <w:rsid w:val="008D613E"/>
    <w:rsid w:val="008D7825"/>
    <w:rsid w:val="008E0344"/>
    <w:rsid w:val="008E3E67"/>
    <w:rsid w:val="008E5733"/>
    <w:rsid w:val="008E5BDC"/>
    <w:rsid w:val="008E5EF8"/>
    <w:rsid w:val="008F0380"/>
    <w:rsid w:val="008F1B81"/>
    <w:rsid w:val="008F2105"/>
    <w:rsid w:val="008F2C36"/>
    <w:rsid w:val="008F3FBE"/>
    <w:rsid w:val="008F4D57"/>
    <w:rsid w:val="008F6133"/>
    <w:rsid w:val="008F6E60"/>
    <w:rsid w:val="00900B34"/>
    <w:rsid w:val="00900D30"/>
    <w:rsid w:val="00900EA0"/>
    <w:rsid w:val="00901AEB"/>
    <w:rsid w:val="0090223B"/>
    <w:rsid w:val="00902C61"/>
    <w:rsid w:val="0090482A"/>
    <w:rsid w:val="00904AEF"/>
    <w:rsid w:val="009057DC"/>
    <w:rsid w:val="00907F91"/>
    <w:rsid w:val="0091092D"/>
    <w:rsid w:val="009138BE"/>
    <w:rsid w:val="00914137"/>
    <w:rsid w:val="00916B98"/>
    <w:rsid w:val="009174AB"/>
    <w:rsid w:val="00917A7A"/>
    <w:rsid w:val="00917CE5"/>
    <w:rsid w:val="00920CEE"/>
    <w:rsid w:val="00921EEF"/>
    <w:rsid w:val="00923C52"/>
    <w:rsid w:val="00925D00"/>
    <w:rsid w:val="009262AD"/>
    <w:rsid w:val="009265D3"/>
    <w:rsid w:val="00926EC0"/>
    <w:rsid w:val="00930ECB"/>
    <w:rsid w:val="00932ED1"/>
    <w:rsid w:val="009330DF"/>
    <w:rsid w:val="00933DEE"/>
    <w:rsid w:val="0093575B"/>
    <w:rsid w:val="00935BA3"/>
    <w:rsid w:val="00936C2C"/>
    <w:rsid w:val="00940255"/>
    <w:rsid w:val="009408E3"/>
    <w:rsid w:val="00941C44"/>
    <w:rsid w:val="00942100"/>
    <w:rsid w:val="009429FC"/>
    <w:rsid w:val="00943C7A"/>
    <w:rsid w:val="009440D7"/>
    <w:rsid w:val="009442BF"/>
    <w:rsid w:val="009443A0"/>
    <w:rsid w:val="00944D2A"/>
    <w:rsid w:val="0094570B"/>
    <w:rsid w:val="00947179"/>
    <w:rsid w:val="00947B49"/>
    <w:rsid w:val="00947D34"/>
    <w:rsid w:val="00947E97"/>
    <w:rsid w:val="00950BD8"/>
    <w:rsid w:val="00950C5C"/>
    <w:rsid w:val="00951CCF"/>
    <w:rsid w:val="0095611D"/>
    <w:rsid w:val="009566EA"/>
    <w:rsid w:val="00957BEE"/>
    <w:rsid w:val="009612CE"/>
    <w:rsid w:val="0096148F"/>
    <w:rsid w:val="009618A6"/>
    <w:rsid w:val="00964341"/>
    <w:rsid w:val="009656DF"/>
    <w:rsid w:val="009677ED"/>
    <w:rsid w:val="00967C18"/>
    <w:rsid w:val="00967E9F"/>
    <w:rsid w:val="00967FD7"/>
    <w:rsid w:val="00972045"/>
    <w:rsid w:val="00972D29"/>
    <w:rsid w:val="00973691"/>
    <w:rsid w:val="00974DFA"/>
    <w:rsid w:val="00976E21"/>
    <w:rsid w:val="00976ED7"/>
    <w:rsid w:val="00977221"/>
    <w:rsid w:val="009772BB"/>
    <w:rsid w:val="00977461"/>
    <w:rsid w:val="0098056F"/>
    <w:rsid w:val="00980823"/>
    <w:rsid w:val="00991E9D"/>
    <w:rsid w:val="00993E2E"/>
    <w:rsid w:val="00994BE2"/>
    <w:rsid w:val="00996F13"/>
    <w:rsid w:val="00997514"/>
    <w:rsid w:val="009A29A2"/>
    <w:rsid w:val="009A2B10"/>
    <w:rsid w:val="009A3768"/>
    <w:rsid w:val="009A3D4B"/>
    <w:rsid w:val="009B1720"/>
    <w:rsid w:val="009B1C99"/>
    <w:rsid w:val="009B1E1E"/>
    <w:rsid w:val="009B341F"/>
    <w:rsid w:val="009B345A"/>
    <w:rsid w:val="009B3EFA"/>
    <w:rsid w:val="009B4B0B"/>
    <w:rsid w:val="009B69CA"/>
    <w:rsid w:val="009B6E9F"/>
    <w:rsid w:val="009B7F6D"/>
    <w:rsid w:val="009C0127"/>
    <w:rsid w:val="009C073E"/>
    <w:rsid w:val="009C3FDE"/>
    <w:rsid w:val="009C4341"/>
    <w:rsid w:val="009C5389"/>
    <w:rsid w:val="009C551E"/>
    <w:rsid w:val="009C56E8"/>
    <w:rsid w:val="009C6C13"/>
    <w:rsid w:val="009D1A11"/>
    <w:rsid w:val="009D24F7"/>
    <w:rsid w:val="009D25A5"/>
    <w:rsid w:val="009D27E8"/>
    <w:rsid w:val="009D3E22"/>
    <w:rsid w:val="009D6797"/>
    <w:rsid w:val="009D76E4"/>
    <w:rsid w:val="009E02E8"/>
    <w:rsid w:val="009E08C6"/>
    <w:rsid w:val="009E1270"/>
    <w:rsid w:val="009E1BC7"/>
    <w:rsid w:val="009E22E3"/>
    <w:rsid w:val="009E3184"/>
    <w:rsid w:val="009E3F50"/>
    <w:rsid w:val="009E432C"/>
    <w:rsid w:val="009E4608"/>
    <w:rsid w:val="009E4872"/>
    <w:rsid w:val="009E5844"/>
    <w:rsid w:val="009E61C2"/>
    <w:rsid w:val="009E72DC"/>
    <w:rsid w:val="009E76B6"/>
    <w:rsid w:val="009F20B8"/>
    <w:rsid w:val="009F3160"/>
    <w:rsid w:val="009F4ED2"/>
    <w:rsid w:val="009F5A67"/>
    <w:rsid w:val="009F67E5"/>
    <w:rsid w:val="009F6893"/>
    <w:rsid w:val="00A0077A"/>
    <w:rsid w:val="00A02E8A"/>
    <w:rsid w:val="00A02F57"/>
    <w:rsid w:val="00A03072"/>
    <w:rsid w:val="00A033E3"/>
    <w:rsid w:val="00A06762"/>
    <w:rsid w:val="00A06E6E"/>
    <w:rsid w:val="00A06EFC"/>
    <w:rsid w:val="00A07A2A"/>
    <w:rsid w:val="00A10ACE"/>
    <w:rsid w:val="00A13D6C"/>
    <w:rsid w:val="00A157E9"/>
    <w:rsid w:val="00A15EB0"/>
    <w:rsid w:val="00A1649A"/>
    <w:rsid w:val="00A16987"/>
    <w:rsid w:val="00A1734E"/>
    <w:rsid w:val="00A218EE"/>
    <w:rsid w:val="00A21B28"/>
    <w:rsid w:val="00A21FD6"/>
    <w:rsid w:val="00A2489A"/>
    <w:rsid w:val="00A24B8C"/>
    <w:rsid w:val="00A26611"/>
    <w:rsid w:val="00A27C8C"/>
    <w:rsid w:val="00A30525"/>
    <w:rsid w:val="00A30867"/>
    <w:rsid w:val="00A30F1B"/>
    <w:rsid w:val="00A31A74"/>
    <w:rsid w:val="00A32295"/>
    <w:rsid w:val="00A32C4A"/>
    <w:rsid w:val="00A32E19"/>
    <w:rsid w:val="00A34E47"/>
    <w:rsid w:val="00A37D42"/>
    <w:rsid w:val="00A403A7"/>
    <w:rsid w:val="00A40453"/>
    <w:rsid w:val="00A406FD"/>
    <w:rsid w:val="00A40AAF"/>
    <w:rsid w:val="00A41768"/>
    <w:rsid w:val="00A41789"/>
    <w:rsid w:val="00A4476E"/>
    <w:rsid w:val="00A46902"/>
    <w:rsid w:val="00A46934"/>
    <w:rsid w:val="00A46937"/>
    <w:rsid w:val="00A46EB3"/>
    <w:rsid w:val="00A47358"/>
    <w:rsid w:val="00A50631"/>
    <w:rsid w:val="00A51070"/>
    <w:rsid w:val="00A51A9B"/>
    <w:rsid w:val="00A5224F"/>
    <w:rsid w:val="00A550E0"/>
    <w:rsid w:val="00A56C6C"/>
    <w:rsid w:val="00A56CB7"/>
    <w:rsid w:val="00A56DB4"/>
    <w:rsid w:val="00A579F9"/>
    <w:rsid w:val="00A57CA9"/>
    <w:rsid w:val="00A6040F"/>
    <w:rsid w:val="00A60C42"/>
    <w:rsid w:val="00A61045"/>
    <w:rsid w:val="00A612D4"/>
    <w:rsid w:val="00A61856"/>
    <w:rsid w:val="00A61C81"/>
    <w:rsid w:val="00A620A2"/>
    <w:rsid w:val="00A62163"/>
    <w:rsid w:val="00A63FED"/>
    <w:rsid w:val="00A64173"/>
    <w:rsid w:val="00A6796B"/>
    <w:rsid w:val="00A71177"/>
    <w:rsid w:val="00A716D1"/>
    <w:rsid w:val="00A71984"/>
    <w:rsid w:val="00A7606A"/>
    <w:rsid w:val="00A8049B"/>
    <w:rsid w:val="00A80589"/>
    <w:rsid w:val="00A80AB6"/>
    <w:rsid w:val="00A81933"/>
    <w:rsid w:val="00A82388"/>
    <w:rsid w:val="00A82F36"/>
    <w:rsid w:val="00A84457"/>
    <w:rsid w:val="00A86C53"/>
    <w:rsid w:val="00A86DFE"/>
    <w:rsid w:val="00A87D8D"/>
    <w:rsid w:val="00A9092F"/>
    <w:rsid w:val="00A91B4B"/>
    <w:rsid w:val="00A92514"/>
    <w:rsid w:val="00A96624"/>
    <w:rsid w:val="00AA0303"/>
    <w:rsid w:val="00AA0A48"/>
    <w:rsid w:val="00AA297F"/>
    <w:rsid w:val="00AA29E4"/>
    <w:rsid w:val="00AA3284"/>
    <w:rsid w:val="00AA3353"/>
    <w:rsid w:val="00AA39DC"/>
    <w:rsid w:val="00AA5409"/>
    <w:rsid w:val="00AA54B1"/>
    <w:rsid w:val="00AA672C"/>
    <w:rsid w:val="00AB0E62"/>
    <w:rsid w:val="00AB28EE"/>
    <w:rsid w:val="00AB3027"/>
    <w:rsid w:val="00AB3593"/>
    <w:rsid w:val="00AB467C"/>
    <w:rsid w:val="00AB6068"/>
    <w:rsid w:val="00AB7C51"/>
    <w:rsid w:val="00AC0E8B"/>
    <w:rsid w:val="00AC1A66"/>
    <w:rsid w:val="00AC22CA"/>
    <w:rsid w:val="00AC38E0"/>
    <w:rsid w:val="00AC435D"/>
    <w:rsid w:val="00AC43A2"/>
    <w:rsid w:val="00AC5B21"/>
    <w:rsid w:val="00AC66A6"/>
    <w:rsid w:val="00AD13C4"/>
    <w:rsid w:val="00AD1810"/>
    <w:rsid w:val="00AD2420"/>
    <w:rsid w:val="00AD3541"/>
    <w:rsid w:val="00AD3F73"/>
    <w:rsid w:val="00AD6609"/>
    <w:rsid w:val="00AD7076"/>
    <w:rsid w:val="00AD7225"/>
    <w:rsid w:val="00AE2461"/>
    <w:rsid w:val="00AE2DAB"/>
    <w:rsid w:val="00AE566A"/>
    <w:rsid w:val="00AF20B1"/>
    <w:rsid w:val="00AF221E"/>
    <w:rsid w:val="00AF2971"/>
    <w:rsid w:val="00AF2BA5"/>
    <w:rsid w:val="00AF3CC1"/>
    <w:rsid w:val="00AF467B"/>
    <w:rsid w:val="00AF4832"/>
    <w:rsid w:val="00AF5714"/>
    <w:rsid w:val="00AF5743"/>
    <w:rsid w:val="00AF6396"/>
    <w:rsid w:val="00B017D7"/>
    <w:rsid w:val="00B01C6A"/>
    <w:rsid w:val="00B01D0E"/>
    <w:rsid w:val="00B037FC"/>
    <w:rsid w:val="00B03DC5"/>
    <w:rsid w:val="00B0559B"/>
    <w:rsid w:val="00B059B6"/>
    <w:rsid w:val="00B05DCC"/>
    <w:rsid w:val="00B067E2"/>
    <w:rsid w:val="00B06C79"/>
    <w:rsid w:val="00B06FF5"/>
    <w:rsid w:val="00B0733A"/>
    <w:rsid w:val="00B0758B"/>
    <w:rsid w:val="00B1040A"/>
    <w:rsid w:val="00B11C22"/>
    <w:rsid w:val="00B12271"/>
    <w:rsid w:val="00B13A9A"/>
    <w:rsid w:val="00B14487"/>
    <w:rsid w:val="00B15093"/>
    <w:rsid w:val="00B15ADD"/>
    <w:rsid w:val="00B16504"/>
    <w:rsid w:val="00B16B25"/>
    <w:rsid w:val="00B17022"/>
    <w:rsid w:val="00B20D76"/>
    <w:rsid w:val="00B20DF2"/>
    <w:rsid w:val="00B20ECF"/>
    <w:rsid w:val="00B2133F"/>
    <w:rsid w:val="00B21A68"/>
    <w:rsid w:val="00B22931"/>
    <w:rsid w:val="00B2297B"/>
    <w:rsid w:val="00B2298D"/>
    <w:rsid w:val="00B22C22"/>
    <w:rsid w:val="00B23220"/>
    <w:rsid w:val="00B30A57"/>
    <w:rsid w:val="00B32347"/>
    <w:rsid w:val="00B3379C"/>
    <w:rsid w:val="00B341F4"/>
    <w:rsid w:val="00B34725"/>
    <w:rsid w:val="00B34FAB"/>
    <w:rsid w:val="00B35E67"/>
    <w:rsid w:val="00B36298"/>
    <w:rsid w:val="00B408B7"/>
    <w:rsid w:val="00B41099"/>
    <w:rsid w:val="00B41599"/>
    <w:rsid w:val="00B448D4"/>
    <w:rsid w:val="00B44F45"/>
    <w:rsid w:val="00B45699"/>
    <w:rsid w:val="00B46233"/>
    <w:rsid w:val="00B462A9"/>
    <w:rsid w:val="00B47B33"/>
    <w:rsid w:val="00B5101B"/>
    <w:rsid w:val="00B5215D"/>
    <w:rsid w:val="00B55A02"/>
    <w:rsid w:val="00B57285"/>
    <w:rsid w:val="00B60095"/>
    <w:rsid w:val="00B60E41"/>
    <w:rsid w:val="00B629E3"/>
    <w:rsid w:val="00B6649C"/>
    <w:rsid w:val="00B67C37"/>
    <w:rsid w:val="00B700E5"/>
    <w:rsid w:val="00B710AC"/>
    <w:rsid w:val="00B71B67"/>
    <w:rsid w:val="00B732E2"/>
    <w:rsid w:val="00B755F9"/>
    <w:rsid w:val="00B76F97"/>
    <w:rsid w:val="00B778D4"/>
    <w:rsid w:val="00B77E25"/>
    <w:rsid w:val="00B82DCE"/>
    <w:rsid w:val="00B840AB"/>
    <w:rsid w:val="00B85143"/>
    <w:rsid w:val="00B85998"/>
    <w:rsid w:val="00B87381"/>
    <w:rsid w:val="00B9143A"/>
    <w:rsid w:val="00B92F1B"/>
    <w:rsid w:val="00B93C5B"/>
    <w:rsid w:val="00B95B7B"/>
    <w:rsid w:val="00B96779"/>
    <w:rsid w:val="00BA1942"/>
    <w:rsid w:val="00BA359E"/>
    <w:rsid w:val="00BA4658"/>
    <w:rsid w:val="00BB372B"/>
    <w:rsid w:val="00BB3FF0"/>
    <w:rsid w:val="00BB7ADA"/>
    <w:rsid w:val="00BC1EEA"/>
    <w:rsid w:val="00BC42DE"/>
    <w:rsid w:val="00BC5A86"/>
    <w:rsid w:val="00BC6093"/>
    <w:rsid w:val="00BD103B"/>
    <w:rsid w:val="00BD16A3"/>
    <w:rsid w:val="00BD1882"/>
    <w:rsid w:val="00BD3A85"/>
    <w:rsid w:val="00BD40B0"/>
    <w:rsid w:val="00BD4A12"/>
    <w:rsid w:val="00BD6FF8"/>
    <w:rsid w:val="00BD74BF"/>
    <w:rsid w:val="00BD74C7"/>
    <w:rsid w:val="00BE10A8"/>
    <w:rsid w:val="00BE2EAE"/>
    <w:rsid w:val="00BE4255"/>
    <w:rsid w:val="00BE49ED"/>
    <w:rsid w:val="00BE6659"/>
    <w:rsid w:val="00BE6C39"/>
    <w:rsid w:val="00BF0DB1"/>
    <w:rsid w:val="00BF0FD9"/>
    <w:rsid w:val="00BF2DE3"/>
    <w:rsid w:val="00BF3B1F"/>
    <w:rsid w:val="00BF4007"/>
    <w:rsid w:val="00C00552"/>
    <w:rsid w:val="00C01DBE"/>
    <w:rsid w:val="00C03B08"/>
    <w:rsid w:val="00C04610"/>
    <w:rsid w:val="00C05566"/>
    <w:rsid w:val="00C055EB"/>
    <w:rsid w:val="00C056D1"/>
    <w:rsid w:val="00C07A82"/>
    <w:rsid w:val="00C07DCE"/>
    <w:rsid w:val="00C113BD"/>
    <w:rsid w:val="00C11C62"/>
    <w:rsid w:val="00C12B77"/>
    <w:rsid w:val="00C13361"/>
    <w:rsid w:val="00C1339D"/>
    <w:rsid w:val="00C16018"/>
    <w:rsid w:val="00C161FC"/>
    <w:rsid w:val="00C23791"/>
    <w:rsid w:val="00C26D9B"/>
    <w:rsid w:val="00C31560"/>
    <w:rsid w:val="00C3170A"/>
    <w:rsid w:val="00C325DD"/>
    <w:rsid w:val="00C32D07"/>
    <w:rsid w:val="00C3311F"/>
    <w:rsid w:val="00C34524"/>
    <w:rsid w:val="00C3586B"/>
    <w:rsid w:val="00C37EA0"/>
    <w:rsid w:val="00C41016"/>
    <w:rsid w:val="00C43E06"/>
    <w:rsid w:val="00C45696"/>
    <w:rsid w:val="00C46460"/>
    <w:rsid w:val="00C474A1"/>
    <w:rsid w:val="00C476FD"/>
    <w:rsid w:val="00C47A97"/>
    <w:rsid w:val="00C50072"/>
    <w:rsid w:val="00C51020"/>
    <w:rsid w:val="00C51A0E"/>
    <w:rsid w:val="00C5252D"/>
    <w:rsid w:val="00C5270F"/>
    <w:rsid w:val="00C5530B"/>
    <w:rsid w:val="00C56128"/>
    <w:rsid w:val="00C5676D"/>
    <w:rsid w:val="00C60C9F"/>
    <w:rsid w:val="00C61899"/>
    <w:rsid w:val="00C619B8"/>
    <w:rsid w:val="00C64105"/>
    <w:rsid w:val="00C650DF"/>
    <w:rsid w:val="00C653DF"/>
    <w:rsid w:val="00C65CF0"/>
    <w:rsid w:val="00C66264"/>
    <w:rsid w:val="00C70565"/>
    <w:rsid w:val="00C728C9"/>
    <w:rsid w:val="00C72FB5"/>
    <w:rsid w:val="00C74637"/>
    <w:rsid w:val="00C758FB"/>
    <w:rsid w:val="00C76CC2"/>
    <w:rsid w:val="00C7780A"/>
    <w:rsid w:val="00C81764"/>
    <w:rsid w:val="00C82017"/>
    <w:rsid w:val="00C83119"/>
    <w:rsid w:val="00C839F6"/>
    <w:rsid w:val="00C842DA"/>
    <w:rsid w:val="00C8447F"/>
    <w:rsid w:val="00C847AC"/>
    <w:rsid w:val="00C847F5"/>
    <w:rsid w:val="00C85FF5"/>
    <w:rsid w:val="00C866BE"/>
    <w:rsid w:val="00C866C2"/>
    <w:rsid w:val="00C9023A"/>
    <w:rsid w:val="00C91CF2"/>
    <w:rsid w:val="00C9451C"/>
    <w:rsid w:val="00C964BB"/>
    <w:rsid w:val="00C96582"/>
    <w:rsid w:val="00C97589"/>
    <w:rsid w:val="00CA032D"/>
    <w:rsid w:val="00CA2336"/>
    <w:rsid w:val="00CA3B1D"/>
    <w:rsid w:val="00CA4779"/>
    <w:rsid w:val="00CA59B1"/>
    <w:rsid w:val="00CA697E"/>
    <w:rsid w:val="00CA69E5"/>
    <w:rsid w:val="00CA6BAC"/>
    <w:rsid w:val="00CB28FA"/>
    <w:rsid w:val="00CB3233"/>
    <w:rsid w:val="00CB3D4B"/>
    <w:rsid w:val="00CB3F0D"/>
    <w:rsid w:val="00CB474A"/>
    <w:rsid w:val="00CB475B"/>
    <w:rsid w:val="00CB552D"/>
    <w:rsid w:val="00CB64D7"/>
    <w:rsid w:val="00CB7488"/>
    <w:rsid w:val="00CC0A45"/>
    <w:rsid w:val="00CC1FE4"/>
    <w:rsid w:val="00CC2403"/>
    <w:rsid w:val="00CC35D0"/>
    <w:rsid w:val="00CC5038"/>
    <w:rsid w:val="00CC7BDB"/>
    <w:rsid w:val="00CD04DB"/>
    <w:rsid w:val="00CD0629"/>
    <w:rsid w:val="00CD1937"/>
    <w:rsid w:val="00CD2746"/>
    <w:rsid w:val="00CD3323"/>
    <w:rsid w:val="00CD3CE8"/>
    <w:rsid w:val="00CD3E34"/>
    <w:rsid w:val="00CD4E44"/>
    <w:rsid w:val="00CD531B"/>
    <w:rsid w:val="00CD640E"/>
    <w:rsid w:val="00CE0186"/>
    <w:rsid w:val="00CE03D8"/>
    <w:rsid w:val="00CE1AEC"/>
    <w:rsid w:val="00CE1BD2"/>
    <w:rsid w:val="00CE2D4D"/>
    <w:rsid w:val="00CE37EE"/>
    <w:rsid w:val="00CE3F5F"/>
    <w:rsid w:val="00CE5419"/>
    <w:rsid w:val="00CE5A3A"/>
    <w:rsid w:val="00CE5C69"/>
    <w:rsid w:val="00CE5F9A"/>
    <w:rsid w:val="00CE6538"/>
    <w:rsid w:val="00CE73AB"/>
    <w:rsid w:val="00CE7F3A"/>
    <w:rsid w:val="00CF04A5"/>
    <w:rsid w:val="00CF1A8A"/>
    <w:rsid w:val="00CF37CB"/>
    <w:rsid w:val="00CF4B93"/>
    <w:rsid w:val="00CF711D"/>
    <w:rsid w:val="00CF7DD1"/>
    <w:rsid w:val="00D001E9"/>
    <w:rsid w:val="00D03AB1"/>
    <w:rsid w:val="00D047E3"/>
    <w:rsid w:val="00D04A5D"/>
    <w:rsid w:val="00D069F3"/>
    <w:rsid w:val="00D10081"/>
    <w:rsid w:val="00D12CB9"/>
    <w:rsid w:val="00D1364F"/>
    <w:rsid w:val="00D13B1F"/>
    <w:rsid w:val="00D15A49"/>
    <w:rsid w:val="00D15D86"/>
    <w:rsid w:val="00D16770"/>
    <w:rsid w:val="00D21619"/>
    <w:rsid w:val="00D236DA"/>
    <w:rsid w:val="00D2677C"/>
    <w:rsid w:val="00D2734C"/>
    <w:rsid w:val="00D309B5"/>
    <w:rsid w:val="00D30E41"/>
    <w:rsid w:val="00D31183"/>
    <w:rsid w:val="00D31537"/>
    <w:rsid w:val="00D32E1C"/>
    <w:rsid w:val="00D32F16"/>
    <w:rsid w:val="00D32FF6"/>
    <w:rsid w:val="00D347B8"/>
    <w:rsid w:val="00D34BBC"/>
    <w:rsid w:val="00D40B5F"/>
    <w:rsid w:val="00D40CE8"/>
    <w:rsid w:val="00D42329"/>
    <w:rsid w:val="00D426C9"/>
    <w:rsid w:val="00D42727"/>
    <w:rsid w:val="00D437C2"/>
    <w:rsid w:val="00D43BD8"/>
    <w:rsid w:val="00D47E5A"/>
    <w:rsid w:val="00D508C5"/>
    <w:rsid w:val="00D509B3"/>
    <w:rsid w:val="00D51800"/>
    <w:rsid w:val="00D51A57"/>
    <w:rsid w:val="00D52454"/>
    <w:rsid w:val="00D55E2C"/>
    <w:rsid w:val="00D56CA1"/>
    <w:rsid w:val="00D56E54"/>
    <w:rsid w:val="00D579FB"/>
    <w:rsid w:val="00D65A5E"/>
    <w:rsid w:val="00D66321"/>
    <w:rsid w:val="00D667E6"/>
    <w:rsid w:val="00D679D0"/>
    <w:rsid w:val="00D67A0C"/>
    <w:rsid w:val="00D67F7B"/>
    <w:rsid w:val="00D718F2"/>
    <w:rsid w:val="00D7264B"/>
    <w:rsid w:val="00D72689"/>
    <w:rsid w:val="00D72690"/>
    <w:rsid w:val="00D7531D"/>
    <w:rsid w:val="00D75573"/>
    <w:rsid w:val="00D75AF6"/>
    <w:rsid w:val="00D76B9E"/>
    <w:rsid w:val="00D80784"/>
    <w:rsid w:val="00D81D4E"/>
    <w:rsid w:val="00D82501"/>
    <w:rsid w:val="00D83DD2"/>
    <w:rsid w:val="00D841F7"/>
    <w:rsid w:val="00D8429F"/>
    <w:rsid w:val="00D845FE"/>
    <w:rsid w:val="00D8565C"/>
    <w:rsid w:val="00D85F67"/>
    <w:rsid w:val="00D86469"/>
    <w:rsid w:val="00D868E6"/>
    <w:rsid w:val="00D8765B"/>
    <w:rsid w:val="00D91617"/>
    <w:rsid w:val="00D92230"/>
    <w:rsid w:val="00D93041"/>
    <w:rsid w:val="00D96235"/>
    <w:rsid w:val="00D9781D"/>
    <w:rsid w:val="00DA0D80"/>
    <w:rsid w:val="00DA4D04"/>
    <w:rsid w:val="00DA5CA1"/>
    <w:rsid w:val="00DA70C6"/>
    <w:rsid w:val="00DA7BC7"/>
    <w:rsid w:val="00DB0498"/>
    <w:rsid w:val="00DB18C7"/>
    <w:rsid w:val="00DB1BD0"/>
    <w:rsid w:val="00DB2101"/>
    <w:rsid w:val="00DB22F8"/>
    <w:rsid w:val="00DB2DE7"/>
    <w:rsid w:val="00DB3027"/>
    <w:rsid w:val="00DB4081"/>
    <w:rsid w:val="00DB4333"/>
    <w:rsid w:val="00DB4794"/>
    <w:rsid w:val="00DB5CFD"/>
    <w:rsid w:val="00DB5E17"/>
    <w:rsid w:val="00DB667A"/>
    <w:rsid w:val="00DB73E5"/>
    <w:rsid w:val="00DB7516"/>
    <w:rsid w:val="00DC13E3"/>
    <w:rsid w:val="00DC1ABA"/>
    <w:rsid w:val="00DC1BF9"/>
    <w:rsid w:val="00DC369A"/>
    <w:rsid w:val="00DC3E41"/>
    <w:rsid w:val="00DC4BE7"/>
    <w:rsid w:val="00DC638F"/>
    <w:rsid w:val="00DC7E8B"/>
    <w:rsid w:val="00DC7F0C"/>
    <w:rsid w:val="00DD00F4"/>
    <w:rsid w:val="00DD140E"/>
    <w:rsid w:val="00DD145F"/>
    <w:rsid w:val="00DD1F55"/>
    <w:rsid w:val="00DD3FF0"/>
    <w:rsid w:val="00DD6004"/>
    <w:rsid w:val="00DD6B9E"/>
    <w:rsid w:val="00DD7C0B"/>
    <w:rsid w:val="00DE0055"/>
    <w:rsid w:val="00DE0746"/>
    <w:rsid w:val="00DE13E8"/>
    <w:rsid w:val="00DE1A0D"/>
    <w:rsid w:val="00DE1B47"/>
    <w:rsid w:val="00DE1BBD"/>
    <w:rsid w:val="00DE3993"/>
    <w:rsid w:val="00DE453F"/>
    <w:rsid w:val="00DE5885"/>
    <w:rsid w:val="00DE7F3C"/>
    <w:rsid w:val="00DF13D5"/>
    <w:rsid w:val="00DF234A"/>
    <w:rsid w:val="00DF28DA"/>
    <w:rsid w:val="00DF2B9F"/>
    <w:rsid w:val="00DF3253"/>
    <w:rsid w:val="00DF4240"/>
    <w:rsid w:val="00DF4A59"/>
    <w:rsid w:val="00DF4EED"/>
    <w:rsid w:val="00DF51DD"/>
    <w:rsid w:val="00DF6570"/>
    <w:rsid w:val="00DF750A"/>
    <w:rsid w:val="00E01297"/>
    <w:rsid w:val="00E02050"/>
    <w:rsid w:val="00E02FBC"/>
    <w:rsid w:val="00E0356B"/>
    <w:rsid w:val="00E03CD4"/>
    <w:rsid w:val="00E03EC9"/>
    <w:rsid w:val="00E046BE"/>
    <w:rsid w:val="00E048D6"/>
    <w:rsid w:val="00E07C79"/>
    <w:rsid w:val="00E10723"/>
    <w:rsid w:val="00E11887"/>
    <w:rsid w:val="00E147BA"/>
    <w:rsid w:val="00E14CD9"/>
    <w:rsid w:val="00E165F5"/>
    <w:rsid w:val="00E1790D"/>
    <w:rsid w:val="00E17991"/>
    <w:rsid w:val="00E213EE"/>
    <w:rsid w:val="00E21938"/>
    <w:rsid w:val="00E21EA8"/>
    <w:rsid w:val="00E22AC4"/>
    <w:rsid w:val="00E265D4"/>
    <w:rsid w:val="00E27A43"/>
    <w:rsid w:val="00E27B5A"/>
    <w:rsid w:val="00E31396"/>
    <w:rsid w:val="00E32874"/>
    <w:rsid w:val="00E338C2"/>
    <w:rsid w:val="00E355FB"/>
    <w:rsid w:val="00E37787"/>
    <w:rsid w:val="00E378D0"/>
    <w:rsid w:val="00E409AA"/>
    <w:rsid w:val="00E41A86"/>
    <w:rsid w:val="00E420F2"/>
    <w:rsid w:val="00E43A26"/>
    <w:rsid w:val="00E441D6"/>
    <w:rsid w:val="00E4596A"/>
    <w:rsid w:val="00E4641A"/>
    <w:rsid w:val="00E46952"/>
    <w:rsid w:val="00E46BC7"/>
    <w:rsid w:val="00E51039"/>
    <w:rsid w:val="00E51C9D"/>
    <w:rsid w:val="00E51F12"/>
    <w:rsid w:val="00E52226"/>
    <w:rsid w:val="00E539E0"/>
    <w:rsid w:val="00E53C42"/>
    <w:rsid w:val="00E5539B"/>
    <w:rsid w:val="00E55AB7"/>
    <w:rsid w:val="00E60821"/>
    <w:rsid w:val="00E60CCB"/>
    <w:rsid w:val="00E60FD0"/>
    <w:rsid w:val="00E610FB"/>
    <w:rsid w:val="00E63B46"/>
    <w:rsid w:val="00E64A8C"/>
    <w:rsid w:val="00E64BF2"/>
    <w:rsid w:val="00E65746"/>
    <w:rsid w:val="00E66C2B"/>
    <w:rsid w:val="00E672DA"/>
    <w:rsid w:val="00E7171A"/>
    <w:rsid w:val="00E719B5"/>
    <w:rsid w:val="00E73809"/>
    <w:rsid w:val="00E74C6A"/>
    <w:rsid w:val="00E74FD2"/>
    <w:rsid w:val="00E7791B"/>
    <w:rsid w:val="00E779CE"/>
    <w:rsid w:val="00E80748"/>
    <w:rsid w:val="00E81D33"/>
    <w:rsid w:val="00E82CC4"/>
    <w:rsid w:val="00E83E8F"/>
    <w:rsid w:val="00E86DDF"/>
    <w:rsid w:val="00E91C09"/>
    <w:rsid w:val="00E94E73"/>
    <w:rsid w:val="00E951D2"/>
    <w:rsid w:val="00E957BE"/>
    <w:rsid w:val="00E974BF"/>
    <w:rsid w:val="00E97712"/>
    <w:rsid w:val="00E979DB"/>
    <w:rsid w:val="00E97B31"/>
    <w:rsid w:val="00EA0EA0"/>
    <w:rsid w:val="00EA2110"/>
    <w:rsid w:val="00EA22BD"/>
    <w:rsid w:val="00EA2CF6"/>
    <w:rsid w:val="00EA2DF3"/>
    <w:rsid w:val="00EA4188"/>
    <w:rsid w:val="00EA6019"/>
    <w:rsid w:val="00EA7643"/>
    <w:rsid w:val="00EA7712"/>
    <w:rsid w:val="00EA7E2E"/>
    <w:rsid w:val="00EB1177"/>
    <w:rsid w:val="00EB2013"/>
    <w:rsid w:val="00EB23A2"/>
    <w:rsid w:val="00EB39EB"/>
    <w:rsid w:val="00EB4391"/>
    <w:rsid w:val="00EB5A10"/>
    <w:rsid w:val="00EB77F9"/>
    <w:rsid w:val="00EC06DE"/>
    <w:rsid w:val="00EC08F0"/>
    <w:rsid w:val="00EC0F61"/>
    <w:rsid w:val="00EC1797"/>
    <w:rsid w:val="00EC25B0"/>
    <w:rsid w:val="00EC679A"/>
    <w:rsid w:val="00EC6C25"/>
    <w:rsid w:val="00ED634E"/>
    <w:rsid w:val="00ED7DF1"/>
    <w:rsid w:val="00EE00AF"/>
    <w:rsid w:val="00EE0963"/>
    <w:rsid w:val="00EE0ADD"/>
    <w:rsid w:val="00EE2150"/>
    <w:rsid w:val="00EE32AB"/>
    <w:rsid w:val="00EE3987"/>
    <w:rsid w:val="00EE39FC"/>
    <w:rsid w:val="00EE48D0"/>
    <w:rsid w:val="00EE496A"/>
    <w:rsid w:val="00EE5046"/>
    <w:rsid w:val="00EE616A"/>
    <w:rsid w:val="00EE7077"/>
    <w:rsid w:val="00EE798C"/>
    <w:rsid w:val="00EF1E37"/>
    <w:rsid w:val="00EF1EF9"/>
    <w:rsid w:val="00EF46C6"/>
    <w:rsid w:val="00EF4B73"/>
    <w:rsid w:val="00EF4CBC"/>
    <w:rsid w:val="00F01226"/>
    <w:rsid w:val="00F016A4"/>
    <w:rsid w:val="00F02075"/>
    <w:rsid w:val="00F024BF"/>
    <w:rsid w:val="00F04898"/>
    <w:rsid w:val="00F05DDC"/>
    <w:rsid w:val="00F064AB"/>
    <w:rsid w:val="00F06D7F"/>
    <w:rsid w:val="00F070D8"/>
    <w:rsid w:val="00F0720C"/>
    <w:rsid w:val="00F07228"/>
    <w:rsid w:val="00F10ACD"/>
    <w:rsid w:val="00F11AA2"/>
    <w:rsid w:val="00F12BAB"/>
    <w:rsid w:val="00F132CD"/>
    <w:rsid w:val="00F1338D"/>
    <w:rsid w:val="00F13B88"/>
    <w:rsid w:val="00F13B93"/>
    <w:rsid w:val="00F13EA6"/>
    <w:rsid w:val="00F14283"/>
    <w:rsid w:val="00F14782"/>
    <w:rsid w:val="00F1591F"/>
    <w:rsid w:val="00F16CC9"/>
    <w:rsid w:val="00F17156"/>
    <w:rsid w:val="00F174D4"/>
    <w:rsid w:val="00F20D08"/>
    <w:rsid w:val="00F20F03"/>
    <w:rsid w:val="00F21BF4"/>
    <w:rsid w:val="00F22CFA"/>
    <w:rsid w:val="00F235B0"/>
    <w:rsid w:val="00F238E4"/>
    <w:rsid w:val="00F23C33"/>
    <w:rsid w:val="00F24A88"/>
    <w:rsid w:val="00F24EC7"/>
    <w:rsid w:val="00F25A51"/>
    <w:rsid w:val="00F25C00"/>
    <w:rsid w:val="00F2614F"/>
    <w:rsid w:val="00F2656B"/>
    <w:rsid w:val="00F26C53"/>
    <w:rsid w:val="00F2757A"/>
    <w:rsid w:val="00F32B8D"/>
    <w:rsid w:val="00F34C3A"/>
    <w:rsid w:val="00F34E38"/>
    <w:rsid w:val="00F41524"/>
    <w:rsid w:val="00F417DE"/>
    <w:rsid w:val="00F41B53"/>
    <w:rsid w:val="00F431AE"/>
    <w:rsid w:val="00F45259"/>
    <w:rsid w:val="00F47125"/>
    <w:rsid w:val="00F50746"/>
    <w:rsid w:val="00F5216C"/>
    <w:rsid w:val="00F543C6"/>
    <w:rsid w:val="00F55806"/>
    <w:rsid w:val="00F55A38"/>
    <w:rsid w:val="00F55D4A"/>
    <w:rsid w:val="00F569DC"/>
    <w:rsid w:val="00F56EB0"/>
    <w:rsid w:val="00F60EAA"/>
    <w:rsid w:val="00F6267F"/>
    <w:rsid w:val="00F631AF"/>
    <w:rsid w:val="00F6450F"/>
    <w:rsid w:val="00F64E0C"/>
    <w:rsid w:val="00F65090"/>
    <w:rsid w:val="00F651D8"/>
    <w:rsid w:val="00F6594F"/>
    <w:rsid w:val="00F7081C"/>
    <w:rsid w:val="00F70A2F"/>
    <w:rsid w:val="00F735C3"/>
    <w:rsid w:val="00F735EF"/>
    <w:rsid w:val="00F75E0D"/>
    <w:rsid w:val="00F76F84"/>
    <w:rsid w:val="00F77344"/>
    <w:rsid w:val="00F8179C"/>
    <w:rsid w:val="00F81A6E"/>
    <w:rsid w:val="00F84234"/>
    <w:rsid w:val="00F84322"/>
    <w:rsid w:val="00F85106"/>
    <w:rsid w:val="00F855B2"/>
    <w:rsid w:val="00F85A43"/>
    <w:rsid w:val="00F90267"/>
    <w:rsid w:val="00F90D94"/>
    <w:rsid w:val="00F921C5"/>
    <w:rsid w:val="00F956D1"/>
    <w:rsid w:val="00F9576C"/>
    <w:rsid w:val="00F9712E"/>
    <w:rsid w:val="00FA066A"/>
    <w:rsid w:val="00FA08C1"/>
    <w:rsid w:val="00FA5052"/>
    <w:rsid w:val="00FA5133"/>
    <w:rsid w:val="00FA5503"/>
    <w:rsid w:val="00FB04BC"/>
    <w:rsid w:val="00FB0EE1"/>
    <w:rsid w:val="00FB23F5"/>
    <w:rsid w:val="00FB25AA"/>
    <w:rsid w:val="00FB34A8"/>
    <w:rsid w:val="00FB6F47"/>
    <w:rsid w:val="00FC0628"/>
    <w:rsid w:val="00FC1059"/>
    <w:rsid w:val="00FC160B"/>
    <w:rsid w:val="00FC1C69"/>
    <w:rsid w:val="00FC238E"/>
    <w:rsid w:val="00FC30A1"/>
    <w:rsid w:val="00FC58D3"/>
    <w:rsid w:val="00FC5C04"/>
    <w:rsid w:val="00FC66D9"/>
    <w:rsid w:val="00FC76E4"/>
    <w:rsid w:val="00FC7987"/>
    <w:rsid w:val="00FC7BED"/>
    <w:rsid w:val="00FC7D9A"/>
    <w:rsid w:val="00FD1DDC"/>
    <w:rsid w:val="00FD1EBA"/>
    <w:rsid w:val="00FD23B9"/>
    <w:rsid w:val="00FD26A5"/>
    <w:rsid w:val="00FD26CD"/>
    <w:rsid w:val="00FD30E7"/>
    <w:rsid w:val="00FD32E5"/>
    <w:rsid w:val="00FD3D8B"/>
    <w:rsid w:val="00FD3F56"/>
    <w:rsid w:val="00FD47E0"/>
    <w:rsid w:val="00FE00CC"/>
    <w:rsid w:val="00FE1F9C"/>
    <w:rsid w:val="00FE22F0"/>
    <w:rsid w:val="00FE26DA"/>
    <w:rsid w:val="00FE5674"/>
    <w:rsid w:val="00FF0269"/>
    <w:rsid w:val="00FF0415"/>
    <w:rsid w:val="00FF18E2"/>
    <w:rsid w:val="00FF3408"/>
    <w:rsid w:val="00FF385E"/>
    <w:rsid w:val="00FF3A0A"/>
    <w:rsid w:val="00FF4D9B"/>
    <w:rsid w:val="00FF5C54"/>
    <w:rsid w:val="00FF731F"/>
    <w:rsid w:val="01050F22"/>
    <w:rsid w:val="01052B52"/>
    <w:rsid w:val="0109344D"/>
    <w:rsid w:val="01226240"/>
    <w:rsid w:val="01392792"/>
    <w:rsid w:val="01505F15"/>
    <w:rsid w:val="016E6B4C"/>
    <w:rsid w:val="01732FD2"/>
    <w:rsid w:val="017D0252"/>
    <w:rsid w:val="01D47BB1"/>
    <w:rsid w:val="02367707"/>
    <w:rsid w:val="02564B1B"/>
    <w:rsid w:val="025C49EE"/>
    <w:rsid w:val="02766009"/>
    <w:rsid w:val="02A7609D"/>
    <w:rsid w:val="02AE21E3"/>
    <w:rsid w:val="02CA20EA"/>
    <w:rsid w:val="0314140F"/>
    <w:rsid w:val="031E4411"/>
    <w:rsid w:val="031F1749"/>
    <w:rsid w:val="032A0775"/>
    <w:rsid w:val="038325D2"/>
    <w:rsid w:val="03C74DEA"/>
    <w:rsid w:val="042679EE"/>
    <w:rsid w:val="04334C7A"/>
    <w:rsid w:val="044E27F6"/>
    <w:rsid w:val="0462668B"/>
    <w:rsid w:val="047D1813"/>
    <w:rsid w:val="04835911"/>
    <w:rsid w:val="049169BC"/>
    <w:rsid w:val="04AF4F02"/>
    <w:rsid w:val="04DA76EC"/>
    <w:rsid w:val="04F51692"/>
    <w:rsid w:val="056D05DF"/>
    <w:rsid w:val="058A76CD"/>
    <w:rsid w:val="059D6B5E"/>
    <w:rsid w:val="05B6386C"/>
    <w:rsid w:val="062077BC"/>
    <w:rsid w:val="069A6B89"/>
    <w:rsid w:val="069C1C5C"/>
    <w:rsid w:val="069C7A93"/>
    <w:rsid w:val="06CA47CC"/>
    <w:rsid w:val="06E43BF0"/>
    <w:rsid w:val="07466557"/>
    <w:rsid w:val="08037F6B"/>
    <w:rsid w:val="083E714C"/>
    <w:rsid w:val="08C5312C"/>
    <w:rsid w:val="09081BF0"/>
    <w:rsid w:val="09175EEF"/>
    <w:rsid w:val="096379C3"/>
    <w:rsid w:val="099969C4"/>
    <w:rsid w:val="09D3555F"/>
    <w:rsid w:val="0A011BCE"/>
    <w:rsid w:val="0A484412"/>
    <w:rsid w:val="0A535694"/>
    <w:rsid w:val="0A975339"/>
    <w:rsid w:val="0AF71DB6"/>
    <w:rsid w:val="0AFA761E"/>
    <w:rsid w:val="0B884150"/>
    <w:rsid w:val="0B8E420A"/>
    <w:rsid w:val="0B8F4C42"/>
    <w:rsid w:val="0B9D0388"/>
    <w:rsid w:val="0BEB0385"/>
    <w:rsid w:val="0C5E6D7E"/>
    <w:rsid w:val="0CE05BCB"/>
    <w:rsid w:val="0D1F71D9"/>
    <w:rsid w:val="0D6A5348"/>
    <w:rsid w:val="0D90430B"/>
    <w:rsid w:val="0DAE649D"/>
    <w:rsid w:val="0DF54094"/>
    <w:rsid w:val="0E1725D6"/>
    <w:rsid w:val="0E243461"/>
    <w:rsid w:val="0E607DAF"/>
    <w:rsid w:val="0E6E568E"/>
    <w:rsid w:val="0E883E64"/>
    <w:rsid w:val="0EE21188"/>
    <w:rsid w:val="0F6018E6"/>
    <w:rsid w:val="0F6F1034"/>
    <w:rsid w:val="10A72DD1"/>
    <w:rsid w:val="10CB06DF"/>
    <w:rsid w:val="10CD401E"/>
    <w:rsid w:val="11104506"/>
    <w:rsid w:val="11404473"/>
    <w:rsid w:val="114A7FCE"/>
    <w:rsid w:val="11532E7C"/>
    <w:rsid w:val="1160324F"/>
    <w:rsid w:val="11A55F03"/>
    <w:rsid w:val="12045C39"/>
    <w:rsid w:val="120629EC"/>
    <w:rsid w:val="13144FF5"/>
    <w:rsid w:val="133F09B0"/>
    <w:rsid w:val="13480CA9"/>
    <w:rsid w:val="13F45072"/>
    <w:rsid w:val="141A59CE"/>
    <w:rsid w:val="142D6129"/>
    <w:rsid w:val="145B0A5C"/>
    <w:rsid w:val="14773A8D"/>
    <w:rsid w:val="14A036DE"/>
    <w:rsid w:val="14F61726"/>
    <w:rsid w:val="14F674C3"/>
    <w:rsid w:val="151B0095"/>
    <w:rsid w:val="157740B6"/>
    <w:rsid w:val="15CE68FB"/>
    <w:rsid w:val="15DD5083"/>
    <w:rsid w:val="160903D6"/>
    <w:rsid w:val="163E4C1A"/>
    <w:rsid w:val="16C27E36"/>
    <w:rsid w:val="16D15EE7"/>
    <w:rsid w:val="16E44C89"/>
    <w:rsid w:val="171763FC"/>
    <w:rsid w:val="172433D4"/>
    <w:rsid w:val="1727233C"/>
    <w:rsid w:val="174C3583"/>
    <w:rsid w:val="17B60D70"/>
    <w:rsid w:val="17FB5339"/>
    <w:rsid w:val="18061544"/>
    <w:rsid w:val="1821359C"/>
    <w:rsid w:val="185942E2"/>
    <w:rsid w:val="18730F52"/>
    <w:rsid w:val="18D27BB3"/>
    <w:rsid w:val="18E80BAD"/>
    <w:rsid w:val="191E23AE"/>
    <w:rsid w:val="19342468"/>
    <w:rsid w:val="193E16A3"/>
    <w:rsid w:val="1A3614A1"/>
    <w:rsid w:val="1A3F3C1B"/>
    <w:rsid w:val="1A404C48"/>
    <w:rsid w:val="1AAC15B6"/>
    <w:rsid w:val="1AFB171E"/>
    <w:rsid w:val="1B0E398D"/>
    <w:rsid w:val="1B34092A"/>
    <w:rsid w:val="1B350937"/>
    <w:rsid w:val="1B841870"/>
    <w:rsid w:val="1BAA0812"/>
    <w:rsid w:val="1BE7247B"/>
    <w:rsid w:val="1C872AB9"/>
    <w:rsid w:val="1CE23F2B"/>
    <w:rsid w:val="1CE3645A"/>
    <w:rsid w:val="1CF63CCA"/>
    <w:rsid w:val="1D1E7B8F"/>
    <w:rsid w:val="1D8134EF"/>
    <w:rsid w:val="1D856F92"/>
    <w:rsid w:val="1DC43B8D"/>
    <w:rsid w:val="1E0823B6"/>
    <w:rsid w:val="1E0946AF"/>
    <w:rsid w:val="1E3500E2"/>
    <w:rsid w:val="1E3C44A5"/>
    <w:rsid w:val="1E5D7AC3"/>
    <w:rsid w:val="1E817640"/>
    <w:rsid w:val="1F2A6D89"/>
    <w:rsid w:val="20971A8C"/>
    <w:rsid w:val="214A22D6"/>
    <w:rsid w:val="214D0F8B"/>
    <w:rsid w:val="21D1000E"/>
    <w:rsid w:val="21F65FB4"/>
    <w:rsid w:val="22065D6C"/>
    <w:rsid w:val="227162B5"/>
    <w:rsid w:val="22B945A7"/>
    <w:rsid w:val="22C2691D"/>
    <w:rsid w:val="23283E30"/>
    <w:rsid w:val="23D646E5"/>
    <w:rsid w:val="23F76D49"/>
    <w:rsid w:val="24065B27"/>
    <w:rsid w:val="242B7E47"/>
    <w:rsid w:val="249F57E5"/>
    <w:rsid w:val="24BA77E2"/>
    <w:rsid w:val="25335288"/>
    <w:rsid w:val="253B26CA"/>
    <w:rsid w:val="25502F1B"/>
    <w:rsid w:val="2568112F"/>
    <w:rsid w:val="258601FE"/>
    <w:rsid w:val="26031625"/>
    <w:rsid w:val="26166779"/>
    <w:rsid w:val="26806B8A"/>
    <w:rsid w:val="26933546"/>
    <w:rsid w:val="26BB68BA"/>
    <w:rsid w:val="26CE0D51"/>
    <w:rsid w:val="27067640"/>
    <w:rsid w:val="271C3BEF"/>
    <w:rsid w:val="276E198C"/>
    <w:rsid w:val="278C389C"/>
    <w:rsid w:val="28325C10"/>
    <w:rsid w:val="284B6F24"/>
    <w:rsid w:val="285907EE"/>
    <w:rsid w:val="285F5D09"/>
    <w:rsid w:val="287D4234"/>
    <w:rsid w:val="289A2AA3"/>
    <w:rsid w:val="28BE1378"/>
    <w:rsid w:val="28E340BB"/>
    <w:rsid w:val="29266163"/>
    <w:rsid w:val="295D5C86"/>
    <w:rsid w:val="29854B23"/>
    <w:rsid w:val="2A636B36"/>
    <w:rsid w:val="2A646439"/>
    <w:rsid w:val="2AD61431"/>
    <w:rsid w:val="2BBE1093"/>
    <w:rsid w:val="2BC67CA0"/>
    <w:rsid w:val="2C131D74"/>
    <w:rsid w:val="2C196C2D"/>
    <w:rsid w:val="2C221950"/>
    <w:rsid w:val="2C281ACE"/>
    <w:rsid w:val="2C29790B"/>
    <w:rsid w:val="2C4D155A"/>
    <w:rsid w:val="2C78619D"/>
    <w:rsid w:val="2D004B68"/>
    <w:rsid w:val="2D27759C"/>
    <w:rsid w:val="2D4C771A"/>
    <w:rsid w:val="2D970EAB"/>
    <w:rsid w:val="2D9A3B81"/>
    <w:rsid w:val="2E284B7C"/>
    <w:rsid w:val="2E452044"/>
    <w:rsid w:val="2F06350B"/>
    <w:rsid w:val="2F3A3BDD"/>
    <w:rsid w:val="2FD774C3"/>
    <w:rsid w:val="2FEA7D66"/>
    <w:rsid w:val="307C56FE"/>
    <w:rsid w:val="30996018"/>
    <w:rsid w:val="30B579BF"/>
    <w:rsid w:val="30C815E9"/>
    <w:rsid w:val="3108508B"/>
    <w:rsid w:val="31B523B5"/>
    <w:rsid w:val="32024798"/>
    <w:rsid w:val="320F77E3"/>
    <w:rsid w:val="323034DC"/>
    <w:rsid w:val="3264484C"/>
    <w:rsid w:val="32793E85"/>
    <w:rsid w:val="3294674E"/>
    <w:rsid w:val="32B205D2"/>
    <w:rsid w:val="32D74EEF"/>
    <w:rsid w:val="32F90207"/>
    <w:rsid w:val="331F1994"/>
    <w:rsid w:val="333F7EB6"/>
    <w:rsid w:val="33913AEE"/>
    <w:rsid w:val="33983552"/>
    <w:rsid w:val="33995FAC"/>
    <w:rsid w:val="33F30E9F"/>
    <w:rsid w:val="33FF675D"/>
    <w:rsid w:val="34347FF0"/>
    <w:rsid w:val="34723234"/>
    <w:rsid w:val="349F0270"/>
    <w:rsid w:val="34C246DF"/>
    <w:rsid w:val="34CE1050"/>
    <w:rsid w:val="35047B5C"/>
    <w:rsid w:val="35214011"/>
    <w:rsid w:val="352C54C4"/>
    <w:rsid w:val="35520842"/>
    <w:rsid w:val="355C6657"/>
    <w:rsid w:val="358006D4"/>
    <w:rsid w:val="35A35EBB"/>
    <w:rsid w:val="36232553"/>
    <w:rsid w:val="362B319C"/>
    <w:rsid w:val="36422D60"/>
    <w:rsid w:val="36501EF7"/>
    <w:rsid w:val="36614A28"/>
    <w:rsid w:val="368B003E"/>
    <w:rsid w:val="36CD551C"/>
    <w:rsid w:val="36D27433"/>
    <w:rsid w:val="36E106E5"/>
    <w:rsid w:val="36EE6B48"/>
    <w:rsid w:val="3709710F"/>
    <w:rsid w:val="373D070E"/>
    <w:rsid w:val="374B6088"/>
    <w:rsid w:val="37603B15"/>
    <w:rsid w:val="37CD61C8"/>
    <w:rsid w:val="38502F42"/>
    <w:rsid w:val="3865252D"/>
    <w:rsid w:val="386F7D8F"/>
    <w:rsid w:val="38BD4B89"/>
    <w:rsid w:val="393A3DDE"/>
    <w:rsid w:val="39967482"/>
    <w:rsid w:val="39BE6703"/>
    <w:rsid w:val="39D23390"/>
    <w:rsid w:val="3A050A91"/>
    <w:rsid w:val="3A5D5BA2"/>
    <w:rsid w:val="3A660603"/>
    <w:rsid w:val="3A822B4F"/>
    <w:rsid w:val="3AD30C41"/>
    <w:rsid w:val="3B3D5027"/>
    <w:rsid w:val="3BAE3989"/>
    <w:rsid w:val="3C24132F"/>
    <w:rsid w:val="3C59632E"/>
    <w:rsid w:val="3C7D1B1B"/>
    <w:rsid w:val="3C8C389F"/>
    <w:rsid w:val="3C8C71F3"/>
    <w:rsid w:val="3C9D5C4B"/>
    <w:rsid w:val="3D0719C8"/>
    <w:rsid w:val="3D6124B7"/>
    <w:rsid w:val="3D9B04F6"/>
    <w:rsid w:val="3DD74019"/>
    <w:rsid w:val="3E083824"/>
    <w:rsid w:val="3E410AE4"/>
    <w:rsid w:val="3E430358"/>
    <w:rsid w:val="3E746DD5"/>
    <w:rsid w:val="3EA41677"/>
    <w:rsid w:val="3EA41F59"/>
    <w:rsid w:val="3EAE5A4E"/>
    <w:rsid w:val="3EC76816"/>
    <w:rsid w:val="3F1A34AB"/>
    <w:rsid w:val="3F8034A9"/>
    <w:rsid w:val="40052AFA"/>
    <w:rsid w:val="40055B41"/>
    <w:rsid w:val="40476B0D"/>
    <w:rsid w:val="40556AC9"/>
    <w:rsid w:val="40633CF7"/>
    <w:rsid w:val="409823DF"/>
    <w:rsid w:val="40BA23E6"/>
    <w:rsid w:val="40C40FBA"/>
    <w:rsid w:val="41173D7E"/>
    <w:rsid w:val="414C762B"/>
    <w:rsid w:val="41664E25"/>
    <w:rsid w:val="42981175"/>
    <w:rsid w:val="429A4C67"/>
    <w:rsid w:val="42CD2233"/>
    <w:rsid w:val="42DA49FB"/>
    <w:rsid w:val="442134DD"/>
    <w:rsid w:val="4436353C"/>
    <w:rsid w:val="448639EC"/>
    <w:rsid w:val="448F4B4F"/>
    <w:rsid w:val="449429EA"/>
    <w:rsid w:val="450D027B"/>
    <w:rsid w:val="45504BC5"/>
    <w:rsid w:val="459A6110"/>
    <w:rsid w:val="45EC2488"/>
    <w:rsid w:val="467E56A5"/>
    <w:rsid w:val="47D03B4C"/>
    <w:rsid w:val="47E2135F"/>
    <w:rsid w:val="481C22FC"/>
    <w:rsid w:val="48320B57"/>
    <w:rsid w:val="48985812"/>
    <w:rsid w:val="49177011"/>
    <w:rsid w:val="492D05A5"/>
    <w:rsid w:val="49BF498C"/>
    <w:rsid w:val="49C361B3"/>
    <w:rsid w:val="4A6161D4"/>
    <w:rsid w:val="4AFB235C"/>
    <w:rsid w:val="4AFD12FD"/>
    <w:rsid w:val="4B1732F9"/>
    <w:rsid w:val="4B1978A9"/>
    <w:rsid w:val="4B257D5F"/>
    <w:rsid w:val="4B484FFC"/>
    <w:rsid w:val="4B522489"/>
    <w:rsid w:val="4B7F6C73"/>
    <w:rsid w:val="4B977F95"/>
    <w:rsid w:val="4BBE4F95"/>
    <w:rsid w:val="4BCC5120"/>
    <w:rsid w:val="4BCD39B7"/>
    <w:rsid w:val="4BEC7784"/>
    <w:rsid w:val="4C116592"/>
    <w:rsid w:val="4C8C1A30"/>
    <w:rsid w:val="4CA67FA9"/>
    <w:rsid w:val="4CB1012E"/>
    <w:rsid w:val="4CC63226"/>
    <w:rsid w:val="4D280A7E"/>
    <w:rsid w:val="4D49147B"/>
    <w:rsid w:val="4DA44E48"/>
    <w:rsid w:val="4DC45FEE"/>
    <w:rsid w:val="4DD3727F"/>
    <w:rsid w:val="4DF53699"/>
    <w:rsid w:val="4E011F98"/>
    <w:rsid w:val="4E297819"/>
    <w:rsid w:val="4E9D76CC"/>
    <w:rsid w:val="4EA9408B"/>
    <w:rsid w:val="4EC76CBC"/>
    <w:rsid w:val="4EEF567B"/>
    <w:rsid w:val="4F316E93"/>
    <w:rsid w:val="4F997A35"/>
    <w:rsid w:val="4FBC5EC1"/>
    <w:rsid w:val="4FBF2ED9"/>
    <w:rsid w:val="4FCD438C"/>
    <w:rsid w:val="4FCD61F7"/>
    <w:rsid w:val="4FDA66A3"/>
    <w:rsid w:val="4FE24B6F"/>
    <w:rsid w:val="50181156"/>
    <w:rsid w:val="50361E44"/>
    <w:rsid w:val="503A73FC"/>
    <w:rsid w:val="504C637B"/>
    <w:rsid w:val="50904BED"/>
    <w:rsid w:val="50B75C85"/>
    <w:rsid w:val="50C81328"/>
    <w:rsid w:val="510A58A7"/>
    <w:rsid w:val="514C35D0"/>
    <w:rsid w:val="5155318D"/>
    <w:rsid w:val="518A2223"/>
    <w:rsid w:val="51925D7E"/>
    <w:rsid w:val="51A026FE"/>
    <w:rsid w:val="51CD2963"/>
    <w:rsid w:val="52332028"/>
    <w:rsid w:val="5234509B"/>
    <w:rsid w:val="52413B16"/>
    <w:rsid w:val="526546DC"/>
    <w:rsid w:val="52AF79C9"/>
    <w:rsid w:val="53045C12"/>
    <w:rsid w:val="53093E52"/>
    <w:rsid w:val="5365714B"/>
    <w:rsid w:val="53BA02DB"/>
    <w:rsid w:val="53C65005"/>
    <w:rsid w:val="5429409D"/>
    <w:rsid w:val="547F6863"/>
    <w:rsid w:val="5483555B"/>
    <w:rsid w:val="554000F2"/>
    <w:rsid w:val="55D3606E"/>
    <w:rsid w:val="55FF6E63"/>
    <w:rsid w:val="56FC649F"/>
    <w:rsid w:val="57306A86"/>
    <w:rsid w:val="57510776"/>
    <w:rsid w:val="58034764"/>
    <w:rsid w:val="581A742B"/>
    <w:rsid w:val="582E1282"/>
    <w:rsid w:val="58676538"/>
    <w:rsid w:val="588008A8"/>
    <w:rsid w:val="588748B3"/>
    <w:rsid w:val="58EC19F4"/>
    <w:rsid w:val="590373B7"/>
    <w:rsid w:val="5907359A"/>
    <w:rsid w:val="590A20C0"/>
    <w:rsid w:val="59104895"/>
    <w:rsid w:val="595127DB"/>
    <w:rsid w:val="595D4251"/>
    <w:rsid w:val="59633BAD"/>
    <w:rsid w:val="59922DB4"/>
    <w:rsid w:val="59A47E06"/>
    <w:rsid w:val="5A2E41BB"/>
    <w:rsid w:val="5A5629DF"/>
    <w:rsid w:val="5A654869"/>
    <w:rsid w:val="5A752BDA"/>
    <w:rsid w:val="5A9D0022"/>
    <w:rsid w:val="5AA64A54"/>
    <w:rsid w:val="5AC15C7C"/>
    <w:rsid w:val="5ACF4493"/>
    <w:rsid w:val="5AD253C6"/>
    <w:rsid w:val="5AF76AC9"/>
    <w:rsid w:val="5BD6038A"/>
    <w:rsid w:val="5C7F2C32"/>
    <w:rsid w:val="5CAD68A7"/>
    <w:rsid w:val="5CB173D5"/>
    <w:rsid w:val="5CD501A8"/>
    <w:rsid w:val="5CE21F54"/>
    <w:rsid w:val="5CE8608E"/>
    <w:rsid w:val="5CF77F7E"/>
    <w:rsid w:val="5D85263E"/>
    <w:rsid w:val="5DC12B0F"/>
    <w:rsid w:val="5E0E077B"/>
    <w:rsid w:val="5E5A5C2A"/>
    <w:rsid w:val="5EB768C0"/>
    <w:rsid w:val="5EC76EBC"/>
    <w:rsid w:val="5F27742B"/>
    <w:rsid w:val="5F3D7FD2"/>
    <w:rsid w:val="5F416B8E"/>
    <w:rsid w:val="5FBF3F34"/>
    <w:rsid w:val="5FD4276A"/>
    <w:rsid w:val="60257A1C"/>
    <w:rsid w:val="602E07CE"/>
    <w:rsid w:val="608033D7"/>
    <w:rsid w:val="60A5288D"/>
    <w:rsid w:val="60D06013"/>
    <w:rsid w:val="616C661C"/>
    <w:rsid w:val="61763D66"/>
    <w:rsid w:val="61775F05"/>
    <w:rsid w:val="617C1311"/>
    <w:rsid w:val="61BD02AF"/>
    <w:rsid w:val="61CF3353"/>
    <w:rsid w:val="61F07FA8"/>
    <w:rsid w:val="629801F3"/>
    <w:rsid w:val="631D4498"/>
    <w:rsid w:val="633E4CE0"/>
    <w:rsid w:val="636C1820"/>
    <w:rsid w:val="637E1A5F"/>
    <w:rsid w:val="639334D5"/>
    <w:rsid w:val="63BC7103"/>
    <w:rsid w:val="63EA117B"/>
    <w:rsid w:val="64011DD2"/>
    <w:rsid w:val="640B2BEA"/>
    <w:rsid w:val="64560710"/>
    <w:rsid w:val="64650F4E"/>
    <w:rsid w:val="647D024B"/>
    <w:rsid w:val="64A21A09"/>
    <w:rsid w:val="65126E5D"/>
    <w:rsid w:val="65766EE4"/>
    <w:rsid w:val="65CC3968"/>
    <w:rsid w:val="65F853BD"/>
    <w:rsid w:val="66046CB9"/>
    <w:rsid w:val="66063F75"/>
    <w:rsid w:val="66280187"/>
    <w:rsid w:val="6639196C"/>
    <w:rsid w:val="66403896"/>
    <w:rsid w:val="664654C4"/>
    <w:rsid w:val="664D0EA6"/>
    <w:rsid w:val="66661C02"/>
    <w:rsid w:val="667E332D"/>
    <w:rsid w:val="670E3CB3"/>
    <w:rsid w:val="6719727C"/>
    <w:rsid w:val="678215CB"/>
    <w:rsid w:val="679D71C9"/>
    <w:rsid w:val="67DC74A0"/>
    <w:rsid w:val="67E91721"/>
    <w:rsid w:val="6815262B"/>
    <w:rsid w:val="681D6B64"/>
    <w:rsid w:val="685C53E2"/>
    <w:rsid w:val="688B7E99"/>
    <w:rsid w:val="68B40A6C"/>
    <w:rsid w:val="693500A0"/>
    <w:rsid w:val="693F5F01"/>
    <w:rsid w:val="69614AEA"/>
    <w:rsid w:val="696F7C4D"/>
    <w:rsid w:val="697119CE"/>
    <w:rsid w:val="697F367F"/>
    <w:rsid w:val="69BA450B"/>
    <w:rsid w:val="69E95812"/>
    <w:rsid w:val="6A005B97"/>
    <w:rsid w:val="6A364DD9"/>
    <w:rsid w:val="6A4E472C"/>
    <w:rsid w:val="6A980073"/>
    <w:rsid w:val="6ABF0D55"/>
    <w:rsid w:val="6AF745E3"/>
    <w:rsid w:val="6B067853"/>
    <w:rsid w:val="6B221CCD"/>
    <w:rsid w:val="6B3D0167"/>
    <w:rsid w:val="6B5C6AE4"/>
    <w:rsid w:val="6B66623E"/>
    <w:rsid w:val="6B6728A8"/>
    <w:rsid w:val="6BA33119"/>
    <w:rsid w:val="6BBA7BAE"/>
    <w:rsid w:val="6C11484A"/>
    <w:rsid w:val="6C1506D8"/>
    <w:rsid w:val="6C245446"/>
    <w:rsid w:val="6C253579"/>
    <w:rsid w:val="6C423B7A"/>
    <w:rsid w:val="6C563408"/>
    <w:rsid w:val="6C9D70AC"/>
    <w:rsid w:val="6CD94758"/>
    <w:rsid w:val="6D0B6169"/>
    <w:rsid w:val="6D4C23F2"/>
    <w:rsid w:val="6D703898"/>
    <w:rsid w:val="6D78644A"/>
    <w:rsid w:val="6DA72E25"/>
    <w:rsid w:val="6DA81247"/>
    <w:rsid w:val="6DDC3A6C"/>
    <w:rsid w:val="6E6669C8"/>
    <w:rsid w:val="6E982E3E"/>
    <w:rsid w:val="6E9E2EAF"/>
    <w:rsid w:val="6EA76FEE"/>
    <w:rsid w:val="6EA92116"/>
    <w:rsid w:val="6EAB759E"/>
    <w:rsid w:val="6F176CF0"/>
    <w:rsid w:val="6FA44E22"/>
    <w:rsid w:val="6FB645DF"/>
    <w:rsid w:val="6FB75734"/>
    <w:rsid w:val="6FF5468C"/>
    <w:rsid w:val="70291255"/>
    <w:rsid w:val="703B1030"/>
    <w:rsid w:val="7043049A"/>
    <w:rsid w:val="705D5738"/>
    <w:rsid w:val="70D171F3"/>
    <w:rsid w:val="70F14C67"/>
    <w:rsid w:val="71200A94"/>
    <w:rsid w:val="713759DF"/>
    <w:rsid w:val="715776FB"/>
    <w:rsid w:val="71684312"/>
    <w:rsid w:val="71DC20F5"/>
    <w:rsid w:val="720F3F50"/>
    <w:rsid w:val="723D1E89"/>
    <w:rsid w:val="72641375"/>
    <w:rsid w:val="72A31FEB"/>
    <w:rsid w:val="72B22DA0"/>
    <w:rsid w:val="72F71196"/>
    <w:rsid w:val="733D4384"/>
    <w:rsid w:val="734C360E"/>
    <w:rsid w:val="73997733"/>
    <w:rsid w:val="73A06A75"/>
    <w:rsid w:val="73AB3126"/>
    <w:rsid w:val="73C904A4"/>
    <w:rsid w:val="740A4EF9"/>
    <w:rsid w:val="74491E77"/>
    <w:rsid w:val="745663E7"/>
    <w:rsid w:val="7471107A"/>
    <w:rsid w:val="748800A2"/>
    <w:rsid w:val="74C22615"/>
    <w:rsid w:val="74F12073"/>
    <w:rsid w:val="75237875"/>
    <w:rsid w:val="756A026B"/>
    <w:rsid w:val="763B6B65"/>
    <w:rsid w:val="764023BA"/>
    <w:rsid w:val="768E627F"/>
    <w:rsid w:val="76AC52AD"/>
    <w:rsid w:val="76E00DE6"/>
    <w:rsid w:val="77131F56"/>
    <w:rsid w:val="771E0CAC"/>
    <w:rsid w:val="773562F1"/>
    <w:rsid w:val="77372D96"/>
    <w:rsid w:val="77563857"/>
    <w:rsid w:val="77F16E14"/>
    <w:rsid w:val="78161F64"/>
    <w:rsid w:val="785221B4"/>
    <w:rsid w:val="787F0859"/>
    <w:rsid w:val="788B4960"/>
    <w:rsid w:val="78B813C8"/>
    <w:rsid w:val="78F27AD5"/>
    <w:rsid w:val="79217C49"/>
    <w:rsid w:val="79246A5D"/>
    <w:rsid w:val="79433647"/>
    <w:rsid w:val="7943699A"/>
    <w:rsid w:val="7A9D12ED"/>
    <w:rsid w:val="7AB02FC5"/>
    <w:rsid w:val="7AFB2B9F"/>
    <w:rsid w:val="7B0C1557"/>
    <w:rsid w:val="7B101737"/>
    <w:rsid w:val="7B2C08A6"/>
    <w:rsid w:val="7B551B5E"/>
    <w:rsid w:val="7C2B0102"/>
    <w:rsid w:val="7C534773"/>
    <w:rsid w:val="7CCA0853"/>
    <w:rsid w:val="7D055E14"/>
    <w:rsid w:val="7D212F97"/>
    <w:rsid w:val="7D340651"/>
    <w:rsid w:val="7D4873D8"/>
    <w:rsid w:val="7D823788"/>
    <w:rsid w:val="7E05450C"/>
    <w:rsid w:val="7E4256A7"/>
    <w:rsid w:val="7E91259B"/>
    <w:rsid w:val="7EA72783"/>
    <w:rsid w:val="7EAD395D"/>
    <w:rsid w:val="7EBF5758"/>
    <w:rsid w:val="7FBD1A08"/>
    <w:rsid w:val="7FF941F3"/>
    <w:rsid w:val="7FFB1C6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99"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ocked="1"/>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ocked="1"/>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4"/>
    <w:qFormat/>
    <w:locked/>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qFormat/>
    <w:uiPriority w:val="99"/>
    <w:rPr>
      <w:rFonts w:ascii="Cambria" w:hAnsi="Cambria" w:eastAsia="黑体"/>
      <w:sz w:val="20"/>
    </w:rPr>
  </w:style>
  <w:style w:type="paragraph" w:styleId="4">
    <w:name w:val="Date"/>
    <w:basedOn w:val="1"/>
    <w:next w:val="1"/>
    <w:link w:val="22"/>
    <w:qFormat/>
    <w:uiPriority w:val="99"/>
    <w:pPr>
      <w:ind w:left="100" w:leftChars="2500"/>
    </w:pPr>
  </w:style>
  <w:style w:type="paragraph" w:styleId="5">
    <w:name w:val="Balloon Text"/>
    <w:basedOn w:val="1"/>
    <w:link w:val="29"/>
    <w:semiHidden/>
    <w:unhideWhenUsed/>
    <w:qFormat/>
    <w:uiPriority w:val="0"/>
    <w:rPr>
      <w:sz w:val="18"/>
      <w:szCs w:val="18"/>
    </w:rPr>
  </w:style>
  <w:style w:type="paragraph" w:styleId="6">
    <w:name w:val="footer"/>
    <w:basedOn w:val="1"/>
    <w:link w:val="23"/>
    <w:qFormat/>
    <w:uiPriority w:val="99"/>
    <w:pPr>
      <w:tabs>
        <w:tab w:val="center" w:pos="4153"/>
        <w:tab w:val="right" w:pos="8306"/>
      </w:tabs>
      <w:snapToGrid w:val="0"/>
      <w:jc w:val="left"/>
    </w:pPr>
    <w:rPr>
      <w:sz w:val="18"/>
    </w:rPr>
  </w:style>
  <w:style w:type="paragraph" w:styleId="7">
    <w:name w:val="header"/>
    <w:basedOn w:val="1"/>
    <w:link w:val="2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Subtitle"/>
    <w:basedOn w:val="1"/>
    <w:next w:val="1"/>
    <w:link w:val="32"/>
    <w:qFormat/>
    <w:locked/>
    <w:uiPriority w:val="0"/>
    <w:pPr>
      <w:spacing w:before="240" w:after="60" w:line="312" w:lineRule="auto"/>
      <w:jc w:val="center"/>
      <w:outlineLvl w:val="1"/>
    </w:pPr>
    <w:rPr>
      <w:rFonts w:asciiTheme="majorHAnsi" w:hAnsiTheme="majorHAnsi" w:cstheme="majorBidi"/>
      <w:b/>
      <w:bCs/>
      <w:kern w:val="28"/>
      <w:sz w:val="32"/>
      <w:szCs w:val="32"/>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2">
    <w:name w:val="Strong"/>
    <w:basedOn w:val="11"/>
    <w:qFormat/>
    <w:uiPriority w:val="0"/>
    <w:rPr>
      <w:rFonts w:cs="Times New Roman"/>
      <w:b/>
      <w:bCs/>
    </w:rPr>
  </w:style>
  <w:style w:type="character" w:styleId="13">
    <w:name w:val="page number"/>
    <w:basedOn w:val="11"/>
    <w:qFormat/>
    <w:uiPriority w:val="99"/>
    <w:rPr>
      <w:rFonts w:cs="Times New Roman"/>
    </w:rPr>
  </w:style>
  <w:style w:type="character" w:styleId="14">
    <w:name w:val="Hyperlink"/>
    <w:basedOn w:val="11"/>
    <w:qFormat/>
    <w:uiPriority w:val="99"/>
    <w:rPr>
      <w:rFonts w:cs="Times New Roman"/>
      <w:color w:val="0000FF"/>
      <w:u w:val="single"/>
    </w:rPr>
  </w:style>
  <w:style w:type="paragraph" w:customStyle="1" w:styleId="15">
    <w:name w:val="p15"/>
    <w:basedOn w:val="1"/>
    <w:qFormat/>
    <w:uiPriority w:val="0"/>
    <w:pPr>
      <w:widowControl/>
    </w:pPr>
    <w:rPr>
      <w:rFonts w:ascii="Calibri" w:hAnsi="Calibri" w:cs="宋体"/>
      <w:kern w:val="0"/>
      <w:szCs w:val="21"/>
    </w:rPr>
  </w:style>
  <w:style w:type="paragraph" w:customStyle="1" w:styleId="16">
    <w:name w:val="p0"/>
    <w:basedOn w:val="1"/>
    <w:link w:val="26"/>
    <w:qFormat/>
    <w:uiPriority w:val="0"/>
    <w:pPr>
      <w:widowControl/>
    </w:pPr>
    <w:rPr>
      <w:rFonts w:ascii="Calibri" w:hAnsi="Calibri" w:cs="宋体"/>
      <w:kern w:val="0"/>
      <w:szCs w:val="21"/>
    </w:rPr>
  </w:style>
  <w:style w:type="paragraph" w:customStyle="1" w:styleId="17">
    <w:name w:val="p16"/>
    <w:qFormat/>
    <w:uiPriority w:val="99"/>
    <w:pPr>
      <w:snapToGrid w:val="0"/>
      <w:jc w:val="center"/>
    </w:pPr>
    <w:rPr>
      <w:rFonts w:ascii="方正黑体_GBK" w:hAnsi="方正黑体_GBK" w:eastAsia="宋体" w:cs="宋体"/>
      <w:sz w:val="32"/>
      <w:szCs w:val="32"/>
      <w:lang w:val="en-US" w:eastAsia="zh-CN" w:bidi="ar-SA"/>
    </w:rPr>
  </w:style>
  <w:style w:type="paragraph" w:customStyle="1" w:styleId="18">
    <w:name w:val="Char2"/>
    <w:basedOn w:val="1"/>
    <w:qFormat/>
    <w:uiPriority w:val="99"/>
    <w:rPr>
      <w:szCs w:val="24"/>
    </w:rPr>
  </w:style>
  <w:style w:type="paragraph" w:customStyle="1" w:styleId="19">
    <w:name w:val="无间隔1"/>
    <w:qFormat/>
    <w:uiPriority w:val="1"/>
    <w:pPr>
      <w:widowControl w:val="0"/>
      <w:jc w:val="both"/>
    </w:pPr>
    <w:rPr>
      <w:rFonts w:ascii="Times New Roman" w:hAnsi="Times New Roman" w:eastAsia="宋体" w:cs="Times New Roman"/>
      <w:kern w:val="2"/>
      <w:sz w:val="21"/>
      <w:lang w:val="en-US" w:eastAsia="zh-CN" w:bidi="ar-SA"/>
    </w:rPr>
  </w:style>
  <w:style w:type="character" w:customStyle="1" w:styleId="20">
    <w:name w:val="日期 Char"/>
    <w:basedOn w:val="11"/>
    <w:link w:val="4"/>
    <w:qFormat/>
    <w:locked/>
    <w:uiPriority w:val="99"/>
    <w:rPr>
      <w:rFonts w:cs="Times New Roman"/>
      <w:kern w:val="2"/>
      <w:sz w:val="21"/>
    </w:rPr>
  </w:style>
  <w:style w:type="character" w:customStyle="1" w:styleId="21">
    <w:name w:val="页眉 Char"/>
    <w:basedOn w:val="11"/>
    <w:link w:val="7"/>
    <w:semiHidden/>
    <w:qFormat/>
    <w:uiPriority w:val="99"/>
    <w:rPr>
      <w:sz w:val="18"/>
      <w:szCs w:val="18"/>
    </w:rPr>
  </w:style>
  <w:style w:type="character" w:customStyle="1" w:styleId="22">
    <w:name w:val="日期 Char1"/>
    <w:basedOn w:val="11"/>
    <w:link w:val="4"/>
    <w:semiHidden/>
    <w:qFormat/>
    <w:uiPriority w:val="99"/>
    <w:rPr>
      <w:szCs w:val="20"/>
    </w:rPr>
  </w:style>
  <w:style w:type="character" w:customStyle="1" w:styleId="23">
    <w:name w:val="页脚 Char"/>
    <w:basedOn w:val="11"/>
    <w:link w:val="6"/>
    <w:semiHidden/>
    <w:qFormat/>
    <w:uiPriority w:val="99"/>
    <w:rPr>
      <w:sz w:val="18"/>
      <w:szCs w:val="18"/>
    </w:rPr>
  </w:style>
  <w:style w:type="paragraph" w:styleId="24">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无间隔2"/>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6">
    <w:name w:val="p0 Char Char"/>
    <w:basedOn w:val="11"/>
    <w:link w:val="16"/>
    <w:qFormat/>
    <w:locked/>
    <w:uiPriority w:val="0"/>
    <w:rPr>
      <w:rFonts w:ascii="Calibri" w:hAnsi="Calibri" w:cs="宋体"/>
      <w:sz w:val="21"/>
      <w:szCs w:val="21"/>
    </w:rPr>
  </w:style>
  <w:style w:type="paragraph" w:customStyle="1" w:styleId="27">
    <w:name w:val="Char1 Char Char Char Char Char Char"/>
    <w:basedOn w:val="1"/>
    <w:qFormat/>
    <w:uiPriority w:val="0"/>
  </w:style>
  <w:style w:type="character" w:customStyle="1" w:styleId="28">
    <w:name w:val="15"/>
    <w:basedOn w:val="11"/>
    <w:qFormat/>
    <w:uiPriority w:val="0"/>
    <w:rPr>
      <w:rFonts w:hint="default" w:ascii="Times New Roman" w:hAnsi="Times New Roman" w:cs="Times New Roman"/>
      <w:b/>
      <w:bCs/>
    </w:rPr>
  </w:style>
  <w:style w:type="character" w:customStyle="1" w:styleId="29">
    <w:name w:val="批注框文本 Char"/>
    <w:basedOn w:val="11"/>
    <w:link w:val="5"/>
    <w:semiHidden/>
    <w:qFormat/>
    <w:uiPriority w:val="0"/>
    <w:rPr>
      <w:kern w:val="2"/>
      <w:sz w:val="18"/>
      <w:szCs w:val="18"/>
    </w:rPr>
  </w:style>
  <w:style w:type="paragraph" w:customStyle="1" w:styleId="30">
    <w:name w:val="列出段落1"/>
    <w:basedOn w:val="1"/>
    <w:qFormat/>
    <w:uiPriority w:val="34"/>
    <w:pPr>
      <w:ind w:firstLine="420" w:firstLineChars="200"/>
    </w:pPr>
    <w:rPr>
      <w:szCs w:val="24"/>
    </w:rPr>
  </w:style>
  <w:style w:type="character" w:customStyle="1" w:styleId="31">
    <w:name w:val="hei141"/>
    <w:basedOn w:val="11"/>
    <w:qFormat/>
    <w:uiPriority w:val="0"/>
    <w:rPr>
      <w:rFonts w:hint="eastAsia" w:ascii="宋体" w:hAnsi="宋体" w:eastAsia="宋体" w:cs="Times New Roman"/>
      <w:color w:val="000000"/>
      <w:sz w:val="21"/>
      <w:szCs w:val="21"/>
      <w:u w:val="none"/>
    </w:rPr>
  </w:style>
  <w:style w:type="character" w:customStyle="1" w:styleId="32">
    <w:name w:val="副标题 Char"/>
    <w:basedOn w:val="11"/>
    <w:link w:val="8"/>
    <w:qFormat/>
    <w:uiPriority w:val="0"/>
    <w:rPr>
      <w:rFonts w:asciiTheme="majorHAnsi" w:hAnsiTheme="majorHAnsi" w:cstheme="majorBidi"/>
      <w:b/>
      <w:bCs/>
      <w:kern w:val="28"/>
      <w:sz w:val="32"/>
      <w:szCs w:val="32"/>
    </w:rPr>
  </w:style>
  <w:style w:type="paragraph" w:styleId="33">
    <w:name w:val="List Paragraph"/>
    <w:basedOn w:val="1"/>
    <w:unhideWhenUsed/>
    <w:qFormat/>
    <w:uiPriority w:val="99"/>
    <w:pPr>
      <w:ind w:firstLine="420" w:firstLineChars="200"/>
    </w:pPr>
  </w:style>
  <w:style w:type="character" w:customStyle="1" w:styleId="34">
    <w:name w:val="标题 1 Char"/>
    <w:basedOn w:val="11"/>
    <w:link w:val="2"/>
    <w:qFormat/>
    <w:uiPriority w:val="0"/>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4" Type="http://schemas.microsoft.com/office/2011/relationships/chartColorStyle" Target="colors2.xml"/><Relationship Id="rId3" Type="http://schemas.microsoft.com/office/2011/relationships/chartStyle" Target="style2.xml"/><Relationship Id="rId2" Type="http://schemas.openxmlformats.org/officeDocument/2006/relationships/chartUserShapes" Target="../drawings/drawing3.xml"/><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en-US" altLang="zh-CN" b="1"/>
              <a:t>2022</a:t>
            </a:r>
            <a:r>
              <a:rPr altLang="en-US" b="1"/>
              <a:t>年规模以上工业增加值行业构成</a:t>
            </a:r>
            <a:endParaRPr lang="en-US" altLang="zh-CN" b="1"/>
          </a:p>
        </c:rich>
      </c:tx>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00924718435091879"/>
          <c:y val="0.164881060468495"/>
          <c:w val="0.63556609365738"/>
          <c:h val="0.725803522789177"/>
        </c:manualLayout>
      </c:layout>
      <c:pie3DChart>
        <c:varyColors val="1"/>
        <c:ser>
          <c:idx val="0"/>
          <c:order val="0"/>
          <c:tx>
            <c:strRef>
              <c:f>Sheet1!$B$1</c:f>
              <c:strCache>
                <c:ptCount val="1"/>
                <c:pt idx="0">
                  <c:v>2022年规模以上工业增加值行业构成</c:v>
                </c:pt>
              </c:strCache>
            </c:strRef>
          </c:tx>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Pt>
            <c:idx val="3"/>
            <c:bubble3D val="0"/>
            <c:spPr>
              <a:solidFill>
                <a:schemeClr val="accent4"/>
              </a:solidFill>
              <a:ln w="25400">
                <a:solidFill>
                  <a:schemeClr val="lt1"/>
                </a:solidFill>
              </a:ln>
              <a:effectLst/>
              <a:scene3d>
                <a:camera prst="orthographicFront"/>
                <a:lightRig rig="threePt" dir="t"/>
              </a:scene3d>
              <a:sp3d contourW="25400"/>
            </c:spPr>
          </c:dPt>
          <c:dPt>
            <c:idx val="4"/>
            <c:bubble3D val="0"/>
            <c:spPr>
              <a:solidFill>
                <a:schemeClr val="accent5"/>
              </a:solidFill>
              <a:ln w="25400">
                <a:solidFill>
                  <a:schemeClr val="lt1"/>
                </a:solidFill>
              </a:ln>
              <a:effectLst/>
              <a:scene3d>
                <a:camera prst="orthographicFront"/>
                <a:lightRig rig="threePt" dir="t"/>
              </a:scene3d>
              <a:sp3d contourW="25400"/>
            </c:spPr>
          </c:dPt>
          <c:dPt>
            <c:idx val="5"/>
            <c:bubble3D val="0"/>
            <c:spPr>
              <a:solidFill>
                <a:schemeClr val="accent6"/>
              </a:solidFill>
              <a:ln w="25400">
                <a:solidFill>
                  <a:schemeClr val="lt1"/>
                </a:solidFill>
              </a:ln>
              <a:effectLst/>
              <a:scene3d>
                <a:camera prst="orthographicFront"/>
                <a:lightRig rig="threePt" dir="t"/>
              </a:scene3d>
              <a:sp3d contourW="25400"/>
            </c:spPr>
          </c:dPt>
          <c:dPt>
            <c:idx val="6"/>
            <c:bubble3D val="0"/>
            <c:spPr>
              <a:solidFill>
                <a:schemeClr val="accent1">
                  <a:lumMod val="60000"/>
                </a:schemeClr>
              </a:solidFill>
              <a:ln w="25400">
                <a:solidFill>
                  <a:schemeClr val="lt1"/>
                </a:solidFill>
              </a:ln>
              <a:effectLst/>
              <a:scene3d>
                <a:camera prst="orthographicFront"/>
                <a:lightRig rig="threePt" dir="t"/>
              </a:scene3d>
              <a:sp3d contourW="25400"/>
            </c:spPr>
          </c:dPt>
          <c:dLbls>
            <c:dLbl>
              <c:idx val="0"/>
              <c:layout>
                <c:manualLayout>
                  <c:x val="-0.177712325465703"/>
                  <c:y val="0.034064790174622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4485183559317"/>
                  <c:y val="-0.22063778737278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69375"/>
                  <c:y val="0.002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975"/>
                  <c:y val="-0.0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35625"/>
                  <c:y val="-0.067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35625"/>
                  <c:y val="-0.077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339931508168806"/>
                  <c:y val="-0.030865010430607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开采专业及辅助性活动</c:v>
                </c:pt>
                <c:pt idx="1">
                  <c:v>石油、煤炭及其他燃料加工业</c:v>
                </c:pt>
                <c:pt idx="2">
                  <c:v>电力、热力生产和供应业</c:v>
                </c:pt>
                <c:pt idx="3">
                  <c:v>电气机械和器材制造业</c:v>
                </c:pt>
                <c:pt idx="4">
                  <c:v>非金属矿物制造业</c:v>
                </c:pt>
                <c:pt idx="5">
                  <c:v>专用设备制造业</c:v>
                </c:pt>
                <c:pt idx="6">
                  <c:v>其他</c:v>
                </c:pt>
              </c:strCache>
            </c:strRef>
          </c:cat>
          <c:val>
            <c:numRef>
              <c:f>Sheet1!$B$2:$B$8</c:f>
              <c:numCache>
                <c:formatCode>0.0%</c:formatCode>
                <c:ptCount val="7"/>
                <c:pt idx="0">
                  <c:v>0.361</c:v>
                </c:pt>
                <c:pt idx="1">
                  <c:v>0.461</c:v>
                </c:pt>
                <c:pt idx="2">
                  <c:v>0.047</c:v>
                </c:pt>
                <c:pt idx="3">
                  <c:v>0.017</c:v>
                </c:pt>
                <c:pt idx="4">
                  <c:v>0.02</c:v>
                </c:pt>
                <c:pt idx="5">
                  <c:v>0.032</c:v>
                </c:pt>
                <c:pt idx="6">
                  <c:v>0.062</c:v>
                </c:pt>
              </c:numCache>
            </c:numRef>
          </c:val>
        </c:ser>
        <c:dLbls>
          <c:showLegendKey val="0"/>
          <c:showVal val="1"/>
          <c:showCatName val="0"/>
          <c:showSerName val="0"/>
          <c:showPercent val="0"/>
          <c:showBubbleSize val="0"/>
        </c:dLbls>
      </c:pie3DChart>
      <c:spPr>
        <a:noFill/>
        <a:ln>
          <a:noFill/>
        </a:ln>
        <a:effectLst/>
      </c:spPr>
    </c:plotArea>
    <c:legend>
      <c:legendPos val="b"/>
      <c:legendEntry>
        <c:idx val="0"/>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3"/>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4"/>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5"/>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6"/>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ayout>
        <c:manualLayout>
          <c:xMode val="edge"/>
          <c:yMode val="edge"/>
          <c:x val="0.667375"/>
          <c:y val="0.138"/>
          <c:w val="0.328875"/>
          <c:h val="0.842"/>
        </c:manualLayout>
      </c:layout>
      <c:overlay val="0"/>
      <c:spPr>
        <a:noFill/>
        <a:ln>
          <a:noFill/>
        </a:ln>
        <a:effectLst/>
      </c:spPr>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noFill/>
      <a:round/>
    </a:ln>
    <a:effectLst/>
  </c:spPr>
  <c:txPr>
    <a:bodyPr/>
    <a:lstStyle/>
    <a:p>
      <a:pPr>
        <a:defRPr lang="zh-CN" b="1"/>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56174641451961"/>
          <c:y val="0.0986211986945521"/>
          <c:w val="0.932506985013956"/>
          <c:h val="0.665956025569807"/>
        </c:manualLayout>
      </c:layout>
      <c:barChart>
        <c:barDir val="col"/>
        <c:grouping val="stacked"/>
        <c:varyColors val="0"/>
        <c:ser>
          <c:idx val="0"/>
          <c:order val="0"/>
          <c:tx>
            <c:strRef>
              <c:f>Sheet1!$B$1</c:f>
              <c:strCache>
                <c:ptCount val="1"/>
                <c:pt idx="0">
                  <c:v>第一产业</c:v>
                </c:pt>
              </c:strCache>
            </c:strRef>
          </c:tx>
          <c:invertIfNegative val="0"/>
          <c:dLbls>
            <c:delete val="1"/>
          </c:dLbls>
          <c:cat>
            <c:strRef>
              <c:f>Sheet1!$A$2:$A$7</c:f>
              <c:strCache>
                <c:ptCount val="6"/>
                <c:pt idx="0">
                  <c:v>2017年</c:v>
                </c:pt>
                <c:pt idx="1">
                  <c:v>2018年</c:v>
                </c:pt>
                <c:pt idx="2">
                  <c:v>2019年</c:v>
                </c:pt>
                <c:pt idx="3">
                  <c:v>2020年</c:v>
                </c:pt>
                <c:pt idx="4">
                  <c:v>2021年</c:v>
                </c:pt>
                <c:pt idx="5">
                  <c:v>2022年</c:v>
                </c:pt>
              </c:strCache>
            </c:strRef>
          </c:cat>
          <c:val>
            <c:numRef>
              <c:f>Sheet1!$B$2:$B$7</c:f>
              <c:numCache>
                <c:formatCode>General</c:formatCode>
                <c:ptCount val="6"/>
                <c:pt idx="0">
                  <c:v>0.1</c:v>
                </c:pt>
                <c:pt idx="1">
                  <c:v>0</c:v>
                </c:pt>
                <c:pt idx="2">
                  <c:v>0</c:v>
                </c:pt>
                <c:pt idx="3">
                  <c:v>0</c:v>
                </c:pt>
                <c:pt idx="4">
                  <c:v>0</c:v>
                </c:pt>
                <c:pt idx="5">
                  <c:v>0</c:v>
                </c:pt>
              </c:numCache>
            </c:numRef>
          </c:val>
        </c:ser>
        <c:ser>
          <c:idx val="1"/>
          <c:order val="1"/>
          <c:tx>
            <c:strRef>
              <c:f>Sheet1!$C$1</c:f>
              <c:strCache>
                <c:ptCount val="1"/>
                <c:pt idx="0">
                  <c:v>第二产业</c:v>
                </c:pt>
              </c:strCache>
            </c:strRef>
          </c:tx>
          <c:spPr>
            <a:solidFill>
              <a:schemeClr val="accent1"/>
            </a:solidFill>
            <a:effectLst/>
          </c:spPr>
          <c:invertIfNegative val="0"/>
          <c:dLbls>
            <c:numFmt formatCode="#,##0.0_);\(#,##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dk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Sheet1!$A$2:$A$7</c:f>
              <c:strCache>
                <c:ptCount val="6"/>
                <c:pt idx="0">
                  <c:v>2017年</c:v>
                </c:pt>
                <c:pt idx="1">
                  <c:v>2018年</c:v>
                </c:pt>
                <c:pt idx="2">
                  <c:v>2019年</c:v>
                </c:pt>
                <c:pt idx="3">
                  <c:v>2020年</c:v>
                </c:pt>
                <c:pt idx="4">
                  <c:v>2021年</c:v>
                </c:pt>
                <c:pt idx="5">
                  <c:v>2022年</c:v>
                </c:pt>
              </c:strCache>
            </c:strRef>
          </c:cat>
          <c:val>
            <c:numRef>
              <c:f>Sheet1!$C$2:$C$7</c:f>
              <c:numCache>
                <c:formatCode>General</c:formatCode>
                <c:ptCount val="6"/>
                <c:pt idx="0">
                  <c:v>78</c:v>
                </c:pt>
                <c:pt idx="1">
                  <c:v>70.6</c:v>
                </c:pt>
                <c:pt idx="2">
                  <c:v>76.2</c:v>
                </c:pt>
                <c:pt idx="3">
                  <c:v>64.6</c:v>
                </c:pt>
                <c:pt idx="4">
                  <c:v>63.5</c:v>
                </c:pt>
                <c:pt idx="5">
                  <c:v>73.7</c:v>
                </c:pt>
              </c:numCache>
            </c:numRef>
          </c:val>
        </c:ser>
        <c:ser>
          <c:idx val="2"/>
          <c:order val="2"/>
          <c:tx>
            <c:strRef>
              <c:f>Sheet1!$D$1</c:f>
              <c:strCache>
                <c:ptCount val="1"/>
                <c:pt idx="0">
                  <c:v>第三产业</c:v>
                </c:pt>
              </c:strCache>
            </c:strRef>
          </c:tx>
          <c:spPr>
            <a:solidFill>
              <a:schemeClr val="accent2">
                <a:lumMod val="60000"/>
                <a:lumOff val="40000"/>
              </a:schemeClr>
            </a:solidFill>
            <a:effectLst/>
          </c:spPr>
          <c:invertIfNegative val="0"/>
          <c:dLbls>
            <c:dLbl>
              <c:idx val="0"/>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dk1"/>
                        </a:solidFill>
                        <a:latin typeface="+mn-lt"/>
                        <a:ea typeface="+mn-ea"/>
                        <a:cs typeface="+mn-cs"/>
                      </a:defRPr>
                    </a:pPr>
                    <a:r>
                      <a:t>2</a:t>
                    </a:r>
                    <a:r>
                      <a:rPr lang="en-US" altLang="zh-CN"/>
                      <a:t>2.0</a:t>
                    </a:r>
                    <a:endParaRPr lang="en-US" altLang="zh-CN"/>
                  </a:p>
                </c:rich>
              </c:tx>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0"/>
                  <c:y val="0.00402252614641995"/>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dk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Sheet1!$A$2:$A$7</c:f>
              <c:strCache>
                <c:ptCount val="6"/>
                <c:pt idx="0">
                  <c:v>2017年</c:v>
                </c:pt>
                <c:pt idx="1">
                  <c:v>2018年</c:v>
                </c:pt>
                <c:pt idx="2">
                  <c:v>2019年</c:v>
                </c:pt>
                <c:pt idx="3">
                  <c:v>2020年</c:v>
                </c:pt>
                <c:pt idx="4">
                  <c:v>2021年</c:v>
                </c:pt>
                <c:pt idx="5">
                  <c:v>2022年</c:v>
                </c:pt>
              </c:strCache>
            </c:strRef>
          </c:cat>
          <c:val>
            <c:numRef>
              <c:f>Sheet1!$D$2:$D$7</c:f>
              <c:numCache>
                <c:formatCode>General</c:formatCode>
                <c:ptCount val="6"/>
                <c:pt idx="0">
                  <c:v>21.9</c:v>
                </c:pt>
                <c:pt idx="1">
                  <c:v>29.4</c:v>
                </c:pt>
                <c:pt idx="2">
                  <c:v>23.8</c:v>
                </c:pt>
                <c:pt idx="3">
                  <c:v>35.4</c:v>
                </c:pt>
                <c:pt idx="4">
                  <c:v>36.5</c:v>
                </c:pt>
                <c:pt idx="5">
                  <c:v>26.3</c:v>
                </c:pt>
              </c:numCache>
            </c:numRef>
          </c:val>
        </c:ser>
        <c:dLbls>
          <c:showLegendKey val="0"/>
          <c:showVal val="0"/>
          <c:showCatName val="0"/>
          <c:showSerName val="0"/>
          <c:showPercent val="0"/>
          <c:showBubbleSize val="0"/>
        </c:dLbls>
        <c:gapWidth val="150"/>
        <c:overlap val="100"/>
        <c:axId val="224575488"/>
        <c:axId val="224579968"/>
      </c:barChart>
      <c:catAx>
        <c:axId val="22457548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dk1"/>
                </a:solidFill>
                <a:latin typeface="+mn-lt"/>
                <a:ea typeface="+mn-ea"/>
                <a:cs typeface="+mn-cs"/>
              </a:defRPr>
            </a:pPr>
          </a:p>
        </c:txPr>
        <c:crossAx val="224579968"/>
        <c:crossesAt val="0"/>
        <c:auto val="1"/>
        <c:lblAlgn val="ctr"/>
        <c:lblOffset val="100"/>
        <c:noMultiLvlLbl val="0"/>
      </c:catAx>
      <c:valAx>
        <c:axId val="224579968"/>
        <c:scaling>
          <c:orientation val="minMax"/>
          <c:max val="100"/>
          <c:min val="0"/>
        </c:scaling>
        <c:delete val="0"/>
        <c:axPos val="l"/>
        <c:numFmt formatCode="#,##0;\-#,##0"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dk1"/>
                </a:solidFill>
                <a:latin typeface="+mn-lt"/>
                <a:ea typeface="+mn-ea"/>
                <a:cs typeface="+mn-cs"/>
              </a:defRPr>
            </a:pPr>
          </a:p>
        </c:txPr>
        <c:crossAx val="224575488"/>
        <c:crosses val="autoZero"/>
        <c:crossBetween val="between"/>
        <c:majorUnit val="20"/>
        <c:minorUnit val="20"/>
      </c:valAx>
    </c:plotArea>
    <c:legend>
      <c:legendPos val="b"/>
      <c:legendEntry>
        <c:idx val="0"/>
        <c:delete val="1"/>
      </c:legendEntry>
      <c:layout>
        <c:manualLayout>
          <c:xMode val="edge"/>
          <c:yMode val="edge"/>
          <c:x val="0.246343317959194"/>
          <c:y val="0.899278416749076"/>
          <c:w val="0.494394867308266"/>
          <c:h val="0.0817994262345114"/>
        </c:manualLayout>
      </c:layout>
      <c:overlay val="0"/>
      <c:txPr>
        <a:bodyPr rot="0" spcFirstLastPara="0" vertOverflow="ellipsis" vert="horz" wrap="square" anchor="ctr" anchorCtr="1"/>
        <a:lstStyle/>
        <a:p>
          <a:pPr>
            <a:defRPr lang="zh-CN" sz="1000" b="0" i="0" u="none" strike="noStrike" kern="1200" baseline="0">
              <a:solidFill>
                <a:schemeClr val="dk1"/>
              </a:solidFill>
              <a:latin typeface="+mn-lt"/>
              <a:ea typeface="+mn-ea"/>
              <a:cs typeface="+mn-cs"/>
            </a:defRPr>
          </a:pPr>
        </a:p>
      </c:txPr>
    </c:legend>
    <c:plotVisOnly val="1"/>
    <c:dispBlanksAs val="gap"/>
    <c:showDLblsOverMax val="0"/>
  </c:chart>
  <c:spPr>
    <a:noFill/>
    <a:ln w="25400" cap="flat" cmpd="sng" algn="ctr">
      <a:noFill/>
      <a:prstDash val="solid"/>
      <a:round/>
    </a:ln>
    <a:effectLst/>
  </c:spPr>
  <c:txPr>
    <a:bodyPr/>
    <a:lstStyle/>
    <a:p>
      <a:pPr>
        <a:defRPr lang="zh-CN">
          <a:solidFill>
            <a:schemeClr val="dk1"/>
          </a:solidFill>
          <a:latin typeface="+mn-lt"/>
          <a:ea typeface="+mn-ea"/>
          <a:cs typeface="+mn-cs"/>
        </a:defRPr>
      </a:pP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w="25887">
          <a:noFill/>
        </a:ln>
      </c:spPr>
      <c:tx>
        <c:rich>
          <a:bodyPr/>
          <a:lstStyle/>
          <a:p>
            <a:pPr>
              <a:defRPr/>
            </a:pPr>
          </a:p>
        </c:rich>
      </c:tx>
    </c:title>
    <c:autoTitleDeleted val="0"/>
    <c:plotArea>
      <c:layout>
        <c:manualLayout>
          <c:layoutTarget val="inner"/>
          <c:xMode val="edge"/>
          <c:yMode val="edge"/>
          <c:x val="0.0860823501083554"/>
          <c:y val="0.167272632841452"/>
          <c:w val="0.830122802793162"/>
          <c:h val="0.639377400444714"/>
        </c:manualLayout>
      </c:layout>
      <c:barChart>
        <c:barDir val="col"/>
        <c:grouping val="clustered"/>
        <c:varyColors val="0"/>
        <c:ser>
          <c:idx val="0"/>
          <c:order val="0"/>
          <c:tx>
            <c:strRef>
              <c:f>Sheet1!$B$1</c:f>
              <c:strCache>
                <c:ptCount val="1"/>
                <c:pt idx="0">
                  <c:v>零售额总量（亿元）</c:v>
                </c:pt>
              </c:strCache>
            </c:strRef>
          </c:tx>
          <c:spPr>
            <a:solidFill>
              <a:schemeClr val="accent2">
                <a:lumMod val="60000"/>
                <a:lumOff val="40000"/>
              </a:schemeClr>
            </a:solidFill>
            <a:ln w="12943">
              <a:noFill/>
            </a:ln>
            <a:effectLst>
              <a:outerShdw blurRad="76200" dir="18900000" sy="23000" kx="-1200000" algn="bl" rotWithShape="0">
                <a:prstClr val="black">
                  <a:alpha val="20000"/>
                </a:prstClr>
              </a:outerShdw>
            </a:effectLst>
            <a:scene3d>
              <a:camera prst="orthographicFront"/>
              <a:lightRig rig="threePt" dir="t"/>
            </a:scene3d>
            <a:sp3d prstMaterial="matte">
              <a:contourClr>
                <a:srgbClr val="000000"/>
              </a:contourClr>
            </a:sp3d>
          </c:spPr>
          <c:invertIfNegative val="0"/>
          <c:dLbls>
            <c:dLbl>
              <c:idx val="0"/>
              <c:layout>
                <c:manualLayout>
                  <c:x val="0"/>
                  <c:y val="0.0011308446975993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742836503732242"/>
                  <c:y val="0.19279253977490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007861675727435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240789790512882"/>
                  <c:y val="-0.011259362350030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469307678914644"/>
                  <c:y val="0.08871447978531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25887">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Sheet1!$A$2:$A$7</c:f>
              <c:strCache>
                <c:ptCount val="6"/>
                <c:pt idx="0" c:formatCode="yyyy/m/d">
                  <c:v>2017年</c:v>
                </c:pt>
                <c:pt idx="1" c:formatCode="yyyy/m/d">
                  <c:v>2018年</c:v>
                </c:pt>
                <c:pt idx="2" c:formatCode="yyyy/m/d">
                  <c:v>2019年</c:v>
                </c:pt>
                <c:pt idx="3" c:formatCode="yyyy/m/d">
                  <c:v>2020年</c:v>
                </c:pt>
                <c:pt idx="4" c:formatCode="yyyy/m/d">
                  <c:v>2021年</c:v>
                </c:pt>
                <c:pt idx="5" c:formatCode="yyyy/m/d">
                  <c:v>2022年</c:v>
                </c:pt>
              </c:strCache>
            </c:strRef>
          </c:cat>
          <c:val>
            <c:numRef>
              <c:f>Sheet1!$B$2:$B$7</c:f>
              <c:numCache>
                <c:formatCode>General</c:formatCode>
                <c:ptCount val="6"/>
                <c:pt idx="0">
                  <c:v>191.1</c:v>
                </c:pt>
                <c:pt idx="1">
                  <c:v>204.1</c:v>
                </c:pt>
                <c:pt idx="2">
                  <c:v>216.6</c:v>
                </c:pt>
                <c:pt idx="3" c:formatCode="0.0_ ;[Red]\-0.0\ ">
                  <c:v>190.9</c:v>
                </c:pt>
                <c:pt idx="4" c:formatCode="0.0_ ;[Red]\-0.0\ ">
                  <c:v>208.5</c:v>
                </c:pt>
                <c:pt idx="5" c:formatCode="0.0_ ;[Red]\-0.0\ ">
                  <c:v>201.9</c:v>
                </c:pt>
              </c:numCache>
            </c:numRef>
          </c:val>
        </c:ser>
        <c:dLbls>
          <c:showLegendKey val="0"/>
          <c:showVal val="1"/>
          <c:showCatName val="0"/>
          <c:showSerName val="0"/>
          <c:showPercent val="0"/>
          <c:showBubbleSize val="0"/>
        </c:dLbls>
        <c:gapWidth val="150"/>
        <c:axId val="132656128"/>
        <c:axId val="132678400"/>
      </c:barChart>
      <c:lineChart>
        <c:grouping val="standard"/>
        <c:varyColors val="0"/>
        <c:ser>
          <c:idx val="4"/>
          <c:order val="1"/>
          <c:tx>
            <c:strRef>
              <c:f>Sheet1!$C$1</c:f>
              <c:strCache>
                <c:ptCount val="1"/>
                <c:pt idx="0">
                  <c:v>增速(%)</c:v>
                </c:pt>
              </c:strCache>
            </c:strRef>
          </c:tx>
          <c:spPr>
            <a:ln w="19414" cap="rnd" cmpd="sng" algn="ctr">
              <a:solidFill>
                <a:schemeClr val="tx1"/>
              </a:solidFill>
              <a:prstDash val="solid"/>
              <a:round/>
            </a:ln>
          </c:spPr>
          <c:marker>
            <c:symbol val="circle"/>
            <c:size val="5"/>
            <c:spPr>
              <a:gradFill flip="none" rotWithShape="1">
                <a:gsLst>
                  <a:gs pos="0">
                    <a:srgbClr val="3399FF"/>
                  </a:gs>
                  <a:gs pos="16000">
                    <a:srgbClr val="00CCCC"/>
                  </a:gs>
                  <a:gs pos="47000">
                    <a:srgbClr val="9999FF"/>
                  </a:gs>
                  <a:gs pos="60001">
                    <a:srgbClr val="2E6792"/>
                  </a:gs>
                  <a:gs pos="71001">
                    <a:srgbClr val="3333CC"/>
                  </a:gs>
                  <a:gs pos="81000">
                    <a:srgbClr val="1170FF"/>
                  </a:gs>
                  <a:gs pos="100000">
                    <a:srgbClr val="006699"/>
                  </a:gs>
                </a:gsLst>
                <a:lin ang="5400000" scaled="1"/>
                <a:tileRect/>
              </a:gradFill>
              <a:ln w="0" cap="flat" cmpd="sng" algn="ctr">
                <a:gradFill>
                  <a:gsLst>
                    <a:gs pos="0">
                      <a:srgbClr val="000000"/>
                    </a:gs>
                    <a:gs pos="39999">
                      <a:srgbClr val="0A128C"/>
                    </a:gs>
                    <a:gs pos="70000">
                      <a:srgbClr val="181CC7"/>
                    </a:gs>
                    <a:gs pos="88000">
                      <a:srgbClr val="7005D4"/>
                    </a:gs>
                    <a:gs pos="100000">
                      <a:srgbClr val="8C3D91"/>
                    </a:gs>
                  </a:gsLst>
                  <a:lin ang="5400000" scaled="0"/>
                </a:gradFill>
                <a:prstDash val="solid"/>
                <a:round/>
              </a:ln>
            </c:spPr>
          </c:marker>
          <c:dPt>
            <c:idx val="1"/>
            <c:marker>
              <c:symbol val="circle"/>
              <c:size val="5"/>
              <c:spPr>
                <a:solidFill>
                  <a:schemeClr val="accent1">
                    <a:lumMod val="75000"/>
                  </a:schemeClr>
                </a:solidFill>
                <a:ln w="0" cap="flat" cmpd="sng" algn="ctr">
                  <a:gradFill>
                    <a:gsLst>
                      <a:gs pos="0">
                        <a:srgbClr val="000000"/>
                      </a:gs>
                      <a:gs pos="39999">
                        <a:srgbClr val="0A128C"/>
                      </a:gs>
                      <a:gs pos="70000">
                        <a:srgbClr val="181CC7"/>
                      </a:gs>
                      <a:gs pos="88000">
                        <a:srgbClr val="7005D4"/>
                      </a:gs>
                      <a:gs pos="100000">
                        <a:srgbClr val="8C3D91"/>
                      </a:gs>
                    </a:gsLst>
                    <a:lin ang="5400000" scaled="0"/>
                  </a:gradFill>
                  <a:prstDash val="solid"/>
                  <a:round/>
                </a:ln>
              </c:spPr>
            </c:marker>
            <c:bubble3D val="0"/>
          </c:dPt>
          <c:dPt>
            <c:idx val="2"/>
            <c:marker>
              <c:symbol val="circle"/>
              <c:size val="5"/>
              <c:spPr>
                <a:solidFill>
                  <a:srgbClr val="0070C0"/>
                </a:solidFill>
                <a:ln w="0" cap="flat" cmpd="sng" algn="ctr">
                  <a:gradFill>
                    <a:gsLst>
                      <a:gs pos="0">
                        <a:srgbClr val="000000"/>
                      </a:gs>
                      <a:gs pos="39999">
                        <a:srgbClr val="0A128C"/>
                      </a:gs>
                      <a:gs pos="70000">
                        <a:srgbClr val="181CC7"/>
                      </a:gs>
                      <a:gs pos="88000">
                        <a:srgbClr val="7005D4"/>
                      </a:gs>
                      <a:gs pos="100000">
                        <a:srgbClr val="8C3D91"/>
                      </a:gs>
                    </a:gsLst>
                    <a:lin ang="5400000" scaled="0"/>
                  </a:gradFill>
                  <a:prstDash val="solid"/>
                  <a:round/>
                </a:ln>
              </c:spPr>
            </c:marker>
            <c:bubble3D val="0"/>
          </c:dPt>
          <c:dLbls>
            <c:dLbl>
              <c:idx val="0"/>
              <c:layout>
                <c:manualLayout>
                  <c:x val="-0.0385263664820612"/>
                  <c:y val="-0.05779153766769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70816277389839"/>
                  <c:y val="-0.075059770794859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408724553543496"/>
                  <c:y val="-0.050962256099312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520149768898"/>
                  <c:y val="0.05225718840872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01639645754611"/>
                  <c:y val="-0.059417739018692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numFmt formatCode="#,##0.0_ " sourceLinked="0"/>
            <c:spPr>
              <a:solidFill>
                <a:schemeClr val="accent1">
                  <a:lumMod val="60000"/>
                  <a:lumOff val="40000"/>
                </a:schemeClr>
              </a:solidFill>
              <a:ln w="12943">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Sheet1!$A$2:$A$7</c:f>
              <c:strCache>
                <c:ptCount val="6"/>
                <c:pt idx="0" c:formatCode="yyyy/m/d">
                  <c:v>2017年</c:v>
                </c:pt>
                <c:pt idx="1" c:formatCode="yyyy/m/d">
                  <c:v>2018年</c:v>
                </c:pt>
                <c:pt idx="2" c:formatCode="yyyy/m/d">
                  <c:v>2019年</c:v>
                </c:pt>
                <c:pt idx="3" c:formatCode="yyyy/m/d">
                  <c:v>2020年</c:v>
                </c:pt>
                <c:pt idx="4" c:formatCode="yyyy/m/d">
                  <c:v>2021年</c:v>
                </c:pt>
                <c:pt idx="5" c:formatCode="yyyy/m/d">
                  <c:v>2022年</c:v>
                </c:pt>
              </c:strCache>
            </c:strRef>
          </c:cat>
          <c:val>
            <c:numRef>
              <c:f>Sheet1!$C$2:$C$7</c:f>
              <c:numCache>
                <c:formatCode>0.0_ ;[Red]\-0.0\ </c:formatCode>
                <c:ptCount val="6"/>
                <c:pt idx="0">
                  <c:v>5.4</c:v>
                </c:pt>
                <c:pt idx="1">
                  <c:v>7.5</c:v>
                </c:pt>
                <c:pt idx="2">
                  <c:v>6.1</c:v>
                </c:pt>
                <c:pt idx="3">
                  <c:v>0.2</c:v>
                </c:pt>
                <c:pt idx="4">
                  <c:v>9.3</c:v>
                </c:pt>
                <c:pt idx="5">
                  <c:v>-3.2</c:v>
                </c:pt>
              </c:numCache>
            </c:numRef>
          </c:val>
          <c:smooth val="0"/>
        </c:ser>
        <c:dLbls>
          <c:showLegendKey val="0"/>
          <c:showVal val="0"/>
          <c:showCatName val="0"/>
          <c:showSerName val="0"/>
          <c:showPercent val="0"/>
          <c:showBubbleSize val="0"/>
        </c:dLbls>
        <c:hiLowLines>
          <c:spPr>
            <a:ln w="9525" cap="flat" cmpd="sng" algn="ctr">
              <a:noFill/>
              <a:prstDash val="solid"/>
              <a:round/>
            </a:ln>
          </c:spPr>
        </c:hiLowLines>
        <c:marker val="1"/>
        <c:smooth val="0"/>
        <c:axId val="132679936"/>
        <c:axId val="132694016"/>
      </c:lineChart>
      <c:catAx>
        <c:axId val="132656128"/>
        <c:scaling>
          <c:orientation val="minMax"/>
        </c:scaling>
        <c:delete val="0"/>
        <c:axPos val="b"/>
        <c:numFmt formatCode="m\/d\/yyyy"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78400"/>
        <c:crosses val="autoZero"/>
        <c:auto val="1"/>
        <c:lblAlgn val="ctr"/>
        <c:lblOffset val="100"/>
        <c:noMultiLvlLbl val="0"/>
      </c:catAx>
      <c:valAx>
        <c:axId val="132678400"/>
        <c:scaling>
          <c:orientation val="minMax"/>
        </c:scaling>
        <c:delete val="0"/>
        <c:axPos val="l"/>
        <c:majorGridlines>
          <c:spPr>
            <a:ln w="0" cap="flat" cmpd="sng" algn="ctr">
              <a:solidFill>
                <a:schemeClr val="bg1">
                  <a:lumMod val="85000"/>
                </a:schemeClr>
              </a:solidFill>
              <a:prstDash val="solid"/>
              <a:round/>
            </a:ln>
            <a:effectLst/>
          </c:spPr>
        </c:majorGridlines>
        <c:numFmt formatCode="General" sourceLinked="1"/>
        <c:majorTickMark val="out"/>
        <c:minorTickMark val="none"/>
        <c:tickLblPos val="nextTo"/>
        <c:spPr>
          <a:noFill/>
          <a:ln w="9525" cap="flat" cmpd="sng" algn="ctr">
            <a:solidFill>
              <a:schemeClr val="dk1">
                <a:shade val="95000"/>
                <a:satMod val="105000"/>
              </a:schemeClr>
            </a:solid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56128"/>
        <c:crosses val="autoZero"/>
        <c:crossBetween val="between"/>
      </c:valAx>
      <c:catAx>
        <c:axId val="132679936"/>
        <c:scaling>
          <c:orientation val="minMax"/>
        </c:scaling>
        <c:delete val="1"/>
        <c:axPos val="b"/>
        <c:majorTickMark val="out"/>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94016"/>
        <c:crosses val="autoZero"/>
        <c:auto val="1"/>
        <c:lblAlgn val="ctr"/>
        <c:lblOffset val="100"/>
        <c:noMultiLvlLbl val="0"/>
      </c:catAx>
      <c:valAx>
        <c:axId val="132694016"/>
        <c:scaling>
          <c:orientation val="minMax"/>
        </c:scaling>
        <c:delete val="0"/>
        <c:axPos val="r"/>
        <c:numFmt formatCode="#,##0.0_ " sourceLinked="0"/>
        <c:majorTickMark val="out"/>
        <c:minorTickMark val="none"/>
        <c:tickLblPos val="nextTo"/>
        <c:spPr>
          <a:noFill/>
          <a:ln w="12943"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79936"/>
        <c:crosses val="max"/>
        <c:crossBetween val="between"/>
      </c:valAx>
      <c:spPr>
        <a:noFill/>
        <a:ln>
          <a:noFill/>
        </a:ln>
      </c:spPr>
    </c:plotArea>
    <c:legend>
      <c:legendPos val="r"/>
      <c:layout>
        <c:manualLayout>
          <c:xMode val="edge"/>
          <c:yMode val="edge"/>
          <c:x val="0.258563095465124"/>
          <c:y val="0.916769309156529"/>
          <c:w val="0.477272773832135"/>
          <c:h val="0.0703809140558359"/>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noFill/>
    <a:ln w="9525" cap="flat" cmpd="sng" algn="ctr">
      <a:noFill/>
      <a:prstDash val="solid"/>
      <a:round/>
    </a:ln>
  </c:spPr>
  <c:txPr>
    <a:bodyPr/>
    <a:lstStyle/>
    <a:p>
      <a:pPr>
        <a:defRPr lang="zh-CN"/>
      </a:pPr>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48457745671368"/>
          <c:y val="0.176199709161415"/>
          <c:w val="0.922531819745442"/>
          <c:h val="0.652544837615124"/>
        </c:manualLayout>
      </c:layout>
      <c:barChart>
        <c:barDir val="col"/>
        <c:grouping val="clustered"/>
        <c:varyColors val="0"/>
        <c:ser>
          <c:idx val="1"/>
          <c:order val="0"/>
          <c:tx>
            <c:strRef>
              <c:f>Sheet1!$C$1</c:f>
              <c:strCache>
                <c:ptCount val="1"/>
                <c:pt idx="0">
                  <c:v>一般公共预算收入</c:v>
                </c:pt>
              </c:strCache>
            </c:strRef>
          </c:tx>
          <c:spPr>
            <a:solidFill>
              <a:schemeClr val="accent2">
                <a:alpha val="70000"/>
              </a:schemeClr>
            </a:solidFill>
            <a:ln>
              <a:noFill/>
            </a:ln>
            <a:effectLst/>
          </c:spPr>
          <c:invertIfNegative val="0"/>
          <c:dLbls>
            <c:dLbl>
              <c:idx val="3"/>
              <c:layout>
                <c:manualLayout>
                  <c:x val="0.000402775489280693"/>
                  <c:y val="-0.004645516023518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tx1">
                          <a:lumMod val="35000"/>
                          <a:lumOff val="65000"/>
                        </a:schemeClr>
                      </a:solidFill>
                    </a:ln>
                    <a:effectLst/>
                  </c:spPr>
                </c15:leaderLines>
              </c:ext>
            </c:extLst>
          </c:dLbls>
          <c:cat>
            <c:strRef>
              <c:f>Sheet1!$A$2:$A$6</c:f>
              <c:strCache>
                <c:ptCount val="5"/>
                <c:pt idx="0">
                  <c:v>2018年</c:v>
                </c:pt>
                <c:pt idx="1">
                  <c:v>2019年</c:v>
                </c:pt>
                <c:pt idx="2">
                  <c:v>2020年</c:v>
                </c:pt>
                <c:pt idx="3">
                  <c:v>2021年</c:v>
                </c:pt>
                <c:pt idx="4">
                  <c:v>2022年</c:v>
                </c:pt>
              </c:strCache>
            </c:strRef>
          </c:cat>
          <c:val>
            <c:numRef>
              <c:f>Sheet1!$C$2:$C$6</c:f>
              <c:numCache>
                <c:formatCode>General</c:formatCode>
                <c:ptCount val="5"/>
                <c:pt idx="0">
                  <c:v>18.2</c:v>
                </c:pt>
                <c:pt idx="1">
                  <c:v>20.4</c:v>
                </c:pt>
                <c:pt idx="2">
                  <c:v>19.9</c:v>
                </c:pt>
                <c:pt idx="3">
                  <c:v>19.3</c:v>
                </c:pt>
                <c:pt idx="4" c:formatCode="0.0_ ">
                  <c:v>18</c:v>
                </c:pt>
              </c:numCache>
            </c:numRef>
          </c:val>
        </c:ser>
        <c:ser>
          <c:idx val="2"/>
          <c:order val="1"/>
          <c:tx>
            <c:strRef>
              <c:f>Sheet1!$D$1</c:f>
              <c:strCache>
                <c:ptCount val="1"/>
                <c:pt idx="0">
                  <c:v>一般公共预算支出</c:v>
                </c:pt>
              </c:strCache>
            </c:strRef>
          </c:tx>
          <c:spPr>
            <a:solidFill>
              <a:schemeClr val="tx2">
                <a:alpha val="69000"/>
              </a:schemeClr>
            </a:solidFill>
            <a:ln>
              <a:noFill/>
            </a:ln>
            <a:effectLst/>
          </c:spPr>
          <c:invertIfNegative val="0"/>
          <c:dLbls>
            <c:dLbl>
              <c:idx val="3"/>
              <c:layout>
                <c:manualLayout>
                  <c:x val="0.014109347442680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tx1">
                          <a:lumMod val="35000"/>
                          <a:lumOff val="65000"/>
                        </a:schemeClr>
                      </a:solidFill>
                    </a:ln>
                    <a:effectLst/>
                  </c:spPr>
                </c15:leaderLines>
              </c:ext>
            </c:extLst>
          </c:dLbls>
          <c:cat>
            <c:strRef>
              <c:f>Sheet1!$A$2:$A$6</c:f>
              <c:strCache>
                <c:ptCount val="5"/>
                <c:pt idx="0">
                  <c:v>2018年</c:v>
                </c:pt>
                <c:pt idx="1">
                  <c:v>2019年</c:v>
                </c:pt>
                <c:pt idx="2">
                  <c:v>2020年</c:v>
                </c:pt>
                <c:pt idx="3">
                  <c:v>2021年</c:v>
                </c:pt>
                <c:pt idx="4">
                  <c:v>2022年</c:v>
                </c:pt>
              </c:strCache>
            </c:strRef>
          </c:cat>
          <c:val>
            <c:numRef>
              <c:f>Sheet1!$D$2:$D$6</c:f>
              <c:numCache>
                <c:formatCode>General</c:formatCode>
                <c:ptCount val="5"/>
                <c:pt idx="0">
                  <c:v>22.9</c:v>
                </c:pt>
                <c:pt idx="1">
                  <c:v>22.3</c:v>
                </c:pt>
                <c:pt idx="2">
                  <c:v>22.4</c:v>
                </c:pt>
                <c:pt idx="3" c:formatCode="0.0_ ">
                  <c:v>20</c:v>
                </c:pt>
                <c:pt idx="4">
                  <c:v>26.8</c:v>
                </c:pt>
              </c:numCache>
            </c:numRef>
          </c:val>
        </c:ser>
        <c:dLbls>
          <c:showLegendKey val="0"/>
          <c:showVal val="1"/>
          <c:showCatName val="0"/>
          <c:showSerName val="0"/>
          <c:showPercent val="0"/>
          <c:showBubbleSize val="0"/>
        </c:dLbls>
        <c:gapWidth val="80"/>
        <c:overlap val="25"/>
        <c:axId val="167284096"/>
        <c:axId val="131867776"/>
      </c:barChart>
      <c:catAx>
        <c:axId val="167284096"/>
        <c:scaling>
          <c:orientation val="minMax"/>
        </c:scaling>
        <c:delete val="0"/>
        <c:axPos val="b"/>
        <c:numFmt formatCode="General" sourceLinked="1"/>
        <c:majorTickMark val="out"/>
        <c:minorTickMark val="none"/>
        <c:tickLblPos val="nextTo"/>
        <c:spPr>
          <a:noFill/>
          <a:ln w="15875" cap="flat" cmpd="sng" algn="ctr">
            <a:solidFill>
              <a:schemeClr val="tx1">
                <a:lumMod val="25000"/>
                <a:lumOff val="75000"/>
              </a:schemeClr>
            </a:solidFill>
            <a:round/>
          </a:ln>
          <a:effectLst/>
        </c:spPr>
        <c:txPr>
          <a:bodyPr rot="-60000000" spcFirstLastPara="0" vertOverflow="ellipsis" vert="horz" wrap="square" anchor="ctr" anchorCtr="1"/>
          <a:lstStyle/>
          <a:p>
            <a:pPr>
              <a:defRPr lang="zh-CN" sz="900" b="0" i="0" u="none" strike="noStrike" kern="1200" cap="none" spc="20" normalizeH="0" baseline="0">
                <a:solidFill>
                  <a:schemeClr val="tx1">
                    <a:lumMod val="65000"/>
                    <a:lumOff val="35000"/>
                  </a:schemeClr>
                </a:solidFill>
                <a:latin typeface="+mn-lt"/>
                <a:ea typeface="+mn-ea"/>
                <a:cs typeface="+mn-cs"/>
              </a:defRPr>
            </a:pPr>
          </a:p>
        </c:txPr>
        <c:crossAx val="131867776"/>
        <c:crosses val="autoZero"/>
        <c:auto val="1"/>
        <c:lblAlgn val="ctr"/>
        <c:lblOffset val="100"/>
        <c:noMultiLvlLbl val="0"/>
      </c:catAx>
      <c:valAx>
        <c:axId val="131867776"/>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spc="20" baseline="0">
                <a:solidFill>
                  <a:schemeClr val="tx1">
                    <a:lumMod val="65000"/>
                    <a:lumOff val="35000"/>
                  </a:schemeClr>
                </a:solidFill>
                <a:latin typeface="+mn-lt"/>
                <a:ea typeface="+mn-ea"/>
                <a:cs typeface="+mn-cs"/>
              </a:defRPr>
            </a:pPr>
          </a:p>
        </c:txPr>
        <c:crossAx val="167284096"/>
        <c:crosses val="autoZero"/>
        <c:crossBetween val="between"/>
      </c:valAx>
      <c:spPr>
        <a:noFill/>
        <a:ln>
          <a:noFill/>
        </a:ln>
        <a:effectLst/>
      </c:spPr>
    </c:plotArea>
    <c:legend>
      <c:legendPos val="b"/>
      <c:layout>
        <c:manualLayout>
          <c:xMode val="edge"/>
          <c:yMode val="edge"/>
          <c:x val="0.302602912510033"/>
          <c:y val="0.9120213281628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lang="zh-CN"/>
      </a:pPr>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0.80606</cdr:x>
      <cdr:y>0</cdr:y>
    </cdr:from>
    <cdr:to>
      <cdr:x>1</cdr:x>
      <cdr:y>0.08273</cdr:y>
    </cdr:to>
    <cdr:sp>
      <cdr:nvSpPr>
        <cdr:cNvPr id="2" name="矩形 1"/>
        <cdr:cNvSpPr/>
      </cdr:nvSpPr>
      <cdr:spPr xmlns:a="http://schemas.openxmlformats.org/drawingml/2006/main">
        <a:xfrm xmlns:a="http://schemas.openxmlformats.org/drawingml/2006/main">
          <a:off x="3800475" y="0"/>
          <a:ext cx="914400" cy="323850"/>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endParaRPr lang="zh-CN" altLang="en-US" sz="1100"/>
        </a:p>
      </cdr:txBody>
    </cdr:sp>
  </cdr:relSizeAnchor>
  <cdr:relSizeAnchor xmlns:cdr="http://schemas.openxmlformats.org/drawingml/2006/chartDrawing">
    <cdr:from>
      <cdr:x>0.02781</cdr:x>
      <cdr:y>0.03163</cdr:y>
    </cdr:from>
    <cdr:to>
      <cdr:x>0.09899</cdr:x>
      <cdr:y>0.12737</cdr:y>
    </cdr:to>
    <cdr:sp>
      <cdr:nvSpPr>
        <cdr:cNvPr id="3" name="矩形 2"/>
        <cdr:cNvSpPr/>
      </cdr:nvSpPr>
      <cdr:spPr xmlns:a="http://schemas.openxmlformats.org/drawingml/2006/main">
        <a:xfrm xmlns:a="http://schemas.openxmlformats.org/drawingml/2006/main" rot="16200000" flipH="1" flipV="1">
          <a:off x="111523" y="143412"/>
          <a:ext cx="374788" cy="335616"/>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endParaRPr lang="zh-CN" altLang="en-US" sz="1100"/>
        </a:p>
      </cdr:txBody>
    </cdr:sp>
  </cdr:relSizeAnchor>
  <cdr:relSizeAnchor xmlns:cdr="http://schemas.openxmlformats.org/drawingml/2006/chartDrawing">
    <cdr:from>
      <cdr:x>0.87071</cdr:x>
      <cdr:y>0</cdr:y>
    </cdr:from>
    <cdr:to>
      <cdr:x>1</cdr:x>
      <cdr:y>0.07056</cdr:y>
    </cdr:to>
    <cdr:sp>
      <cdr:nvSpPr>
        <cdr:cNvPr id="4" name="矩形 3"/>
        <cdr:cNvSpPr/>
      </cdr:nvSpPr>
      <cdr:spPr xmlns:a="http://schemas.openxmlformats.org/drawingml/2006/main">
        <a:xfrm xmlns:a="http://schemas.openxmlformats.org/drawingml/2006/main">
          <a:off x="4105275" y="0"/>
          <a:ext cx="609600" cy="276225"/>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r>
            <a:rPr lang="zh-CN" altLang="en-US" sz="1000" b="1"/>
            <a:t>单位</a:t>
          </a:r>
          <a:r>
            <a:rPr lang="en-US" altLang="zh-CN" sz="1000" b="1"/>
            <a:t>%</a:t>
          </a:r>
          <a:endParaRPr lang="zh-CN" altLang="en-US" sz="1000" b="1"/>
        </a:p>
      </cdr:txBody>
    </cdr:sp>
  </cdr:relSizeAnchor>
</c:userShapes>
</file>

<file path=word/drawings/drawing2.xml><?xml version="1.0" encoding="utf-8"?>
<c:userShapes xmlns:c="http://schemas.openxmlformats.org/drawingml/2006/chart">
  <cdr:relSizeAnchor xmlns:cdr="http://schemas.openxmlformats.org/drawingml/2006/chartDrawing">
    <cdr:from>
      <cdr:x>0.01184</cdr:x>
      <cdr:y>0.06382</cdr:y>
    </cdr:from>
    <cdr:to>
      <cdr:x>0.11024</cdr:x>
      <cdr:y>0.08229</cdr:y>
    </cdr:to>
    <cdr:sp>
      <cdr:nvSpPr>
        <cdr:cNvPr id="2" name="矩形 1"/>
        <cdr:cNvSpPr/>
      </cdr:nvSpPr>
      <cdr:spPr xmlns:a="http://schemas.openxmlformats.org/drawingml/2006/main">
        <a:xfrm xmlns:a="http://schemas.openxmlformats.org/drawingml/2006/main">
          <a:off x="57150" y="180975"/>
          <a:ext cx="495300" cy="51441"/>
        </a:xfrm>
        <a:prstGeom xmlns:a="http://schemas.openxmlformats.org/drawingml/2006/main" prst="rect">
          <a:avLst/>
        </a:prstGeom>
        <a:noFill/>
        <a:ln w="25400" cap="flat" cmpd="sng" algn="ctr">
          <a:solidFill>
            <a:sysClr val="window" lastClr="FFFFFF"/>
          </a:solidFill>
          <a:prstDash val="solid"/>
        </a:ln>
        <a:effectLst/>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xmlns:a="http://schemas.openxmlformats.org/drawingml/2006/main">
        <a:bodyPr vert="horz" wrap="none" lIns="45720" tIns="45720" rIns="45720" bIns="45720" anchor="t" anchorCtr="0">
          <a:normAutofit/>
        </a:bodyPr>
        <a:lstStyle>
          <a:lvl1pPr marL="0" indent="0">
            <a:defRPr sz="1100">
              <a:solidFill>
                <a:sysClr val="window" lastClr="FFFFFF"/>
              </a:solidFill>
              <a:latin typeface="Calibri" panose="020F0502020204030204"/>
            </a:defRPr>
          </a:lvl1pPr>
          <a:lvl2pPr marL="457200" indent="0">
            <a:defRPr sz="1100">
              <a:solidFill>
                <a:sysClr val="window" lastClr="FFFFFF"/>
              </a:solidFill>
              <a:latin typeface="Calibri" panose="020F0502020204030204"/>
            </a:defRPr>
          </a:lvl2pPr>
          <a:lvl3pPr marL="914400" indent="0">
            <a:defRPr sz="1100">
              <a:solidFill>
                <a:sysClr val="window" lastClr="FFFFFF"/>
              </a:solidFill>
              <a:latin typeface="Calibri" panose="020F0502020204030204"/>
            </a:defRPr>
          </a:lvl3pPr>
          <a:lvl4pPr marL="1371600" indent="0">
            <a:defRPr sz="1100">
              <a:solidFill>
                <a:sysClr val="window" lastClr="FFFFFF"/>
              </a:solidFill>
              <a:latin typeface="Calibri" panose="020F0502020204030204"/>
            </a:defRPr>
          </a:lvl4pPr>
          <a:lvl5pPr marL="1828800" indent="0">
            <a:defRPr sz="1100">
              <a:solidFill>
                <a:sysClr val="window" lastClr="FFFFFF"/>
              </a:solidFill>
              <a:latin typeface="Calibri" panose="020F0502020204030204"/>
            </a:defRPr>
          </a:lvl5pPr>
          <a:lvl6pPr marL="2286000" indent="0">
            <a:defRPr sz="1100">
              <a:solidFill>
                <a:sysClr val="window" lastClr="FFFFFF"/>
              </a:solidFill>
              <a:latin typeface="Calibri" panose="020F0502020204030204"/>
            </a:defRPr>
          </a:lvl6pPr>
          <a:lvl7pPr marL="2743200" indent="0">
            <a:defRPr sz="1100">
              <a:solidFill>
                <a:sysClr val="window" lastClr="FFFFFF"/>
              </a:solidFill>
              <a:latin typeface="Calibri" panose="020F0502020204030204"/>
            </a:defRPr>
          </a:lvl7pPr>
          <a:lvl8pPr marL="3200400" indent="0">
            <a:defRPr sz="1100">
              <a:solidFill>
                <a:sysClr val="window" lastClr="FFFFFF"/>
              </a:solidFill>
              <a:latin typeface="Calibri" panose="020F0502020204030204"/>
            </a:defRPr>
          </a:lvl8pPr>
          <a:lvl9pPr marL="3657600" indent="0">
            <a:defRPr sz="1100">
              <a:solidFill>
                <a:sysClr val="window" lastClr="FFFFFF"/>
              </a:solidFill>
              <a:latin typeface="Calibri" panose="020F0502020204030204"/>
            </a:defRPr>
          </a:lvl9pPr>
        </a:lstStyle>
        <a:p>
          <a:r>
            <a:rPr lang="zh-CN" altLang="en-US" sz="1000" b="1">
              <a:solidFill>
                <a:sysClr val="windowText" lastClr="000000"/>
              </a:solidFill>
            </a:rPr>
            <a:t>亿元</a:t>
          </a:r>
          <a:endParaRPr lang="zh-CN" sz="1000" b="1">
            <a:solidFill>
              <a:sysClr val="windowText" lastClr="000000"/>
            </a:solidFill>
          </a:endParaRPr>
        </a:p>
      </cdr:txBody>
    </cdr:sp>
  </cdr:relSizeAnchor>
  <cdr:relSizeAnchor xmlns:cdr="http://schemas.openxmlformats.org/drawingml/2006/chartDrawing">
    <cdr:from>
      <cdr:x>0.85867</cdr:x>
      <cdr:y>0.05044</cdr:y>
    </cdr:from>
    <cdr:to>
      <cdr:x>0.98972</cdr:x>
      <cdr:y>0.09034</cdr:y>
    </cdr:to>
    <cdr:sp>
      <cdr:nvSpPr>
        <cdr:cNvPr id="3" name="矩形 2"/>
        <cdr:cNvSpPr/>
      </cdr:nvSpPr>
      <cdr:spPr xmlns:a="http://schemas.openxmlformats.org/drawingml/2006/main">
        <a:xfrm xmlns:a="http://schemas.openxmlformats.org/drawingml/2006/main">
          <a:off x="4578984" y="142875"/>
          <a:ext cx="647701" cy="114300"/>
        </a:xfrm>
        <a:prstGeom xmlns:a="http://schemas.openxmlformats.org/drawingml/2006/main" prst="rect">
          <a:avLst/>
        </a:prstGeom>
        <a:noFill/>
        <a:ln w="25400" cap="flat" cmpd="sng" algn="ctr">
          <a:solidFill>
            <a:sysClr val="window" lastClr="FFFFFF"/>
          </a:solidFill>
          <a:prstDash val="solid"/>
        </a:ln>
        <a:effectLst/>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xmlns:a="http://schemas.openxmlformats.org/drawingml/2006/main">
        <a:bodyPr vert="horz" wrap="none" lIns="45720" tIns="45720" rIns="45720" bIns="45720" anchor="t" anchorCtr="0">
          <a:normAutofit/>
        </a:bodyPr>
        <a:lstStyle>
          <a:lvl1pPr marL="0" indent="0">
            <a:defRPr sz="1100">
              <a:solidFill>
                <a:sysClr val="window" lastClr="FFFFFF"/>
              </a:solidFill>
              <a:latin typeface="Calibri" panose="020F0502020204030204"/>
            </a:defRPr>
          </a:lvl1pPr>
          <a:lvl2pPr marL="457200" indent="0">
            <a:defRPr sz="1100">
              <a:solidFill>
                <a:sysClr val="window" lastClr="FFFFFF"/>
              </a:solidFill>
              <a:latin typeface="Calibri" panose="020F0502020204030204"/>
            </a:defRPr>
          </a:lvl2pPr>
          <a:lvl3pPr marL="914400" indent="0">
            <a:defRPr sz="1100">
              <a:solidFill>
                <a:sysClr val="window" lastClr="FFFFFF"/>
              </a:solidFill>
              <a:latin typeface="Calibri" panose="020F0502020204030204"/>
            </a:defRPr>
          </a:lvl3pPr>
          <a:lvl4pPr marL="1371600" indent="0">
            <a:defRPr sz="1100">
              <a:solidFill>
                <a:sysClr val="window" lastClr="FFFFFF"/>
              </a:solidFill>
              <a:latin typeface="Calibri" panose="020F0502020204030204"/>
            </a:defRPr>
          </a:lvl4pPr>
          <a:lvl5pPr marL="1828800" indent="0">
            <a:defRPr sz="1100">
              <a:solidFill>
                <a:sysClr val="window" lastClr="FFFFFF"/>
              </a:solidFill>
              <a:latin typeface="Calibri" panose="020F0502020204030204"/>
            </a:defRPr>
          </a:lvl5pPr>
          <a:lvl6pPr marL="2286000" indent="0">
            <a:defRPr sz="1100">
              <a:solidFill>
                <a:sysClr val="window" lastClr="FFFFFF"/>
              </a:solidFill>
              <a:latin typeface="Calibri" panose="020F0502020204030204"/>
            </a:defRPr>
          </a:lvl6pPr>
          <a:lvl7pPr marL="2743200" indent="0">
            <a:defRPr sz="1100">
              <a:solidFill>
                <a:sysClr val="window" lastClr="FFFFFF"/>
              </a:solidFill>
              <a:latin typeface="Calibri" panose="020F0502020204030204"/>
            </a:defRPr>
          </a:lvl7pPr>
          <a:lvl8pPr marL="3200400" indent="0">
            <a:defRPr sz="1100">
              <a:solidFill>
                <a:sysClr val="window" lastClr="FFFFFF"/>
              </a:solidFill>
              <a:latin typeface="Calibri" panose="020F0502020204030204"/>
            </a:defRPr>
          </a:lvl8pPr>
          <a:lvl9pPr marL="3657600" indent="0">
            <a:defRPr sz="1100">
              <a:solidFill>
                <a:sysClr val="window" lastClr="FFFFFF"/>
              </a:solidFill>
              <a:latin typeface="Calibri" panose="020F0502020204030204"/>
            </a:defRPr>
          </a:lvl9pPr>
        </a:lstStyle>
        <a:p>
          <a:r>
            <a:rPr lang="zh-CN" altLang="en-US" sz="1000" b="1">
              <a:solidFill>
                <a:sysClr val="windowText" lastClr="000000"/>
              </a:solidFill>
            </a:rPr>
            <a:t>增速</a:t>
          </a:r>
          <a:r>
            <a:rPr lang="en-US" altLang="zh-CN" sz="1000" b="1">
              <a:solidFill>
                <a:sysClr val="windowText" lastClr="000000"/>
              </a:solidFill>
            </a:rPr>
            <a:t>%</a:t>
          </a:r>
          <a:endParaRPr lang="zh-CN" sz="1000" b="1">
            <a:solidFill>
              <a:sysClr val="windowText" lastClr="000000"/>
            </a:solidFill>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0.07439</cdr:x>
      <cdr:y>0</cdr:y>
    </cdr:from>
    <cdr:to>
      <cdr:x>0.15514</cdr:x>
      <cdr:y>0.06516</cdr:y>
    </cdr:to>
    <cdr:sp>
      <cdr:nvSpPr>
        <cdr:cNvPr id="2" name="矩形 1"/>
        <cdr:cNvSpPr/>
      </cdr:nvSpPr>
      <cdr:spPr xmlns:a="http://schemas.openxmlformats.org/drawingml/2006/main">
        <a:xfrm xmlns:a="http://schemas.openxmlformats.org/drawingml/2006/main">
          <a:off x="409574" y="0"/>
          <a:ext cx="444541" cy="280533"/>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zh-CN" altLang="en-US" sz="1100" b="1"/>
            <a:t>亿元</a:t>
          </a:r>
          <a:endParaRPr lang="zh-CN" altLang="en-US" sz="1100" b="1"/>
        </a:p>
      </cdr:txBody>
    </cdr:sp>
  </cdr:relSizeAnchor>
  <cdr:relSizeAnchor xmlns:cdr="http://schemas.openxmlformats.org/drawingml/2006/chartDrawing">
    <cdr:from>
      <cdr:x>0.00843</cdr:x>
      <cdr:y>0</cdr:y>
    </cdr:from>
    <cdr:to>
      <cdr:x>0.17032</cdr:x>
      <cdr:y>0.13784</cdr:y>
    </cdr:to>
    <cdr:sp>
      <cdr:nvSpPr>
        <cdr:cNvPr id="3" name="矩形 2"/>
        <cdr:cNvSpPr/>
      </cdr:nvSpPr>
      <cdr:spPr xmlns:a="http://schemas.openxmlformats.org/drawingml/2006/main">
        <a:xfrm xmlns:a="http://schemas.openxmlformats.org/drawingml/2006/main">
          <a:off x="47625" y="0"/>
          <a:ext cx="914400" cy="523875"/>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endParaRPr lang="zh-CN" altLang="en-US"/>
        </a:p>
      </cdr:txBody>
    </cdr:sp>
  </cdr:relSizeAnchor>
  <cdr:relSizeAnchor xmlns:cdr="http://schemas.openxmlformats.org/drawingml/2006/chartDrawing">
    <cdr:from>
      <cdr:x>0.10287</cdr:x>
      <cdr:y>0.13283</cdr:y>
    </cdr:from>
    <cdr:to>
      <cdr:x>0.26476</cdr:x>
      <cdr:y>0.37343</cdr:y>
    </cdr:to>
    <cdr:sp>
      <cdr:nvSpPr>
        <cdr:cNvPr id="4" name="矩形 3"/>
        <cdr:cNvSpPr/>
      </cdr:nvSpPr>
      <cdr:spPr xmlns:a="http://schemas.openxmlformats.org/drawingml/2006/main">
        <a:xfrm xmlns:a="http://schemas.openxmlformats.org/drawingml/2006/main">
          <a:off x="581025" y="504825"/>
          <a:ext cx="914400" cy="914400"/>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endParaRPr lang="zh-CN" altLang="en-US"/>
        </a:p>
      </cdr:txBody>
    </cdr:sp>
  </cdr:relSizeAnchor>
  <cdr:relSizeAnchor xmlns:cdr="http://schemas.openxmlformats.org/drawingml/2006/chartDrawing">
    <cdr:from>
      <cdr:x>0.83811</cdr:x>
      <cdr:y>0.01754</cdr:y>
    </cdr:from>
    <cdr:to>
      <cdr:x>1</cdr:x>
      <cdr:y>0.25815</cdr:y>
    </cdr:to>
    <cdr:sp>
      <cdr:nvSpPr>
        <cdr:cNvPr id="5" name="矩形 4"/>
        <cdr:cNvSpPr/>
      </cdr:nvSpPr>
      <cdr:spPr xmlns:a="http://schemas.openxmlformats.org/drawingml/2006/main">
        <a:xfrm xmlns:a="http://schemas.openxmlformats.org/drawingml/2006/main">
          <a:off x="5181600" y="66675"/>
          <a:ext cx="914400" cy="914400"/>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endParaRPr lang="zh-CN" altLang="en-US"/>
        </a:p>
      </cdr:txBody>
    </cdr:sp>
  </cdr:relSizeAnchor>
</c:userShapes>
</file>

<file path=word/theme/theme1.xml><?xml version="1.0" encoding="utf-8"?>
<a:theme xmlns:a="http://schemas.openxmlformats.org/drawingml/2006/main" name="Office 主题​​">
  <a:themeElements>
    <a:clrScheme name="中性">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5BEDB8-B6CF-4003-A7AA-BBE3A50A531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3729</Words>
  <Characters>4599</Characters>
  <Lines>35</Lines>
  <Paragraphs>10</Paragraphs>
  <TotalTime>1</TotalTime>
  <ScaleCrop>false</ScaleCrop>
  <LinksUpToDate>false</LinksUpToDate>
  <CharactersWithSpaces>4627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2019-04-17T06:46:00Z</dcterms:created>
  <dc:creator>john</dc:creator>
  <cp:lastModifiedBy>圆</cp:lastModifiedBy>
  <cp:lastPrinted>2019-04-18T00:06:00Z</cp:lastPrinted>
  <dcterms:modified xsi:type="dcterms:W3CDTF">2023-03-20T08:38:32Z</dcterms:modified>
  <dc:title>根据年快报初步统计，现将2011年全区国民经济和社会发展情况公报如下：</dc:title>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D3F96A718CCC4700848551F48B91CC3E</vt:lpwstr>
  </property>
</Properties>
</file>