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方正小标宋简体" w:hAnsi="方正小标宋简体" w:eastAsia="方正小标宋简体" w:cs="方正小标宋简体"/>
          <w:color w:val="000000"/>
          <w:sz w:val="44"/>
          <w:szCs w:val="44"/>
          <w:highlight w:val="none"/>
          <w:lang w:eastAsia="zh-CN"/>
        </w:rPr>
      </w:pP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lang w:eastAsia="zh-CN"/>
        </w:rPr>
        <w:t>盘锦市</w:t>
      </w:r>
      <w:r>
        <w:rPr>
          <w:rFonts w:hint="eastAsia" w:ascii="方正小标宋简体" w:hAnsi="方正小标宋简体" w:eastAsia="方正小标宋简体" w:cs="方正小标宋简体"/>
          <w:color w:val="000000"/>
          <w:sz w:val="44"/>
          <w:szCs w:val="44"/>
          <w:highlight w:val="none"/>
        </w:rPr>
        <w:t>重要电力用户</w:t>
      </w:r>
      <w:r>
        <w:rPr>
          <w:rFonts w:hint="eastAsia" w:ascii="方正小标宋简体" w:hAnsi="方正小标宋简体" w:eastAsia="方正小标宋简体" w:cs="方正小标宋简体"/>
          <w:color w:val="000000"/>
          <w:sz w:val="44"/>
          <w:szCs w:val="44"/>
          <w:highlight w:val="none"/>
          <w:lang w:eastAsia="zh-CN"/>
        </w:rPr>
        <w:t>用电安全</w:t>
      </w:r>
      <w:r>
        <w:rPr>
          <w:rFonts w:hint="eastAsia" w:ascii="方正小标宋简体" w:hAnsi="方正小标宋简体" w:eastAsia="方正小标宋简体" w:cs="方正小标宋简体"/>
          <w:color w:val="000000"/>
          <w:sz w:val="44"/>
          <w:szCs w:val="44"/>
          <w:highlight w:val="none"/>
        </w:rPr>
        <w:t>管理办法</w:t>
      </w:r>
    </w:p>
    <w:p>
      <w:pPr>
        <w:pStyle w:val="2"/>
        <w:jc w:val="center"/>
        <w:rPr>
          <w:rFonts w:hint="eastAsia" w:ascii="楷体" w:hAnsi="楷体" w:eastAsia="楷体" w:cs="楷体"/>
          <w:b/>
          <w:bCs/>
          <w:sz w:val="32"/>
          <w:szCs w:val="32"/>
          <w:lang w:eastAsia="zh-CN"/>
        </w:rPr>
      </w:pPr>
      <w:r>
        <w:rPr>
          <w:rFonts w:hint="eastAsia" w:ascii="楷体" w:hAnsi="楷体" w:eastAsia="楷体" w:cs="楷体"/>
          <w:b/>
          <w:bCs/>
          <w:color w:val="000000"/>
          <w:sz w:val="32"/>
          <w:szCs w:val="32"/>
          <w:highlight w:val="none"/>
          <w:lang w:eastAsia="zh-CN"/>
        </w:rPr>
        <w:t>（征求意见稿）</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0" w:firstLineChars="0"/>
        <w:outlineLvl w:val="9"/>
        <w:rPr>
          <w:rFonts w:hint="eastAsia" w:ascii="方正小标宋简体" w:hAnsi="方正小标宋简体" w:eastAsia="方正小标宋简体" w:cs="方正小标宋简体"/>
          <w:color w:val="000000"/>
          <w:sz w:val="21"/>
          <w:szCs w:val="21"/>
          <w:highlight w:val="none"/>
        </w:rPr>
      </w:pP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黑体" w:hAnsi="黑体" w:eastAsia="黑体" w:cs="黑体"/>
          <w:b w:val="0"/>
          <w:bCs w:val="0"/>
          <w:snapToGrid w:val="0"/>
          <w:color w:val="000000"/>
          <w:kern w:val="0"/>
          <w:sz w:val="32"/>
          <w:szCs w:val="32"/>
          <w:highlight w:val="none"/>
        </w:rPr>
      </w:pPr>
      <w:r>
        <w:rPr>
          <w:rFonts w:hint="eastAsia" w:ascii="黑体" w:hAnsi="黑体" w:eastAsia="黑体" w:cs="黑体"/>
          <w:b w:val="0"/>
          <w:bCs w:val="0"/>
          <w:snapToGrid w:val="0"/>
          <w:color w:val="000000"/>
          <w:kern w:val="0"/>
          <w:sz w:val="32"/>
          <w:szCs w:val="32"/>
          <w:highlight w:val="none"/>
          <w:lang w:eastAsia="zh-CN"/>
        </w:rPr>
        <w:t>第一条</w:t>
      </w:r>
      <w:r>
        <w:rPr>
          <w:rFonts w:hint="eastAsia" w:ascii="黑体" w:hAnsi="黑体" w:eastAsia="黑体" w:cs="黑体"/>
          <w:b w:val="0"/>
          <w:bCs w:val="0"/>
          <w:snapToGrid w:val="0"/>
          <w:color w:val="000000"/>
          <w:kern w:val="0"/>
          <w:sz w:val="32"/>
          <w:szCs w:val="32"/>
          <w:highlight w:val="none"/>
          <w:lang w:val="en-US" w:eastAsia="zh-CN"/>
        </w:rPr>
        <w:t xml:space="preserve"> </w:t>
      </w:r>
      <w:r>
        <w:rPr>
          <w:rFonts w:hint="eastAsia" w:ascii="仿宋_GB2312" w:hAnsi="仿宋_GB2312" w:eastAsia="仿宋_GB2312" w:cs="仿宋_GB2312"/>
          <w:b w:val="0"/>
          <w:bCs w:val="0"/>
          <w:snapToGrid w:val="0"/>
          <w:color w:val="000000"/>
          <w:kern w:val="0"/>
          <w:sz w:val="32"/>
          <w:szCs w:val="32"/>
          <w:highlight w:val="none"/>
        </w:rPr>
        <w:t>为</w:t>
      </w:r>
      <w:r>
        <w:rPr>
          <w:rFonts w:hint="eastAsia" w:ascii="仿宋_GB2312" w:hAnsi="仿宋_GB2312" w:eastAsia="仿宋_GB2312" w:cs="仿宋_GB2312"/>
          <w:b w:val="0"/>
          <w:bCs w:val="0"/>
          <w:snapToGrid w:val="0"/>
          <w:color w:val="000000"/>
          <w:kern w:val="0"/>
          <w:sz w:val="32"/>
          <w:szCs w:val="32"/>
          <w:highlight w:val="none"/>
          <w:lang w:eastAsia="zh-CN"/>
        </w:rPr>
        <w:t>规范我市</w:t>
      </w:r>
      <w:r>
        <w:rPr>
          <w:rFonts w:hint="eastAsia" w:ascii="仿宋_GB2312" w:hAnsi="仿宋_GB2312" w:eastAsia="仿宋_GB2312" w:cs="仿宋_GB2312"/>
          <w:b w:val="0"/>
          <w:bCs w:val="0"/>
          <w:snapToGrid w:val="0"/>
          <w:color w:val="000000"/>
          <w:kern w:val="0"/>
          <w:sz w:val="32"/>
          <w:szCs w:val="32"/>
          <w:highlight w:val="none"/>
        </w:rPr>
        <w:t>重要电力用户</w:t>
      </w:r>
      <w:r>
        <w:rPr>
          <w:rFonts w:hint="eastAsia" w:ascii="仿宋_GB2312" w:hAnsi="仿宋_GB2312" w:eastAsia="仿宋_GB2312" w:cs="仿宋_GB2312"/>
          <w:b w:val="0"/>
          <w:bCs w:val="0"/>
          <w:snapToGrid w:val="0"/>
          <w:color w:val="000000"/>
          <w:kern w:val="0"/>
          <w:sz w:val="32"/>
          <w:szCs w:val="32"/>
          <w:highlight w:val="none"/>
          <w:lang w:eastAsia="zh-CN"/>
        </w:rPr>
        <w:t>供用电安全管理，维护社会公共安全，有效防止次生灾害发生</w:t>
      </w:r>
      <w:r>
        <w:rPr>
          <w:rFonts w:hint="eastAsia" w:ascii="仿宋_GB2312" w:hAnsi="仿宋_GB2312" w:eastAsia="仿宋_GB2312" w:cs="仿宋_GB2312"/>
          <w:b w:val="0"/>
          <w:bCs w:val="0"/>
          <w:snapToGrid w:val="0"/>
          <w:color w:val="000000"/>
          <w:kern w:val="0"/>
          <w:sz w:val="32"/>
          <w:szCs w:val="32"/>
          <w:highlight w:val="none"/>
        </w:rPr>
        <w:t>，</w:t>
      </w:r>
      <w:r>
        <w:rPr>
          <w:rFonts w:hint="eastAsia" w:ascii="仿宋_GB2312" w:hAnsi="仿宋_GB2312" w:eastAsia="仿宋_GB2312" w:cs="仿宋_GB2312"/>
          <w:b w:val="0"/>
          <w:bCs w:val="0"/>
          <w:snapToGrid w:val="0"/>
          <w:color w:val="000000"/>
          <w:kern w:val="0"/>
          <w:sz w:val="32"/>
          <w:szCs w:val="32"/>
          <w:highlight w:val="none"/>
          <w:lang w:eastAsia="zh-CN"/>
        </w:rPr>
        <w:t>根据《中华人民共和国安全生产法》《中华人民共和国刑法修正案（十一）》</w:t>
      </w:r>
      <w:r>
        <w:rPr>
          <w:rFonts w:hint="eastAsia" w:ascii="仿宋_GB2312" w:hAnsi="仿宋_GB2312" w:eastAsia="仿宋_GB2312" w:cs="仿宋_GB2312"/>
          <w:b w:val="0"/>
          <w:bCs w:val="0"/>
          <w:snapToGrid w:val="0"/>
          <w:color w:val="000000"/>
          <w:kern w:val="0"/>
          <w:sz w:val="32"/>
          <w:szCs w:val="32"/>
          <w:highlight w:val="none"/>
        </w:rPr>
        <w:t>《中华人民共和国电力法》《电力供应与使用条例》等</w:t>
      </w:r>
      <w:r>
        <w:rPr>
          <w:rFonts w:hint="eastAsia" w:ascii="仿宋_GB2312" w:hAnsi="仿宋_GB2312" w:eastAsia="仿宋_GB2312" w:cs="仿宋_GB2312"/>
          <w:b w:val="0"/>
          <w:bCs w:val="0"/>
          <w:snapToGrid w:val="0"/>
          <w:color w:val="000000"/>
          <w:kern w:val="0"/>
          <w:sz w:val="32"/>
          <w:szCs w:val="32"/>
          <w:highlight w:val="none"/>
          <w:lang w:eastAsia="zh-CN"/>
        </w:rPr>
        <w:t>相关</w:t>
      </w:r>
      <w:r>
        <w:rPr>
          <w:rFonts w:hint="eastAsia" w:ascii="仿宋_GB2312" w:hAnsi="仿宋_GB2312" w:eastAsia="仿宋_GB2312" w:cs="仿宋_GB2312"/>
          <w:b w:val="0"/>
          <w:bCs w:val="0"/>
          <w:snapToGrid w:val="0"/>
          <w:color w:val="000000"/>
          <w:kern w:val="0"/>
          <w:sz w:val="32"/>
          <w:szCs w:val="32"/>
          <w:highlight w:val="none"/>
        </w:rPr>
        <w:t>法律法规</w:t>
      </w:r>
      <w:r>
        <w:rPr>
          <w:rFonts w:hint="eastAsia" w:ascii="仿宋_GB2312" w:hAnsi="仿宋_GB2312" w:eastAsia="仿宋_GB2312" w:cs="仿宋_GB2312"/>
          <w:b w:val="0"/>
          <w:bCs w:val="0"/>
          <w:snapToGrid w:val="0"/>
          <w:color w:val="000000"/>
          <w:kern w:val="0"/>
          <w:sz w:val="32"/>
          <w:szCs w:val="32"/>
          <w:highlight w:val="none"/>
          <w:lang w:eastAsia="zh-CN"/>
        </w:rPr>
        <w:t>要求</w:t>
      </w:r>
      <w:r>
        <w:rPr>
          <w:rFonts w:hint="eastAsia" w:ascii="仿宋_GB2312" w:hAnsi="仿宋_GB2312" w:eastAsia="仿宋_GB2312" w:cs="仿宋_GB2312"/>
          <w:b w:val="0"/>
          <w:bCs w:val="0"/>
          <w:snapToGrid w:val="0"/>
          <w:color w:val="000000"/>
          <w:kern w:val="0"/>
          <w:sz w:val="32"/>
          <w:szCs w:val="32"/>
          <w:highlight w:val="none"/>
        </w:rPr>
        <w:t>，结合</w:t>
      </w:r>
      <w:r>
        <w:rPr>
          <w:rFonts w:hint="eastAsia" w:ascii="仿宋_GB2312" w:hAnsi="仿宋_GB2312" w:eastAsia="仿宋_GB2312" w:cs="仿宋_GB2312"/>
          <w:b w:val="0"/>
          <w:bCs w:val="0"/>
          <w:snapToGrid w:val="0"/>
          <w:color w:val="000000"/>
          <w:kern w:val="0"/>
          <w:sz w:val="32"/>
          <w:szCs w:val="32"/>
          <w:highlight w:val="none"/>
          <w:lang w:eastAsia="zh-CN"/>
        </w:rPr>
        <w:t>我</w:t>
      </w:r>
      <w:r>
        <w:rPr>
          <w:rFonts w:hint="eastAsia" w:ascii="仿宋_GB2312" w:hAnsi="仿宋_GB2312" w:eastAsia="仿宋_GB2312" w:cs="仿宋_GB2312"/>
          <w:b w:val="0"/>
          <w:bCs w:val="0"/>
          <w:snapToGrid w:val="0"/>
          <w:color w:val="000000"/>
          <w:kern w:val="0"/>
          <w:sz w:val="32"/>
          <w:szCs w:val="32"/>
          <w:highlight w:val="none"/>
        </w:rPr>
        <w:t>市实际</w:t>
      </w:r>
      <w:r>
        <w:rPr>
          <w:rFonts w:hint="eastAsia" w:ascii="仿宋_GB2312" w:hAnsi="仿宋_GB2312" w:eastAsia="仿宋_GB2312" w:cs="仿宋_GB2312"/>
          <w:b w:val="0"/>
          <w:bCs w:val="0"/>
          <w:snapToGrid w:val="0"/>
          <w:color w:val="000000"/>
          <w:kern w:val="0"/>
          <w:sz w:val="32"/>
          <w:szCs w:val="32"/>
          <w:highlight w:val="none"/>
          <w:lang w:eastAsia="zh-CN"/>
        </w:rPr>
        <w:t>，</w:t>
      </w:r>
      <w:r>
        <w:rPr>
          <w:rFonts w:hint="eastAsia" w:ascii="仿宋_GB2312" w:hAnsi="仿宋_GB2312" w:eastAsia="仿宋_GB2312" w:cs="仿宋_GB2312"/>
          <w:b w:val="0"/>
          <w:bCs w:val="0"/>
          <w:snapToGrid w:val="0"/>
          <w:color w:val="000000"/>
          <w:kern w:val="0"/>
          <w:sz w:val="32"/>
          <w:szCs w:val="32"/>
          <w:highlight w:val="none"/>
        </w:rPr>
        <w:t>制定</w:t>
      </w:r>
      <w:r>
        <w:rPr>
          <w:rFonts w:hint="eastAsia" w:ascii="仿宋_GB2312" w:hAnsi="仿宋_GB2312" w:eastAsia="仿宋_GB2312" w:cs="仿宋_GB2312"/>
          <w:b w:val="0"/>
          <w:bCs w:val="0"/>
          <w:snapToGrid w:val="0"/>
          <w:color w:val="000000"/>
          <w:kern w:val="0"/>
          <w:sz w:val="32"/>
          <w:szCs w:val="32"/>
          <w:highlight w:val="none"/>
          <w:lang w:eastAsia="zh-CN"/>
        </w:rPr>
        <w:t>本办法</w:t>
      </w:r>
      <w:r>
        <w:rPr>
          <w:rFonts w:hint="eastAsia" w:ascii="仿宋_GB2312" w:hAnsi="仿宋_GB2312" w:eastAsia="仿宋_GB2312" w:cs="仿宋_GB2312"/>
          <w:b w:val="0"/>
          <w:bCs w:val="0"/>
          <w:snapToGrid w:val="0"/>
          <w:color w:val="000000"/>
          <w:kern w:val="0"/>
          <w:sz w:val="32"/>
          <w:szCs w:val="32"/>
          <w:highlight w:val="none"/>
        </w:rPr>
        <w:t>。</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黑体" w:hAnsi="黑体" w:eastAsia="黑体" w:cs="黑体"/>
          <w:b w:val="0"/>
          <w:bCs w:val="0"/>
          <w:snapToGrid w:val="0"/>
          <w:color w:val="000000"/>
          <w:kern w:val="0"/>
          <w:sz w:val="32"/>
          <w:szCs w:val="32"/>
          <w:highlight w:val="none"/>
        </w:rPr>
        <w:t>第</w:t>
      </w:r>
      <w:r>
        <w:rPr>
          <w:rFonts w:hint="eastAsia" w:ascii="黑体" w:hAnsi="黑体" w:eastAsia="黑体" w:cs="黑体"/>
          <w:b w:val="0"/>
          <w:bCs w:val="0"/>
          <w:snapToGrid w:val="0"/>
          <w:color w:val="000000"/>
          <w:kern w:val="0"/>
          <w:sz w:val="32"/>
          <w:szCs w:val="32"/>
          <w:highlight w:val="none"/>
          <w:lang w:eastAsia="zh-CN"/>
        </w:rPr>
        <w:t>二</w:t>
      </w:r>
      <w:r>
        <w:rPr>
          <w:rFonts w:hint="eastAsia" w:ascii="黑体" w:hAnsi="黑体" w:eastAsia="黑体" w:cs="黑体"/>
          <w:b w:val="0"/>
          <w:bCs w:val="0"/>
          <w:snapToGrid w:val="0"/>
          <w:color w:val="000000"/>
          <w:kern w:val="0"/>
          <w:sz w:val="32"/>
          <w:szCs w:val="32"/>
          <w:highlight w:val="none"/>
        </w:rPr>
        <w:t>条</w:t>
      </w:r>
      <w:r>
        <w:rPr>
          <w:rFonts w:hint="eastAsia" w:ascii="黑体" w:hAnsi="黑体" w:eastAsia="黑体" w:cs="黑体"/>
          <w:b w:val="0"/>
          <w:bCs w:val="0"/>
          <w:snapToGrid w:val="0"/>
          <w:color w:val="000000"/>
          <w:kern w:val="0"/>
          <w:sz w:val="32"/>
          <w:szCs w:val="32"/>
          <w:highlight w:val="none"/>
          <w:lang w:val="en-US" w:eastAsia="zh-CN"/>
        </w:rPr>
        <w:t xml:space="preserve"> </w:t>
      </w:r>
      <w:r>
        <w:rPr>
          <w:rFonts w:hint="eastAsia" w:ascii="仿宋_GB2312" w:hAnsi="仿宋_GB2312" w:eastAsia="仿宋_GB2312" w:cs="仿宋_GB2312"/>
          <w:b w:val="0"/>
          <w:bCs w:val="0"/>
          <w:snapToGrid w:val="0"/>
          <w:color w:val="000000"/>
          <w:kern w:val="0"/>
          <w:sz w:val="32"/>
          <w:szCs w:val="32"/>
          <w:highlight w:val="none"/>
        </w:rPr>
        <w:t>本办法所称的重要电力用户</w:t>
      </w:r>
      <w:r>
        <w:rPr>
          <w:rFonts w:hint="eastAsia" w:ascii="仿宋_GB2312" w:hAnsi="仿宋_GB2312" w:eastAsia="仿宋_GB2312" w:cs="仿宋_GB2312"/>
          <w:b w:val="0"/>
          <w:bCs w:val="0"/>
          <w:snapToGrid w:val="0"/>
          <w:color w:val="000000"/>
          <w:kern w:val="0"/>
          <w:sz w:val="32"/>
          <w:szCs w:val="32"/>
          <w:highlight w:val="none"/>
          <w:lang w:eastAsia="zh-CN"/>
        </w:rPr>
        <w:t>，</w:t>
      </w:r>
      <w:r>
        <w:rPr>
          <w:rFonts w:hint="eastAsia" w:ascii="仿宋_GB2312" w:hAnsi="仿宋_GB2312" w:eastAsia="仿宋_GB2312" w:cs="仿宋_GB2312"/>
          <w:color w:val="000000"/>
          <w:sz w:val="32"/>
          <w:highlight w:val="none"/>
          <w:lang w:eastAsia="zh-CN"/>
        </w:rPr>
        <w:t>是指在国家或者一个地区（城市）的社会、政治、经济生活中占有重要地位，供电中断可能造成人身伤亡、较大环境污染、较大政治影响、较大经济损失、社会公共秩序严重混乱的用电单位或对供电可靠性有特殊要求的用电场所</w:t>
      </w:r>
      <w:r>
        <w:rPr>
          <w:rFonts w:hint="eastAsia" w:ascii="仿宋_GB2312" w:hAnsi="仿宋_GB2312" w:eastAsia="仿宋_GB2312" w:cs="仿宋_GB2312"/>
          <w:b w:val="0"/>
          <w:bCs w:val="0"/>
          <w:snapToGrid w:val="0"/>
          <w:color w:val="000000"/>
          <w:kern w:val="0"/>
          <w:sz w:val="32"/>
          <w:szCs w:val="32"/>
          <w:highlight w:val="none"/>
        </w:rPr>
        <w:t>。重要电力用户一般为专变供电的电力用户。</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黑体" w:hAnsi="黑体" w:eastAsia="黑体" w:cs="黑体"/>
          <w:b w:val="0"/>
          <w:bCs w:val="0"/>
          <w:snapToGrid w:val="0"/>
          <w:color w:val="000000"/>
          <w:kern w:val="0"/>
          <w:sz w:val="32"/>
          <w:szCs w:val="32"/>
          <w:highlight w:val="none"/>
          <w:lang w:val="en-US" w:eastAsia="zh-CN" w:bidi="ar-SA"/>
        </w:rPr>
        <w:t>第三条</w:t>
      </w:r>
      <w:r>
        <w:rPr>
          <w:rFonts w:hint="eastAsia" w:ascii="仿宋_GB2312" w:hAnsi="仿宋_GB2312" w:eastAsia="仿宋_GB2312" w:cs="仿宋_GB2312"/>
          <w:b w:val="0"/>
          <w:bCs w:val="0"/>
          <w:snapToGrid w:val="0"/>
          <w:color w:val="000000"/>
          <w:kern w:val="0"/>
          <w:sz w:val="32"/>
          <w:szCs w:val="32"/>
          <w:highlight w:val="none"/>
          <w:lang w:val="en-US" w:eastAsia="zh-CN" w:bidi="ar-SA"/>
        </w:rPr>
        <w:t xml:space="preserve"> 本市行政区域范围内重要电力用户安全管理活动，均适用本办法。</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黑体" w:hAnsi="黑体" w:eastAsia="黑体" w:cs="黑体"/>
          <w:b w:val="0"/>
          <w:bCs w:val="0"/>
          <w:snapToGrid w:val="0"/>
          <w:color w:val="000000"/>
          <w:kern w:val="0"/>
          <w:sz w:val="32"/>
          <w:szCs w:val="32"/>
          <w:highlight w:val="none"/>
          <w:lang w:val="en-US" w:eastAsia="zh-CN" w:bidi="ar-SA"/>
        </w:rPr>
        <w:t>第四条</w:t>
      </w:r>
      <w:r>
        <w:rPr>
          <w:rFonts w:hint="eastAsia" w:ascii="仿宋_GB2312" w:hAnsi="仿宋_GB2312" w:eastAsia="仿宋_GB2312" w:cs="仿宋_GB2312"/>
          <w:b w:val="0"/>
          <w:bCs w:val="0"/>
          <w:snapToGrid w:val="0"/>
          <w:color w:val="000000"/>
          <w:kern w:val="0"/>
          <w:sz w:val="32"/>
          <w:szCs w:val="32"/>
          <w:highlight w:val="none"/>
          <w:lang w:val="en-US" w:eastAsia="zh-CN" w:bidi="ar-SA"/>
        </w:rPr>
        <w:t xml:space="preserve"> 市、县、区（经济区）政府电力管理部门负责本辖区内重要电力用户供用电监督管理工作。</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kern w:val="0"/>
          <w:sz w:val="32"/>
          <w:szCs w:val="32"/>
          <w:highlight w:val="none"/>
          <w:lang w:val="en-US" w:eastAsia="zh-CN" w:bidi="ar-SA"/>
        </w:rPr>
        <w:t>按照安全生产“三管三必须”要求和分级分类监管的原则，严格落实重要电力用户供用电安全属地管理责任和用户主体责任。</w:t>
      </w:r>
      <w:r>
        <w:rPr>
          <w:rFonts w:hint="eastAsia" w:ascii="仿宋_GB2312" w:hAnsi="仿宋_GB2312" w:eastAsia="仿宋_GB2312" w:cs="仿宋_GB2312"/>
          <w:b w:val="0"/>
          <w:bCs w:val="0"/>
          <w:snapToGrid w:val="0"/>
          <w:color w:val="auto"/>
          <w:kern w:val="0"/>
          <w:sz w:val="32"/>
          <w:szCs w:val="32"/>
          <w:highlight w:val="none"/>
        </w:rPr>
        <w:t>市</w:t>
      </w:r>
      <w:r>
        <w:rPr>
          <w:rFonts w:hint="eastAsia" w:ascii="仿宋_GB2312" w:hAnsi="仿宋_GB2312" w:eastAsia="仿宋_GB2312" w:cs="仿宋_GB2312"/>
          <w:b w:val="0"/>
          <w:bCs w:val="0"/>
          <w:snapToGrid w:val="0"/>
          <w:color w:val="auto"/>
          <w:kern w:val="0"/>
          <w:sz w:val="32"/>
          <w:szCs w:val="32"/>
          <w:highlight w:val="none"/>
          <w:lang w:eastAsia="zh-CN"/>
        </w:rPr>
        <w:t>发展改革</w:t>
      </w:r>
      <w:r>
        <w:rPr>
          <w:rFonts w:hint="eastAsia" w:ascii="仿宋_GB2312" w:hAnsi="仿宋_GB2312" w:eastAsia="仿宋_GB2312" w:cs="仿宋_GB2312"/>
          <w:b w:val="0"/>
          <w:bCs w:val="0"/>
          <w:snapToGrid w:val="0"/>
          <w:color w:val="auto"/>
          <w:kern w:val="0"/>
          <w:sz w:val="32"/>
          <w:szCs w:val="32"/>
          <w:highlight w:val="none"/>
        </w:rPr>
        <w:t>委、</w:t>
      </w:r>
      <w:r>
        <w:rPr>
          <w:rFonts w:hint="eastAsia" w:ascii="仿宋_GB2312" w:hAnsi="仿宋_GB2312" w:eastAsia="仿宋_GB2312" w:cs="仿宋_GB2312"/>
          <w:b w:val="0"/>
          <w:bCs w:val="0"/>
          <w:snapToGrid w:val="0"/>
          <w:color w:val="auto"/>
          <w:kern w:val="0"/>
          <w:sz w:val="32"/>
          <w:szCs w:val="32"/>
          <w:highlight w:val="none"/>
          <w:lang w:eastAsia="zh-CN"/>
        </w:rPr>
        <w:t>市住房城乡建设局</w:t>
      </w:r>
      <w:r>
        <w:rPr>
          <w:rFonts w:hint="eastAsia" w:ascii="仿宋_GB2312" w:hAnsi="仿宋_GB2312" w:eastAsia="仿宋_GB2312" w:cs="仿宋_GB2312"/>
          <w:b w:val="0"/>
          <w:bCs w:val="0"/>
          <w:snapToGrid w:val="0"/>
          <w:color w:val="auto"/>
          <w:kern w:val="0"/>
          <w:sz w:val="32"/>
          <w:szCs w:val="32"/>
          <w:highlight w:val="none"/>
        </w:rPr>
        <w:t>、</w:t>
      </w:r>
      <w:r>
        <w:rPr>
          <w:rFonts w:hint="eastAsia" w:ascii="仿宋_GB2312" w:hAnsi="仿宋_GB2312" w:eastAsia="仿宋_GB2312" w:cs="仿宋_GB2312"/>
          <w:b w:val="0"/>
          <w:bCs w:val="0"/>
          <w:snapToGrid w:val="0"/>
          <w:color w:val="auto"/>
          <w:kern w:val="0"/>
          <w:sz w:val="32"/>
          <w:szCs w:val="32"/>
          <w:highlight w:val="none"/>
          <w:lang w:eastAsia="zh-CN"/>
        </w:rPr>
        <w:t>市</w:t>
      </w:r>
      <w:r>
        <w:rPr>
          <w:rFonts w:hint="eastAsia" w:ascii="仿宋_GB2312" w:hAnsi="仿宋_GB2312" w:eastAsia="仿宋_GB2312" w:cs="仿宋_GB2312"/>
          <w:b w:val="0"/>
          <w:bCs w:val="0"/>
          <w:snapToGrid w:val="0"/>
          <w:color w:val="auto"/>
          <w:kern w:val="0"/>
          <w:sz w:val="32"/>
          <w:szCs w:val="32"/>
          <w:highlight w:val="none"/>
        </w:rPr>
        <w:t>应急局等</w:t>
      </w:r>
      <w:r>
        <w:rPr>
          <w:rFonts w:hint="eastAsia" w:ascii="仿宋_GB2312" w:hAnsi="仿宋_GB2312" w:eastAsia="仿宋_GB2312" w:cs="仿宋_GB2312"/>
          <w:b w:val="0"/>
          <w:bCs w:val="0"/>
          <w:snapToGrid w:val="0"/>
          <w:color w:val="auto"/>
          <w:kern w:val="0"/>
          <w:sz w:val="32"/>
          <w:szCs w:val="32"/>
          <w:highlight w:val="none"/>
          <w:lang w:eastAsia="zh-CN"/>
        </w:rPr>
        <w:t>相关行业安全生产管理</w:t>
      </w:r>
      <w:r>
        <w:rPr>
          <w:rFonts w:hint="eastAsia" w:ascii="仿宋_GB2312" w:hAnsi="仿宋_GB2312" w:eastAsia="仿宋_GB2312" w:cs="仿宋_GB2312"/>
          <w:b w:val="0"/>
          <w:bCs w:val="0"/>
          <w:snapToGrid w:val="0"/>
          <w:color w:val="auto"/>
          <w:kern w:val="0"/>
          <w:sz w:val="32"/>
          <w:szCs w:val="32"/>
          <w:highlight w:val="none"/>
        </w:rPr>
        <w:t>部门</w:t>
      </w:r>
      <w:r>
        <w:rPr>
          <w:rFonts w:hint="eastAsia" w:ascii="仿宋_GB2312" w:hAnsi="仿宋_GB2312" w:eastAsia="仿宋_GB2312" w:cs="仿宋_GB2312"/>
          <w:b w:val="0"/>
          <w:bCs w:val="0"/>
          <w:snapToGrid w:val="0"/>
          <w:color w:val="auto"/>
          <w:kern w:val="0"/>
          <w:sz w:val="32"/>
          <w:szCs w:val="32"/>
          <w:highlight w:val="none"/>
          <w:lang w:eastAsia="zh-CN"/>
        </w:rPr>
        <w:t>依据职责分工</w:t>
      </w:r>
      <w:r>
        <w:rPr>
          <w:rFonts w:hint="eastAsia" w:ascii="仿宋_GB2312" w:hAnsi="仿宋_GB2312" w:eastAsia="仿宋_GB2312" w:cs="仿宋_GB2312"/>
          <w:b w:val="0"/>
          <w:bCs w:val="0"/>
          <w:snapToGrid w:val="0"/>
          <w:color w:val="000000"/>
          <w:kern w:val="0"/>
          <w:sz w:val="32"/>
          <w:szCs w:val="32"/>
          <w:highlight w:val="none"/>
          <w:lang w:val="en-US" w:eastAsia="zh-CN" w:bidi="ar-SA"/>
        </w:rPr>
        <w:t>，在职责范围内共同做好重要电力用户安全管理工作。</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黑体" w:hAnsi="黑体" w:eastAsia="黑体" w:cs="黑体"/>
          <w:b w:val="0"/>
          <w:bCs w:val="0"/>
          <w:snapToGrid w:val="0"/>
          <w:color w:val="000000"/>
          <w:kern w:val="0"/>
          <w:sz w:val="32"/>
          <w:szCs w:val="32"/>
          <w:highlight w:val="none"/>
          <w:lang w:val="en-US" w:eastAsia="zh-CN" w:bidi="ar-SA"/>
        </w:rPr>
        <w:t>第五条</w:t>
      </w:r>
      <w:r>
        <w:rPr>
          <w:rFonts w:hint="eastAsia" w:ascii="仿宋_GB2312" w:hAnsi="仿宋_GB2312" w:eastAsia="仿宋_GB2312" w:cs="仿宋_GB2312"/>
          <w:b w:val="0"/>
          <w:bCs w:val="0"/>
          <w:snapToGrid w:val="0"/>
          <w:color w:val="000000"/>
          <w:kern w:val="0"/>
          <w:sz w:val="32"/>
          <w:szCs w:val="32"/>
          <w:highlight w:val="none"/>
          <w:lang w:val="en-US" w:eastAsia="zh-CN"/>
        </w:rPr>
        <w:t xml:space="preserve"> </w:t>
      </w:r>
      <w:r>
        <w:rPr>
          <w:rFonts w:hint="eastAsia" w:ascii="仿宋_GB2312" w:hAnsi="仿宋_GB2312" w:eastAsia="仿宋_GB2312" w:cs="仿宋_GB2312"/>
          <w:b w:val="0"/>
          <w:bCs w:val="0"/>
          <w:snapToGrid w:val="0"/>
          <w:color w:val="000000"/>
          <w:kern w:val="0"/>
          <w:sz w:val="32"/>
          <w:szCs w:val="32"/>
          <w:highlight w:val="none"/>
          <w:lang w:eastAsia="zh-CN"/>
        </w:rPr>
        <w:t>各级</w:t>
      </w:r>
      <w:r>
        <w:rPr>
          <w:rFonts w:hint="eastAsia" w:ascii="仿宋_GB2312" w:hAnsi="仿宋_GB2312" w:eastAsia="仿宋_GB2312" w:cs="仿宋_GB2312"/>
          <w:b w:val="0"/>
          <w:bCs w:val="0"/>
          <w:snapToGrid w:val="0"/>
          <w:color w:val="000000"/>
          <w:kern w:val="0"/>
          <w:sz w:val="32"/>
          <w:szCs w:val="32"/>
          <w:highlight w:val="none"/>
        </w:rPr>
        <w:t>供电</w:t>
      </w:r>
      <w:r>
        <w:rPr>
          <w:rFonts w:hint="eastAsia" w:ascii="仿宋_GB2312" w:hAnsi="仿宋_GB2312" w:eastAsia="仿宋_GB2312" w:cs="仿宋_GB2312"/>
          <w:b w:val="0"/>
          <w:bCs w:val="0"/>
          <w:snapToGrid w:val="0"/>
          <w:color w:val="000000"/>
          <w:kern w:val="0"/>
          <w:sz w:val="32"/>
          <w:szCs w:val="32"/>
          <w:highlight w:val="none"/>
          <w:lang w:eastAsia="zh-CN"/>
        </w:rPr>
        <w:t>企业在属地电力管理部门的指导下，负责重要电力用户名单管理、协助开展隐患排查、进行风险预警告知、主动开展电力应急救援和供电保障等供用电安全管理工作，提供必要的技术支持与服务</w:t>
      </w:r>
      <w:r>
        <w:rPr>
          <w:rFonts w:hint="eastAsia" w:ascii="仿宋_GB2312" w:hAnsi="仿宋_GB2312" w:eastAsia="仿宋_GB2312" w:cs="仿宋_GB2312"/>
          <w:b w:val="0"/>
          <w:bCs w:val="0"/>
          <w:snapToGrid w:val="0"/>
          <w:color w:val="000000"/>
          <w:kern w:val="0"/>
          <w:sz w:val="32"/>
          <w:szCs w:val="32"/>
          <w:highlight w:val="none"/>
        </w:rPr>
        <w:t>。</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rPr>
      </w:pPr>
      <w:r>
        <w:rPr>
          <w:rFonts w:hint="eastAsia" w:ascii="仿宋_GB2312" w:hAnsi="仿宋_GB2312" w:eastAsia="仿宋_GB2312" w:cs="仿宋_GB2312"/>
          <w:b w:val="0"/>
          <w:bCs w:val="0"/>
          <w:snapToGrid w:val="0"/>
          <w:color w:val="000000"/>
          <w:kern w:val="0"/>
          <w:sz w:val="32"/>
          <w:szCs w:val="32"/>
          <w:highlight w:val="none"/>
          <w:lang w:eastAsia="zh-CN"/>
        </w:rPr>
        <w:t>辽河石油勘探局有限公司电力分公司作为我市一级重要电力用户，在政府指导下负责转供电区域其他电力用户日常用电安全与管理。</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rPr>
      </w:pPr>
      <w:r>
        <w:rPr>
          <w:rFonts w:hint="eastAsia" w:ascii="黑体" w:hAnsi="黑体" w:eastAsia="黑体" w:cs="黑体"/>
          <w:b w:val="0"/>
          <w:bCs w:val="0"/>
          <w:snapToGrid w:val="0"/>
          <w:color w:val="000000"/>
          <w:kern w:val="0"/>
          <w:sz w:val="32"/>
          <w:szCs w:val="32"/>
          <w:highlight w:val="none"/>
          <w:lang w:val="en-US" w:eastAsia="zh-CN" w:bidi="ar-SA"/>
        </w:rPr>
        <w:t>第六条</w:t>
      </w:r>
      <w:r>
        <w:rPr>
          <w:rFonts w:hint="eastAsia" w:ascii="仿宋_GB2312" w:hAnsi="仿宋_GB2312" w:eastAsia="仿宋_GB2312" w:cs="仿宋_GB2312"/>
          <w:b w:val="0"/>
          <w:bCs w:val="0"/>
          <w:snapToGrid w:val="0"/>
          <w:color w:val="000000"/>
          <w:kern w:val="0"/>
          <w:sz w:val="32"/>
          <w:szCs w:val="32"/>
          <w:highlight w:val="none"/>
          <w:lang w:val="en-US" w:eastAsia="zh-CN"/>
        </w:rPr>
        <w:t xml:space="preserve"> </w:t>
      </w:r>
      <w:r>
        <w:rPr>
          <w:rFonts w:hint="eastAsia" w:ascii="仿宋_GB2312" w:hAnsi="仿宋_GB2312" w:eastAsia="仿宋_GB2312" w:cs="仿宋_GB2312"/>
          <w:b w:val="0"/>
          <w:bCs w:val="0"/>
          <w:snapToGrid w:val="0"/>
          <w:color w:val="000000"/>
          <w:kern w:val="0"/>
          <w:sz w:val="32"/>
          <w:szCs w:val="32"/>
          <w:highlight w:val="none"/>
        </w:rPr>
        <w:t>重要电力用户用电安全管理</w:t>
      </w:r>
      <w:r>
        <w:rPr>
          <w:rFonts w:hint="eastAsia" w:ascii="仿宋_GB2312" w:hAnsi="仿宋_GB2312" w:eastAsia="仿宋_GB2312" w:cs="仿宋_GB2312"/>
          <w:b w:val="0"/>
          <w:bCs w:val="0"/>
          <w:snapToGrid w:val="0"/>
          <w:color w:val="000000"/>
          <w:kern w:val="0"/>
          <w:sz w:val="32"/>
          <w:szCs w:val="32"/>
          <w:highlight w:val="none"/>
          <w:lang w:eastAsia="zh-CN"/>
        </w:rPr>
        <w:t>遵循“政府主导、用户主体、电力主动”的原则。</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auto"/>
          <w:kern w:val="0"/>
          <w:sz w:val="32"/>
          <w:szCs w:val="32"/>
          <w:highlight w:val="none"/>
          <w:lang w:val="en-US" w:eastAsia="zh-CN"/>
        </w:rPr>
      </w:pPr>
      <w:r>
        <w:rPr>
          <w:rFonts w:hint="eastAsia" w:ascii="黑体" w:hAnsi="黑体" w:eastAsia="黑体" w:cs="黑体"/>
          <w:b w:val="0"/>
          <w:bCs w:val="0"/>
          <w:snapToGrid w:val="0"/>
          <w:color w:val="000000"/>
          <w:kern w:val="0"/>
          <w:sz w:val="32"/>
          <w:szCs w:val="32"/>
          <w:highlight w:val="none"/>
          <w:lang w:val="en-US" w:eastAsia="zh-CN" w:bidi="ar-SA"/>
        </w:rPr>
        <w:t>第七条</w:t>
      </w:r>
      <w:r>
        <w:rPr>
          <w:rFonts w:hint="eastAsia" w:ascii="仿宋_GB2312" w:hAnsi="仿宋_GB2312" w:eastAsia="仿宋_GB2312" w:cs="仿宋_GB2312"/>
          <w:b w:val="0"/>
          <w:bCs w:val="0"/>
          <w:snapToGrid w:val="0"/>
          <w:color w:val="000000"/>
          <w:kern w:val="0"/>
          <w:sz w:val="32"/>
          <w:szCs w:val="32"/>
          <w:highlight w:val="none"/>
          <w:lang w:val="en-US" w:eastAsia="zh-CN"/>
        </w:rPr>
        <w:t xml:space="preserve"> </w:t>
      </w:r>
      <w:r>
        <w:rPr>
          <w:rFonts w:hint="eastAsia" w:ascii="仿宋_GB2312" w:hAnsi="仿宋_GB2312" w:eastAsia="仿宋_GB2312" w:cs="仿宋_GB2312"/>
          <w:b w:val="0"/>
          <w:bCs w:val="0"/>
          <w:snapToGrid w:val="0"/>
          <w:color w:val="auto"/>
          <w:kern w:val="0"/>
          <w:sz w:val="32"/>
          <w:szCs w:val="32"/>
          <w:highlight w:val="none"/>
          <w:lang w:eastAsia="zh-CN"/>
        </w:rPr>
        <w:t>根据用户中断供电危害程度</w:t>
      </w:r>
      <w:r>
        <w:rPr>
          <w:rFonts w:hint="eastAsia" w:ascii="仿宋_GB2312" w:hAnsi="仿宋_GB2312" w:eastAsia="仿宋_GB2312" w:cs="仿宋_GB2312"/>
          <w:b w:val="0"/>
          <w:bCs w:val="0"/>
          <w:snapToGrid w:val="0"/>
          <w:color w:val="auto"/>
          <w:kern w:val="0"/>
          <w:sz w:val="32"/>
          <w:szCs w:val="32"/>
          <w:highlight w:val="none"/>
        </w:rPr>
        <w:t>，</w:t>
      </w:r>
      <w:r>
        <w:rPr>
          <w:rFonts w:hint="eastAsia" w:ascii="仿宋_GB2312" w:hAnsi="仿宋_GB2312" w:eastAsia="仿宋_GB2312" w:cs="仿宋_GB2312"/>
          <w:b w:val="0"/>
          <w:bCs w:val="0"/>
          <w:snapToGrid w:val="0"/>
          <w:color w:val="auto"/>
          <w:kern w:val="0"/>
          <w:sz w:val="32"/>
          <w:szCs w:val="32"/>
          <w:highlight w:val="none"/>
          <w:lang w:eastAsia="zh-CN"/>
        </w:rPr>
        <w:t>结合盘锦地区实际，目前我市</w:t>
      </w:r>
      <w:r>
        <w:rPr>
          <w:rFonts w:hint="eastAsia" w:ascii="仿宋_GB2312" w:hAnsi="仿宋_GB2312" w:eastAsia="仿宋_GB2312" w:cs="仿宋_GB2312"/>
          <w:b w:val="0"/>
          <w:bCs w:val="0"/>
          <w:snapToGrid w:val="0"/>
          <w:color w:val="auto"/>
          <w:kern w:val="0"/>
          <w:sz w:val="32"/>
          <w:szCs w:val="32"/>
          <w:highlight w:val="none"/>
        </w:rPr>
        <w:t>重要电力用户</w:t>
      </w:r>
      <w:r>
        <w:rPr>
          <w:rFonts w:hint="eastAsia" w:ascii="仿宋_GB2312" w:hAnsi="仿宋_GB2312" w:eastAsia="仿宋_GB2312" w:cs="仿宋_GB2312"/>
          <w:b w:val="0"/>
          <w:bCs w:val="0"/>
          <w:snapToGrid w:val="0"/>
          <w:color w:val="auto"/>
          <w:kern w:val="0"/>
          <w:sz w:val="32"/>
          <w:szCs w:val="32"/>
          <w:highlight w:val="none"/>
          <w:lang w:eastAsia="zh-CN"/>
        </w:rPr>
        <w:t>主要</w:t>
      </w:r>
      <w:r>
        <w:rPr>
          <w:rFonts w:hint="eastAsia" w:ascii="仿宋_GB2312" w:hAnsi="仿宋_GB2312" w:eastAsia="仿宋_GB2312" w:cs="仿宋_GB2312"/>
          <w:b w:val="0"/>
          <w:bCs w:val="0"/>
          <w:snapToGrid w:val="0"/>
          <w:color w:val="auto"/>
          <w:kern w:val="0"/>
          <w:sz w:val="32"/>
          <w:szCs w:val="32"/>
          <w:highlight w:val="none"/>
        </w:rPr>
        <w:t>分为工业类和社会类两</w:t>
      </w:r>
      <w:r>
        <w:rPr>
          <w:rFonts w:hint="default" w:ascii="仿宋_GB2312" w:hAnsi="仿宋_GB2312" w:eastAsia="仿宋_GB2312" w:cs="仿宋_GB2312"/>
          <w:b w:val="0"/>
          <w:bCs w:val="0"/>
          <w:snapToGrid w:val="0"/>
          <w:color w:val="auto"/>
          <w:kern w:val="0"/>
          <w:sz w:val="32"/>
          <w:szCs w:val="32"/>
          <w:highlight w:val="none"/>
        </w:rPr>
        <w:t>大</w:t>
      </w:r>
      <w:r>
        <w:rPr>
          <w:rFonts w:hint="eastAsia" w:ascii="仿宋_GB2312" w:hAnsi="仿宋_GB2312" w:eastAsia="仿宋_GB2312" w:cs="仿宋_GB2312"/>
          <w:b w:val="0"/>
          <w:bCs w:val="0"/>
          <w:snapToGrid w:val="0"/>
          <w:color w:val="auto"/>
          <w:kern w:val="0"/>
          <w:sz w:val="32"/>
          <w:szCs w:val="32"/>
          <w:highlight w:val="none"/>
        </w:rPr>
        <w:t>类</w:t>
      </w:r>
      <w:r>
        <w:rPr>
          <w:rFonts w:hint="eastAsia" w:ascii="仿宋_GB2312" w:hAnsi="仿宋_GB2312" w:eastAsia="仿宋_GB2312" w:cs="仿宋_GB2312"/>
          <w:b w:val="0"/>
          <w:bCs w:val="0"/>
          <w:snapToGrid w:val="0"/>
          <w:color w:val="auto"/>
          <w:kern w:val="0"/>
          <w:sz w:val="32"/>
          <w:szCs w:val="32"/>
          <w:highlight w:val="none"/>
          <w:lang w:eastAsia="zh-CN"/>
        </w:rPr>
        <w:t>。</w:t>
      </w:r>
      <w:r>
        <w:rPr>
          <w:rFonts w:hint="eastAsia" w:ascii="仿宋_GB2312" w:hAnsi="仿宋_GB2312" w:eastAsia="仿宋_GB2312" w:cs="仿宋_GB2312"/>
          <w:b w:val="0"/>
          <w:bCs w:val="0"/>
          <w:snapToGrid w:val="0"/>
          <w:color w:val="auto"/>
          <w:kern w:val="0"/>
          <w:sz w:val="32"/>
          <w:szCs w:val="32"/>
          <w:highlight w:val="none"/>
        </w:rPr>
        <w:t>工业类分为</w:t>
      </w:r>
      <w:r>
        <w:rPr>
          <w:rFonts w:hint="eastAsia" w:ascii="仿宋_GB2312" w:hAnsi="仿宋_GB2312" w:eastAsia="仿宋_GB2312" w:cs="仿宋_GB2312"/>
          <w:b w:val="0"/>
          <w:bCs w:val="0"/>
          <w:snapToGrid w:val="0"/>
          <w:color w:val="auto"/>
          <w:kern w:val="0"/>
          <w:sz w:val="32"/>
          <w:szCs w:val="32"/>
          <w:highlight w:val="none"/>
          <w:lang w:eastAsia="zh-CN"/>
        </w:rPr>
        <w:t>石化、精细化工、冶金、农副食品加工</w:t>
      </w:r>
      <w:r>
        <w:rPr>
          <w:rFonts w:hint="eastAsia" w:ascii="仿宋_GB2312" w:hAnsi="仿宋_GB2312" w:eastAsia="仿宋_GB2312" w:cs="仿宋_GB2312"/>
          <w:b w:val="0"/>
          <w:bCs w:val="0"/>
          <w:snapToGrid w:val="0"/>
          <w:color w:val="auto"/>
          <w:kern w:val="0"/>
          <w:sz w:val="32"/>
          <w:szCs w:val="32"/>
          <w:highlight w:val="none"/>
          <w:lang w:val="en-US" w:eastAsia="zh-CN"/>
        </w:rPr>
        <w:t>4类</w:t>
      </w:r>
      <w:r>
        <w:rPr>
          <w:rFonts w:hint="eastAsia" w:ascii="仿宋_GB2312" w:hAnsi="仿宋_GB2312" w:eastAsia="仿宋_GB2312" w:cs="仿宋_GB2312"/>
          <w:b w:val="0"/>
          <w:bCs w:val="0"/>
          <w:snapToGrid w:val="0"/>
          <w:color w:val="auto"/>
          <w:kern w:val="0"/>
          <w:sz w:val="32"/>
          <w:szCs w:val="32"/>
          <w:highlight w:val="none"/>
        </w:rPr>
        <w:t>，社会类分为</w:t>
      </w:r>
      <w:r>
        <w:rPr>
          <w:rFonts w:hint="eastAsia" w:ascii="仿宋_GB2312" w:hAnsi="仿宋_GB2312" w:eastAsia="仿宋_GB2312" w:cs="仿宋_GB2312"/>
          <w:b w:val="0"/>
          <w:bCs w:val="0"/>
          <w:snapToGrid w:val="0"/>
          <w:color w:val="auto"/>
          <w:kern w:val="0"/>
          <w:sz w:val="32"/>
          <w:szCs w:val="32"/>
          <w:highlight w:val="none"/>
          <w:lang w:eastAsia="zh-CN"/>
        </w:rPr>
        <w:t>党政机关（国防）、通讯、新闻媒体、数据中心、供水供热、供气、石油天然气运输、石油运输、交通运输、医疗卫生</w:t>
      </w:r>
      <w:r>
        <w:rPr>
          <w:rFonts w:hint="eastAsia" w:ascii="仿宋_GB2312" w:hAnsi="仿宋_GB2312" w:eastAsia="仿宋_GB2312" w:cs="仿宋_GB2312"/>
          <w:b w:val="0"/>
          <w:bCs w:val="0"/>
          <w:snapToGrid w:val="0"/>
          <w:color w:val="auto"/>
          <w:kern w:val="0"/>
          <w:sz w:val="32"/>
          <w:szCs w:val="32"/>
          <w:highlight w:val="none"/>
          <w:lang w:val="en-US" w:eastAsia="zh-CN"/>
        </w:rPr>
        <w:t>10</w:t>
      </w:r>
      <w:r>
        <w:rPr>
          <w:rFonts w:hint="eastAsia" w:ascii="仿宋_GB2312" w:hAnsi="仿宋_GB2312" w:eastAsia="仿宋_GB2312" w:cs="仿宋_GB2312"/>
          <w:b w:val="0"/>
          <w:bCs w:val="0"/>
          <w:snapToGrid w:val="0"/>
          <w:color w:val="auto"/>
          <w:kern w:val="0"/>
          <w:sz w:val="32"/>
          <w:szCs w:val="32"/>
          <w:highlight w:val="none"/>
        </w:rPr>
        <w:t>类。重要电力用户</w:t>
      </w:r>
      <w:r>
        <w:rPr>
          <w:rFonts w:hint="eastAsia" w:ascii="仿宋_GB2312" w:hAnsi="仿宋_GB2312" w:eastAsia="仿宋_GB2312" w:cs="仿宋_GB2312"/>
          <w:b w:val="0"/>
          <w:bCs w:val="0"/>
          <w:snapToGrid w:val="0"/>
          <w:color w:val="auto"/>
          <w:kern w:val="0"/>
          <w:sz w:val="32"/>
          <w:szCs w:val="32"/>
          <w:highlight w:val="none"/>
          <w:lang w:eastAsia="zh-CN"/>
        </w:rPr>
        <w:t>分类</w:t>
      </w:r>
      <w:r>
        <w:rPr>
          <w:rFonts w:hint="eastAsia" w:ascii="仿宋_GB2312" w:hAnsi="仿宋_GB2312" w:eastAsia="仿宋_GB2312" w:cs="仿宋_GB2312"/>
          <w:b w:val="0"/>
          <w:bCs w:val="0"/>
          <w:snapToGrid w:val="0"/>
          <w:color w:val="auto"/>
          <w:kern w:val="0"/>
          <w:sz w:val="32"/>
          <w:szCs w:val="32"/>
          <w:highlight w:val="none"/>
        </w:rPr>
        <w:t>参</w:t>
      </w:r>
      <w:r>
        <w:rPr>
          <w:rFonts w:hint="eastAsia" w:ascii="仿宋_GB2312" w:hAnsi="仿宋_GB2312" w:eastAsia="仿宋_GB2312" w:cs="仿宋_GB2312"/>
          <w:b w:val="0"/>
          <w:bCs w:val="0"/>
          <w:snapToGrid w:val="0"/>
          <w:color w:val="auto"/>
          <w:kern w:val="0"/>
          <w:sz w:val="32"/>
          <w:szCs w:val="32"/>
          <w:highlight w:val="none"/>
          <w:lang w:eastAsia="zh-CN"/>
        </w:rPr>
        <w:t>照</w:t>
      </w:r>
      <w:r>
        <w:rPr>
          <w:rFonts w:hint="eastAsia" w:ascii="仿宋_GB2312" w:hAnsi="仿宋_GB2312" w:eastAsia="仿宋_GB2312" w:cs="仿宋_GB2312"/>
          <w:b w:val="0"/>
          <w:bCs w:val="0"/>
          <w:snapToGrid w:val="0"/>
          <w:color w:val="auto"/>
          <w:kern w:val="0"/>
          <w:sz w:val="32"/>
          <w:szCs w:val="32"/>
          <w:highlight w:val="none"/>
        </w:rPr>
        <w:t>《重要电力用户范围表》</w:t>
      </w:r>
      <w:r>
        <w:rPr>
          <w:rFonts w:hint="eastAsia" w:ascii="仿宋_GB2312" w:hAnsi="仿宋_GB2312" w:eastAsia="仿宋_GB2312" w:cs="仿宋_GB2312"/>
          <w:b w:val="0"/>
          <w:bCs w:val="0"/>
          <w:snapToGrid w:val="0"/>
          <w:color w:val="auto"/>
          <w:kern w:val="0"/>
          <w:sz w:val="32"/>
          <w:szCs w:val="32"/>
          <w:highlight w:val="none"/>
          <w:lang w:eastAsia="zh-CN"/>
        </w:rPr>
        <w:t>执行</w:t>
      </w:r>
      <w:r>
        <w:rPr>
          <w:rFonts w:hint="eastAsia" w:ascii="仿宋_GB2312" w:hAnsi="仿宋_GB2312" w:eastAsia="仿宋_GB2312" w:cs="仿宋_GB2312"/>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outlineLvl w:val="9"/>
        <w:rPr>
          <w:rFonts w:hint="eastAsia" w:ascii="仿宋_GB2312" w:hAnsi="仿宋_GB2312" w:eastAsia="仿宋_GB2312" w:cs="仿宋_GB2312"/>
          <w:b w:val="0"/>
          <w:bCs w:val="0"/>
          <w:snapToGrid w:val="0"/>
          <w:color w:val="000000"/>
          <w:kern w:val="0"/>
          <w:sz w:val="32"/>
          <w:szCs w:val="32"/>
          <w:highlight w:val="none"/>
          <w:lang w:val="en-US" w:eastAsia="zh-CN"/>
        </w:rPr>
      </w:pPr>
      <w:r>
        <w:rPr>
          <w:rFonts w:hint="eastAsia" w:ascii="仿宋_GB2312" w:hAnsi="仿宋_GB2312" w:eastAsia="仿宋_GB2312" w:cs="仿宋_GB2312"/>
          <w:b w:val="0"/>
          <w:bCs w:val="0"/>
          <w:snapToGrid w:val="0"/>
          <w:color w:val="000000"/>
          <w:kern w:val="0"/>
          <w:sz w:val="32"/>
          <w:szCs w:val="32"/>
          <w:highlight w:val="none"/>
          <w:lang w:eastAsia="zh-CN"/>
        </w:rPr>
        <w:t>重要电力用户范围可根据我市经济社会发展实际</w:t>
      </w:r>
      <w:r>
        <w:rPr>
          <w:rFonts w:hint="eastAsia" w:ascii="仿宋_GB2312" w:hAnsi="仿宋_GB2312" w:eastAsia="仿宋_GB2312" w:cs="仿宋_GB2312"/>
          <w:b w:val="0"/>
          <w:bCs w:val="0"/>
          <w:snapToGrid w:val="0"/>
          <w:color w:val="000000"/>
          <w:kern w:val="0"/>
          <w:sz w:val="32"/>
          <w:szCs w:val="32"/>
          <w:highlight w:val="none"/>
          <w:lang w:val="en-US" w:eastAsia="zh-CN"/>
        </w:rPr>
        <w:t>予以相应调整。</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黑体" w:hAnsi="黑体" w:eastAsia="黑体" w:cs="黑体"/>
          <w:b w:val="0"/>
          <w:bCs w:val="0"/>
          <w:snapToGrid w:val="0"/>
          <w:color w:val="000000"/>
          <w:kern w:val="0"/>
          <w:sz w:val="32"/>
          <w:szCs w:val="32"/>
          <w:highlight w:val="none"/>
          <w:lang w:val="en-US" w:eastAsia="zh-CN" w:bidi="ar-SA"/>
        </w:rPr>
        <w:t>第八条</w:t>
      </w:r>
      <w:r>
        <w:rPr>
          <w:rFonts w:hint="eastAsia" w:ascii="仿宋_GB2312" w:hAnsi="仿宋_GB2312" w:eastAsia="仿宋_GB2312" w:cs="仿宋_GB2312"/>
          <w:b w:val="0"/>
          <w:bCs w:val="0"/>
          <w:snapToGrid w:val="0"/>
          <w:color w:val="000000"/>
          <w:kern w:val="0"/>
          <w:sz w:val="32"/>
          <w:szCs w:val="32"/>
          <w:highlight w:val="none"/>
          <w:lang w:val="en-US" w:eastAsia="zh-CN"/>
        </w:rPr>
        <w:t xml:space="preserve"> </w:t>
      </w:r>
      <w:r>
        <w:rPr>
          <w:rFonts w:hint="eastAsia" w:ascii="仿宋_GB2312" w:hAnsi="仿宋_GB2312" w:eastAsia="仿宋_GB2312" w:cs="仿宋_GB2312"/>
          <w:b w:val="0"/>
          <w:bCs w:val="0"/>
          <w:snapToGrid w:val="0"/>
          <w:color w:val="000000"/>
          <w:kern w:val="0"/>
          <w:sz w:val="32"/>
          <w:szCs w:val="32"/>
          <w:highlight w:val="none"/>
        </w:rPr>
        <w:t>根据供电可靠性</w:t>
      </w:r>
      <w:r>
        <w:rPr>
          <w:rFonts w:hint="eastAsia" w:ascii="仿宋_GB2312" w:hAnsi="仿宋_GB2312" w:eastAsia="仿宋_GB2312" w:cs="仿宋_GB2312"/>
          <w:b w:val="0"/>
          <w:bCs w:val="0"/>
          <w:snapToGrid w:val="0"/>
          <w:color w:val="000000"/>
          <w:kern w:val="0"/>
          <w:sz w:val="32"/>
          <w:szCs w:val="32"/>
          <w:highlight w:val="none"/>
          <w:lang w:eastAsia="zh-CN"/>
        </w:rPr>
        <w:t>的</w:t>
      </w:r>
      <w:r>
        <w:rPr>
          <w:rFonts w:hint="eastAsia" w:ascii="仿宋_GB2312" w:hAnsi="仿宋_GB2312" w:eastAsia="仿宋_GB2312" w:cs="仿宋_GB2312"/>
          <w:b w:val="0"/>
          <w:bCs w:val="0"/>
          <w:snapToGrid w:val="0"/>
          <w:color w:val="000000"/>
          <w:kern w:val="0"/>
          <w:sz w:val="32"/>
          <w:szCs w:val="32"/>
          <w:highlight w:val="none"/>
        </w:rPr>
        <w:t>要求</w:t>
      </w:r>
      <w:r>
        <w:rPr>
          <w:rFonts w:hint="eastAsia" w:ascii="仿宋_GB2312" w:hAnsi="仿宋_GB2312" w:eastAsia="仿宋_GB2312" w:cs="仿宋_GB2312"/>
          <w:b w:val="0"/>
          <w:bCs w:val="0"/>
          <w:snapToGrid w:val="0"/>
          <w:color w:val="000000"/>
          <w:kern w:val="0"/>
          <w:sz w:val="32"/>
          <w:szCs w:val="32"/>
          <w:highlight w:val="none"/>
          <w:lang w:eastAsia="zh-CN"/>
        </w:rPr>
        <w:t>以</w:t>
      </w:r>
      <w:r>
        <w:rPr>
          <w:rFonts w:hint="eastAsia" w:ascii="仿宋_GB2312" w:hAnsi="仿宋_GB2312" w:eastAsia="仿宋_GB2312" w:cs="仿宋_GB2312"/>
          <w:b w:val="0"/>
          <w:bCs w:val="0"/>
          <w:snapToGrid w:val="0"/>
          <w:color w:val="000000"/>
          <w:kern w:val="0"/>
          <w:sz w:val="32"/>
          <w:szCs w:val="32"/>
          <w:highlight w:val="none"/>
        </w:rPr>
        <w:t>及供电中断</w:t>
      </w:r>
      <w:r>
        <w:rPr>
          <w:rFonts w:hint="eastAsia" w:ascii="仿宋_GB2312" w:hAnsi="仿宋_GB2312" w:eastAsia="仿宋_GB2312" w:cs="仿宋_GB2312"/>
          <w:b w:val="0"/>
          <w:bCs w:val="0"/>
          <w:snapToGrid w:val="0"/>
          <w:color w:val="000000"/>
          <w:kern w:val="0"/>
          <w:sz w:val="32"/>
          <w:szCs w:val="32"/>
          <w:highlight w:val="none"/>
          <w:lang w:eastAsia="zh-CN"/>
        </w:rPr>
        <w:t>的</w:t>
      </w:r>
      <w:r>
        <w:rPr>
          <w:rFonts w:hint="eastAsia" w:ascii="仿宋_GB2312" w:hAnsi="仿宋_GB2312" w:eastAsia="仿宋_GB2312" w:cs="仿宋_GB2312"/>
          <w:b w:val="0"/>
          <w:bCs w:val="0"/>
          <w:snapToGrid w:val="0"/>
          <w:color w:val="000000"/>
          <w:kern w:val="0"/>
          <w:sz w:val="32"/>
          <w:szCs w:val="32"/>
          <w:highlight w:val="none"/>
        </w:rPr>
        <w:t>危害程度，</w:t>
      </w:r>
      <w:r>
        <w:rPr>
          <w:rFonts w:hint="eastAsia" w:ascii="仿宋_GB2312" w:hAnsi="仿宋_GB2312" w:eastAsia="仿宋_GB2312" w:cs="仿宋_GB2312"/>
          <w:b w:val="0"/>
          <w:bCs w:val="0"/>
          <w:snapToGrid w:val="0"/>
          <w:color w:val="000000"/>
          <w:kern w:val="0"/>
          <w:sz w:val="32"/>
          <w:szCs w:val="32"/>
          <w:highlight w:val="none"/>
          <w:lang w:eastAsia="zh-CN"/>
        </w:rPr>
        <w:t>我市</w:t>
      </w:r>
      <w:r>
        <w:rPr>
          <w:rFonts w:hint="eastAsia" w:ascii="仿宋_GB2312" w:hAnsi="仿宋_GB2312" w:eastAsia="仿宋_GB2312" w:cs="仿宋_GB2312"/>
          <w:b w:val="0"/>
          <w:bCs w:val="0"/>
          <w:snapToGrid w:val="0"/>
          <w:color w:val="000000"/>
          <w:kern w:val="0"/>
          <w:sz w:val="32"/>
          <w:szCs w:val="32"/>
          <w:highlight w:val="none"/>
        </w:rPr>
        <w:t>重要电力用户分为一级、二级和临时性重要电力用户。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rPr>
        <w:t>一级重要</w:t>
      </w:r>
      <w:r>
        <w:rPr>
          <w:rFonts w:hint="eastAsia" w:ascii="仿宋_GB2312" w:hAnsi="仿宋_GB2312" w:eastAsia="仿宋_GB2312" w:cs="仿宋_GB2312"/>
          <w:b w:val="0"/>
          <w:bCs w:val="0"/>
          <w:snapToGrid w:val="0"/>
          <w:color w:val="000000"/>
          <w:kern w:val="0"/>
          <w:sz w:val="32"/>
          <w:szCs w:val="32"/>
          <w:highlight w:val="none"/>
          <w:lang w:eastAsia="zh-CN"/>
        </w:rPr>
        <w:t>电力</w:t>
      </w:r>
      <w:r>
        <w:rPr>
          <w:rFonts w:hint="eastAsia" w:ascii="仿宋_GB2312" w:hAnsi="仿宋_GB2312" w:eastAsia="仿宋_GB2312" w:cs="仿宋_GB2312"/>
          <w:b w:val="0"/>
          <w:bCs w:val="0"/>
          <w:snapToGrid w:val="0"/>
          <w:color w:val="000000"/>
          <w:kern w:val="0"/>
          <w:sz w:val="32"/>
          <w:szCs w:val="32"/>
          <w:highlight w:val="none"/>
        </w:rPr>
        <w:t>用户，是指中断供电可能产生下列后果之一的</w:t>
      </w:r>
      <w:r>
        <w:rPr>
          <w:rFonts w:hint="eastAsia" w:ascii="仿宋_GB2312" w:hAnsi="仿宋_GB2312" w:eastAsia="仿宋_GB2312" w:cs="仿宋_GB2312"/>
          <w:b w:val="0"/>
          <w:bCs w:val="0"/>
          <w:snapToGrid w:val="0"/>
          <w:color w:val="000000"/>
          <w:kern w:val="0"/>
          <w:sz w:val="32"/>
          <w:szCs w:val="32"/>
          <w:highlight w:val="none"/>
          <w:lang w:eastAsia="zh-CN"/>
        </w:rPr>
        <w:t>电力用户</w:t>
      </w:r>
      <w:r>
        <w:rPr>
          <w:rFonts w:hint="eastAsia" w:ascii="仿宋_GB2312" w:hAnsi="仿宋_GB2312" w:eastAsia="仿宋_GB2312" w:cs="仿宋_GB2312"/>
          <w:b w:val="0"/>
          <w:bCs w:val="0"/>
          <w:snapToGrid w:val="0"/>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eastAsia="zh-CN"/>
        </w:rPr>
        <w:t>（一）</w:t>
      </w:r>
      <w:r>
        <w:rPr>
          <w:rFonts w:hint="eastAsia" w:ascii="仿宋_GB2312" w:hAnsi="仿宋_GB2312" w:eastAsia="仿宋_GB2312" w:cs="仿宋_GB2312"/>
          <w:b w:val="0"/>
          <w:bCs w:val="0"/>
          <w:snapToGrid w:val="0"/>
          <w:color w:val="000000"/>
          <w:kern w:val="0"/>
          <w:sz w:val="32"/>
          <w:szCs w:val="32"/>
          <w:highlight w:val="none"/>
        </w:rPr>
        <w:t>直接引发人身伤亡的；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eastAsia="zh-CN"/>
        </w:rPr>
        <w:t>（二）</w:t>
      </w:r>
      <w:r>
        <w:rPr>
          <w:rFonts w:hint="eastAsia" w:ascii="仿宋_GB2312" w:hAnsi="仿宋_GB2312" w:eastAsia="仿宋_GB2312" w:cs="仿宋_GB2312"/>
          <w:b w:val="0"/>
          <w:bCs w:val="0"/>
          <w:snapToGrid w:val="0"/>
          <w:color w:val="000000"/>
          <w:kern w:val="0"/>
          <w:sz w:val="32"/>
          <w:szCs w:val="32"/>
          <w:highlight w:val="none"/>
        </w:rPr>
        <w:t>造成严重环境污染的；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eastAsia="zh-CN"/>
        </w:rPr>
        <w:t>（三）</w:t>
      </w:r>
      <w:r>
        <w:rPr>
          <w:rFonts w:hint="eastAsia" w:ascii="仿宋_GB2312" w:hAnsi="仿宋_GB2312" w:eastAsia="仿宋_GB2312" w:cs="仿宋_GB2312"/>
          <w:b w:val="0"/>
          <w:bCs w:val="0"/>
          <w:snapToGrid w:val="0"/>
          <w:color w:val="000000"/>
          <w:kern w:val="0"/>
          <w:sz w:val="32"/>
          <w:szCs w:val="32"/>
          <w:highlight w:val="none"/>
        </w:rPr>
        <w:t>发生中毒、爆炸</w:t>
      </w:r>
      <w:r>
        <w:rPr>
          <w:rFonts w:hint="eastAsia" w:ascii="仿宋_GB2312" w:hAnsi="仿宋_GB2312" w:eastAsia="仿宋_GB2312" w:cs="仿宋_GB2312"/>
          <w:b w:val="0"/>
          <w:bCs w:val="0"/>
          <w:snapToGrid w:val="0"/>
          <w:color w:val="000000"/>
          <w:kern w:val="0"/>
          <w:sz w:val="32"/>
          <w:szCs w:val="32"/>
          <w:highlight w:val="none"/>
          <w:lang w:eastAsia="zh-CN"/>
        </w:rPr>
        <w:t>或</w:t>
      </w:r>
      <w:r>
        <w:rPr>
          <w:rFonts w:hint="eastAsia" w:ascii="仿宋_GB2312" w:hAnsi="仿宋_GB2312" w:eastAsia="仿宋_GB2312" w:cs="仿宋_GB2312"/>
          <w:b w:val="0"/>
          <w:bCs w:val="0"/>
          <w:snapToGrid w:val="0"/>
          <w:color w:val="000000"/>
          <w:kern w:val="0"/>
          <w:sz w:val="32"/>
          <w:szCs w:val="32"/>
          <w:highlight w:val="none"/>
        </w:rPr>
        <w:t>火灾的；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eastAsia="zh-CN"/>
        </w:rPr>
        <w:t>（四）</w:t>
      </w:r>
      <w:r>
        <w:rPr>
          <w:rFonts w:hint="eastAsia" w:ascii="仿宋_GB2312" w:hAnsi="仿宋_GB2312" w:eastAsia="仿宋_GB2312" w:cs="仿宋_GB2312"/>
          <w:b w:val="0"/>
          <w:bCs w:val="0"/>
          <w:snapToGrid w:val="0"/>
          <w:color w:val="000000"/>
          <w:kern w:val="0"/>
          <w:sz w:val="32"/>
          <w:szCs w:val="32"/>
          <w:highlight w:val="none"/>
        </w:rPr>
        <w:t>造成重大政治影响的；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val="en-US" w:eastAsia="zh-CN"/>
        </w:rPr>
        <w:t>（五）</w:t>
      </w:r>
      <w:r>
        <w:rPr>
          <w:rFonts w:hint="eastAsia" w:ascii="仿宋_GB2312" w:hAnsi="仿宋_GB2312" w:eastAsia="仿宋_GB2312" w:cs="仿宋_GB2312"/>
          <w:b w:val="0"/>
          <w:bCs w:val="0"/>
          <w:snapToGrid w:val="0"/>
          <w:color w:val="000000"/>
          <w:kern w:val="0"/>
          <w:sz w:val="32"/>
          <w:szCs w:val="32"/>
          <w:highlight w:val="none"/>
        </w:rPr>
        <w:t>造成重大经济损失的；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eastAsia="zh-CN"/>
        </w:rPr>
        <w:t>（六）</w:t>
      </w:r>
      <w:r>
        <w:rPr>
          <w:rFonts w:hint="eastAsia" w:ascii="仿宋_GB2312" w:hAnsi="仿宋_GB2312" w:eastAsia="仿宋_GB2312" w:cs="仿宋_GB2312"/>
          <w:b w:val="0"/>
          <w:bCs w:val="0"/>
          <w:snapToGrid w:val="0"/>
          <w:color w:val="000000"/>
          <w:kern w:val="0"/>
          <w:sz w:val="32"/>
          <w:szCs w:val="32"/>
          <w:highlight w:val="none"/>
        </w:rPr>
        <w:t>造成较大范围社会公共秩序严重混乱的。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rPr>
        <w:t>二级重要</w:t>
      </w:r>
      <w:r>
        <w:rPr>
          <w:rFonts w:hint="eastAsia" w:ascii="仿宋_GB2312" w:hAnsi="仿宋_GB2312" w:eastAsia="仿宋_GB2312" w:cs="仿宋_GB2312"/>
          <w:b w:val="0"/>
          <w:bCs w:val="0"/>
          <w:snapToGrid w:val="0"/>
          <w:color w:val="000000"/>
          <w:kern w:val="0"/>
          <w:sz w:val="32"/>
          <w:szCs w:val="32"/>
          <w:highlight w:val="none"/>
          <w:lang w:eastAsia="zh-CN"/>
        </w:rPr>
        <w:t>电力</w:t>
      </w:r>
      <w:r>
        <w:rPr>
          <w:rFonts w:hint="eastAsia" w:ascii="仿宋_GB2312" w:hAnsi="仿宋_GB2312" w:eastAsia="仿宋_GB2312" w:cs="仿宋_GB2312"/>
          <w:b w:val="0"/>
          <w:bCs w:val="0"/>
          <w:snapToGrid w:val="0"/>
          <w:color w:val="000000"/>
          <w:kern w:val="0"/>
          <w:sz w:val="32"/>
          <w:szCs w:val="32"/>
          <w:highlight w:val="none"/>
        </w:rPr>
        <w:t>用户，是指中断供电可能产生下列后果之一的</w:t>
      </w:r>
      <w:r>
        <w:rPr>
          <w:rFonts w:hint="eastAsia" w:ascii="仿宋_GB2312" w:hAnsi="仿宋_GB2312" w:eastAsia="仿宋_GB2312" w:cs="仿宋_GB2312"/>
          <w:b w:val="0"/>
          <w:bCs w:val="0"/>
          <w:snapToGrid w:val="0"/>
          <w:color w:val="000000"/>
          <w:kern w:val="0"/>
          <w:sz w:val="32"/>
          <w:szCs w:val="32"/>
          <w:highlight w:val="none"/>
          <w:lang w:eastAsia="zh-CN"/>
        </w:rPr>
        <w:t>电力用户</w:t>
      </w:r>
      <w:r>
        <w:rPr>
          <w:rFonts w:hint="eastAsia" w:ascii="仿宋_GB2312" w:hAnsi="仿宋_GB2312" w:eastAsia="仿宋_GB2312" w:cs="仿宋_GB2312"/>
          <w:b w:val="0"/>
          <w:bCs w:val="0"/>
          <w:snapToGrid w:val="0"/>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eastAsia="zh-CN"/>
        </w:rPr>
        <w:t>（一）</w:t>
      </w:r>
      <w:r>
        <w:rPr>
          <w:rFonts w:hint="eastAsia" w:ascii="仿宋_GB2312" w:hAnsi="仿宋_GB2312" w:eastAsia="仿宋_GB2312" w:cs="仿宋_GB2312"/>
          <w:b w:val="0"/>
          <w:bCs w:val="0"/>
          <w:snapToGrid w:val="0"/>
          <w:color w:val="000000"/>
          <w:kern w:val="0"/>
          <w:sz w:val="32"/>
          <w:szCs w:val="32"/>
          <w:highlight w:val="none"/>
        </w:rPr>
        <w:t>造成较大环境污染的；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eastAsia="zh-CN"/>
        </w:rPr>
        <w:t>（二）</w:t>
      </w:r>
      <w:r>
        <w:rPr>
          <w:rFonts w:hint="eastAsia" w:ascii="仿宋_GB2312" w:hAnsi="仿宋_GB2312" w:eastAsia="仿宋_GB2312" w:cs="仿宋_GB2312"/>
          <w:b w:val="0"/>
          <w:bCs w:val="0"/>
          <w:snapToGrid w:val="0"/>
          <w:color w:val="000000"/>
          <w:kern w:val="0"/>
          <w:sz w:val="32"/>
          <w:szCs w:val="32"/>
          <w:highlight w:val="none"/>
        </w:rPr>
        <w:t>造成较大政治影响的；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eastAsia="zh-CN"/>
        </w:rPr>
        <w:t>（三）</w:t>
      </w:r>
      <w:r>
        <w:rPr>
          <w:rFonts w:hint="eastAsia" w:ascii="仿宋_GB2312" w:hAnsi="仿宋_GB2312" w:eastAsia="仿宋_GB2312" w:cs="仿宋_GB2312"/>
          <w:b w:val="0"/>
          <w:bCs w:val="0"/>
          <w:snapToGrid w:val="0"/>
          <w:color w:val="000000"/>
          <w:kern w:val="0"/>
          <w:sz w:val="32"/>
          <w:szCs w:val="32"/>
          <w:highlight w:val="none"/>
        </w:rPr>
        <w:t>造成较大经济损失的；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eastAsia="zh-CN"/>
        </w:rPr>
        <w:t>（四）</w:t>
      </w:r>
      <w:r>
        <w:rPr>
          <w:rFonts w:hint="eastAsia" w:ascii="仿宋_GB2312" w:hAnsi="仿宋_GB2312" w:eastAsia="仿宋_GB2312" w:cs="仿宋_GB2312"/>
          <w:b w:val="0"/>
          <w:bCs w:val="0"/>
          <w:snapToGrid w:val="0"/>
          <w:color w:val="000000"/>
          <w:kern w:val="0"/>
          <w:sz w:val="32"/>
          <w:szCs w:val="32"/>
          <w:highlight w:val="none"/>
        </w:rPr>
        <w:t>造成一定范围社会公共秩序严重混乱的。</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rPr>
        <w:t>临时性重要电力用户，是指需要临时特殊供电保障的电力用户。</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黑体" w:hAnsi="黑体" w:eastAsia="黑体" w:cs="黑体"/>
          <w:b w:val="0"/>
          <w:bCs w:val="0"/>
          <w:snapToGrid w:val="0"/>
          <w:color w:val="000000"/>
          <w:kern w:val="0"/>
          <w:sz w:val="32"/>
          <w:szCs w:val="32"/>
          <w:highlight w:val="none"/>
          <w:lang w:val="en-US" w:eastAsia="zh-CN" w:bidi="ar-SA"/>
        </w:rPr>
        <w:t>第九条</w:t>
      </w:r>
      <w:r>
        <w:rPr>
          <w:rFonts w:hint="eastAsia" w:ascii="仿宋_GB2312" w:hAnsi="仿宋_GB2312" w:eastAsia="仿宋_GB2312" w:cs="仿宋_GB2312"/>
          <w:b w:val="0"/>
          <w:bCs w:val="0"/>
          <w:snapToGrid w:val="0"/>
          <w:color w:val="000000"/>
          <w:kern w:val="0"/>
          <w:sz w:val="32"/>
          <w:szCs w:val="32"/>
          <w:highlight w:val="none"/>
          <w:lang w:val="en-US" w:eastAsia="zh-CN"/>
        </w:rPr>
        <w:t xml:space="preserve"> </w:t>
      </w:r>
      <w:r>
        <w:rPr>
          <w:rFonts w:hint="eastAsia" w:ascii="仿宋_GB2312" w:hAnsi="仿宋_GB2312" w:eastAsia="仿宋_GB2312" w:cs="仿宋_GB2312"/>
          <w:b w:val="0"/>
          <w:bCs w:val="0"/>
          <w:snapToGrid w:val="0"/>
          <w:color w:val="000000"/>
          <w:kern w:val="0"/>
          <w:sz w:val="32"/>
          <w:szCs w:val="32"/>
          <w:highlight w:val="none"/>
        </w:rPr>
        <w:t>重要电力用户的供电电源</w:t>
      </w:r>
      <w:r>
        <w:rPr>
          <w:rFonts w:hint="eastAsia" w:ascii="仿宋_GB2312" w:hAnsi="仿宋_GB2312" w:eastAsia="仿宋_GB2312" w:cs="仿宋_GB2312"/>
          <w:b w:val="0"/>
          <w:bCs w:val="0"/>
          <w:snapToGrid w:val="0"/>
          <w:color w:val="000000"/>
          <w:kern w:val="0"/>
          <w:sz w:val="32"/>
          <w:szCs w:val="32"/>
          <w:highlight w:val="none"/>
          <w:lang w:val="en-US" w:eastAsia="zh-CN"/>
        </w:rPr>
        <w:t>应采用多电源、双电源或双回路供电。当任何一路或一路以上电源发生故障时，至少仍有一路电源能对保安负荷供电</w:t>
      </w:r>
      <w:r>
        <w:rPr>
          <w:rFonts w:hint="eastAsia" w:ascii="仿宋_GB2312" w:hAnsi="仿宋_GB2312" w:eastAsia="仿宋_GB2312" w:cs="仿宋_GB2312"/>
          <w:b w:val="0"/>
          <w:bCs w:val="0"/>
          <w:snapToGrid w:val="0"/>
          <w:color w:val="000000"/>
          <w:kern w:val="0"/>
          <w:sz w:val="32"/>
          <w:szCs w:val="32"/>
          <w:highlight w:val="none"/>
        </w:rPr>
        <w:t>。</w:t>
      </w:r>
      <w:r>
        <w:rPr>
          <w:rFonts w:hint="eastAsia" w:ascii="仿宋_GB2312" w:hAnsi="仿宋_GB2312" w:eastAsia="仿宋_GB2312" w:cs="仿宋_GB2312"/>
          <w:b w:val="0"/>
          <w:bCs w:val="0"/>
          <w:snapToGrid w:val="0"/>
          <w:color w:val="000000"/>
          <w:kern w:val="0"/>
          <w:sz w:val="32"/>
          <w:szCs w:val="32"/>
          <w:highlight w:val="none"/>
          <w:lang w:eastAsia="zh-CN"/>
        </w:rPr>
        <w:t>按照重要电力用户等级应分别符合以下要求</w:t>
      </w:r>
      <w:r>
        <w:rPr>
          <w:rFonts w:hint="eastAsia" w:ascii="仿宋_GB2312" w:hAnsi="仿宋_GB2312" w:eastAsia="仿宋_GB2312" w:cs="仿宋_GB2312"/>
          <w:b w:val="0"/>
          <w:bCs w:val="0"/>
          <w:snapToGrid w:val="0"/>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（一）</w:t>
      </w:r>
      <w:r>
        <w:rPr>
          <w:rFonts w:hint="eastAsia" w:ascii="仿宋_GB2312" w:hAnsi="仿宋_GB2312" w:eastAsia="仿宋_GB2312" w:cs="仿宋_GB2312"/>
          <w:b w:val="0"/>
          <w:bCs w:val="0"/>
          <w:color w:val="000000"/>
          <w:sz w:val="32"/>
          <w:szCs w:val="32"/>
          <w:highlight w:val="none"/>
        </w:rPr>
        <w:t>一级重要电力用户</w:t>
      </w:r>
      <w:r>
        <w:rPr>
          <w:rFonts w:hint="eastAsia" w:ascii="方正仿宋_GBK" w:hAnsi="方正仿宋_GBK" w:eastAsia="方正仿宋_GBK"/>
          <w:color w:val="000000"/>
          <w:sz w:val="32"/>
          <w:highlight w:val="none"/>
          <w:lang w:val="en-US" w:eastAsia="zh-CN"/>
        </w:rPr>
        <w:t>至少应采用双电源供电</w:t>
      </w:r>
      <w:r>
        <w:rPr>
          <w:rFonts w:hint="eastAsia" w:ascii="仿宋_GB2312" w:hAnsi="仿宋_GB2312" w:eastAsia="仿宋_GB2312" w:cs="仿宋_GB2312"/>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val="en-US" w:eastAsia="zh-CN"/>
        </w:rPr>
        <w:t>（二）</w:t>
      </w:r>
      <w:r>
        <w:rPr>
          <w:rFonts w:hint="eastAsia" w:ascii="仿宋_GB2312" w:hAnsi="仿宋_GB2312" w:eastAsia="仿宋_GB2312" w:cs="仿宋_GB2312"/>
          <w:b w:val="0"/>
          <w:bCs w:val="0"/>
          <w:color w:val="000000"/>
          <w:sz w:val="32"/>
          <w:szCs w:val="32"/>
          <w:highlight w:val="none"/>
        </w:rPr>
        <w:t>二级重要电力用户</w:t>
      </w:r>
      <w:r>
        <w:rPr>
          <w:rFonts w:hint="eastAsia" w:ascii="方正仿宋_GBK" w:hAnsi="方正仿宋_GBK" w:eastAsia="方正仿宋_GBK"/>
          <w:color w:val="000000"/>
          <w:sz w:val="32"/>
          <w:highlight w:val="none"/>
          <w:lang w:val="en-US" w:eastAsia="zh-CN"/>
        </w:rPr>
        <w:t>至少应采用双回路供电</w:t>
      </w:r>
      <w:r>
        <w:rPr>
          <w:rFonts w:hint="eastAsia" w:ascii="仿宋_GB2312" w:hAnsi="仿宋_GB2312" w:eastAsia="仿宋_GB2312" w:cs="仿宋_GB2312"/>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snapToGrid w:val="0"/>
          <w:color w:val="000000"/>
          <w:kern w:val="0"/>
          <w:sz w:val="32"/>
          <w:szCs w:val="32"/>
          <w:highlight w:val="none"/>
          <w:lang w:val="en-US" w:eastAsia="zh-CN"/>
        </w:rPr>
        <w:t>（三）</w:t>
      </w:r>
      <w:r>
        <w:rPr>
          <w:rFonts w:hint="eastAsia" w:ascii="方正仿宋_GBK" w:hAnsi="方正仿宋_GBK" w:eastAsia="方正仿宋_GBK"/>
          <w:color w:val="000000"/>
          <w:sz w:val="32"/>
          <w:highlight w:val="none"/>
          <w:lang w:val="en-US" w:eastAsia="zh-CN"/>
        </w:rPr>
        <w:t>临时性重要电力用户按照用电负荷的重要性，在条件允许情况下，可以通过临时敷设线路或移动发电设备等方式满足双回路或两路以上电源供电条件。</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rPr>
        <w:t>重要电力用户供电电源的切换时间和切换方式</w:t>
      </w:r>
      <w:r>
        <w:rPr>
          <w:rFonts w:hint="eastAsia" w:ascii="仿宋_GB2312" w:hAnsi="仿宋_GB2312" w:eastAsia="仿宋_GB2312" w:cs="仿宋_GB2312"/>
          <w:b w:val="0"/>
          <w:bCs w:val="0"/>
          <w:color w:val="000000"/>
          <w:sz w:val="32"/>
          <w:szCs w:val="32"/>
          <w:highlight w:val="none"/>
          <w:lang w:eastAsia="zh-CN"/>
        </w:rPr>
        <w:t>应</w:t>
      </w:r>
      <w:r>
        <w:rPr>
          <w:rFonts w:hint="eastAsia" w:ascii="仿宋_GB2312" w:hAnsi="仿宋_GB2312" w:eastAsia="仿宋_GB2312" w:cs="仿宋_GB2312"/>
          <w:b w:val="0"/>
          <w:bCs w:val="0"/>
          <w:color w:val="000000"/>
          <w:sz w:val="32"/>
          <w:szCs w:val="32"/>
          <w:highlight w:val="none"/>
        </w:rPr>
        <w:t>满足重要电力用户保安负荷允许</w:t>
      </w:r>
      <w:r>
        <w:rPr>
          <w:rFonts w:hint="eastAsia" w:ascii="仿宋_GB2312" w:hAnsi="仿宋_GB2312" w:eastAsia="仿宋_GB2312" w:cs="仿宋_GB2312"/>
          <w:b w:val="0"/>
          <w:bCs w:val="0"/>
          <w:color w:val="000000"/>
          <w:sz w:val="32"/>
          <w:szCs w:val="32"/>
          <w:highlight w:val="none"/>
          <w:lang w:eastAsia="zh-CN"/>
        </w:rPr>
        <w:t>断电</w:t>
      </w:r>
      <w:r>
        <w:rPr>
          <w:rFonts w:hint="eastAsia" w:ascii="仿宋_GB2312" w:hAnsi="仿宋_GB2312" w:eastAsia="仿宋_GB2312" w:cs="仿宋_GB2312"/>
          <w:b w:val="0"/>
          <w:bCs w:val="0"/>
          <w:color w:val="000000"/>
          <w:sz w:val="32"/>
          <w:szCs w:val="32"/>
          <w:highlight w:val="none"/>
        </w:rPr>
        <w:t>时间的要求。</w:t>
      </w:r>
      <w:r>
        <w:rPr>
          <w:rFonts w:hint="eastAsia" w:ascii="仿宋_GB2312" w:hAnsi="仿宋_GB2312" w:eastAsia="仿宋_GB2312" w:cs="仿宋_GB2312"/>
          <w:b w:val="0"/>
          <w:bCs w:val="0"/>
          <w:color w:val="000000"/>
          <w:sz w:val="32"/>
          <w:szCs w:val="32"/>
          <w:highlight w:val="none"/>
          <w:lang w:eastAsia="zh-CN"/>
        </w:rPr>
        <w:t>切换时间不能满足保安负荷允许断电时间要求的，重要电力用户应自行采取技术措施解决。</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color w:val="000000"/>
          <w:sz w:val="32"/>
          <w:szCs w:val="32"/>
          <w:highlight w:val="none"/>
          <w:lang w:eastAsia="zh-CN"/>
        </w:rPr>
      </w:pPr>
      <w:r>
        <w:rPr>
          <w:rFonts w:hint="eastAsia" w:ascii="黑体" w:hAnsi="黑体" w:eastAsia="黑体" w:cs="黑体"/>
          <w:b w:val="0"/>
          <w:bCs w:val="0"/>
          <w:snapToGrid w:val="0"/>
          <w:color w:val="000000"/>
          <w:kern w:val="0"/>
          <w:sz w:val="32"/>
          <w:szCs w:val="32"/>
          <w:highlight w:val="none"/>
          <w:lang w:val="en-US" w:eastAsia="zh-CN" w:bidi="ar-SA"/>
        </w:rPr>
        <w:t>第十条</w:t>
      </w:r>
      <w:r>
        <w:rPr>
          <w:rFonts w:hint="eastAsia" w:ascii="仿宋_GB2312" w:hAnsi="仿宋_GB2312" w:eastAsia="仿宋_GB2312" w:cs="仿宋_GB2312"/>
          <w:b w:val="0"/>
          <w:bCs w:val="0"/>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rPr>
        <w:t>重要电力用户</w:t>
      </w:r>
      <w:r>
        <w:rPr>
          <w:rFonts w:hint="eastAsia" w:ascii="仿宋_GB2312" w:hAnsi="仿宋_GB2312" w:eastAsia="仿宋_GB2312" w:cs="仿宋_GB2312"/>
          <w:b w:val="0"/>
          <w:bCs w:val="0"/>
          <w:color w:val="000000"/>
          <w:sz w:val="32"/>
          <w:szCs w:val="32"/>
          <w:highlight w:val="none"/>
          <w:lang w:eastAsia="zh-CN"/>
        </w:rPr>
        <w:t>均</w:t>
      </w:r>
      <w:r>
        <w:rPr>
          <w:rFonts w:hint="eastAsia" w:ascii="仿宋_GB2312" w:hAnsi="仿宋_GB2312" w:eastAsia="仿宋_GB2312" w:cs="仿宋_GB2312"/>
          <w:b w:val="0"/>
          <w:bCs w:val="0"/>
          <w:color w:val="000000"/>
          <w:sz w:val="32"/>
          <w:szCs w:val="32"/>
          <w:highlight w:val="none"/>
        </w:rPr>
        <w:t>应配置自备应急电源，</w:t>
      </w:r>
      <w:r>
        <w:rPr>
          <w:rFonts w:hint="eastAsia" w:ascii="仿宋_GB2312" w:hAnsi="仿宋_GB2312" w:eastAsia="仿宋_GB2312" w:cs="仿宋_GB2312"/>
          <w:b w:val="0"/>
          <w:bCs w:val="0"/>
          <w:color w:val="000000"/>
          <w:sz w:val="32"/>
          <w:szCs w:val="32"/>
          <w:highlight w:val="none"/>
          <w:lang w:eastAsia="zh-CN"/>
        </w:rPr>
        <w:t>并加强安全使用管理</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eastAsia="zh-CN"/>
        </w:rPr>
        <w:t>重要电力用户的自备应急电源配置应符合以下要求：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（一）自备应急电源容量至少应满足全部保安负荷正常启动和带载运行的要求，自备应急电源以用户参照《重要电力用户供电电源及自备应急电源配置技术规范》与供电企业书面确认值为准。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（二）自备应急电源应与供电电源同步建设，同步投运，可设置专用应急母线，在供电企业认定前，必须具备投入使用条件。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三）自备应急电源的配置应依据保安负荷的允许断电时间、容量、停电影响等负荷特性，综合考虑各类应急电源在启动时间、切换方式、容量大小、持续供电时间、电能质量、节能环保、适用场所等方面的技术性能，合理选取自备应急电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（四）重要电力用户应具备外部应急电源接入条件，有特殊供电需求及临时重要电力用户，应配置外部应急电源接入装置。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（五）自备应急电源应符合国家有关安全、消防、节能、环保等相关技术标准的要求。</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（六）自备应急电源应配置闭锁装置，防止向电网反送电。</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eastAsia="zh-CN"/>
        </w:rPr>
      </w:pPr>
      <w:r>
        <w:rPr>
          <w:rFonts w:hint="eastAsia" w:ascii="黑体" w:hAnsi="黑体" w:eastAsia="黑体" w:cs="黑体"/>
          <w:b w:val="0"/>
          <w:bCs w:val="0"/>
          <w:snapToGrid w:val="0"/>
          <w:color w:val="000000"/>
          <w:kern w:val="0"/>
          <w:sz w:val="32"/>
          <w:szCs w:val="32"/>
          <w:highlight w:val="none"/>
          <w:lang w:val="en-US" w:eastAsia="zh-CN" w:bidi="ar-SA"/>
        </w:rPr>
        <w:t>第十一条</w:t>
      </w:r>
      <w:r>
        <w:rPr>
          <w:rFonts w:hint="eastAsia" w:ascii="方正仿宋_GBK" w:hAnsi="方正仿宋_GBK" w:eastAsia="方正仿宋_GBK"/>
          <w:color w:val="000000"/>
          <w:sz w:val="32"/>
          <w:highlight w:val="none"/>
          <w:lang w:val="en-US" w:eastAsia="zh-CN"/>
        </w:rPr>
        <w:t xml:space="preserve"> </w:t>
      </w:r>
      <w:r>
        <w:rPr>
          <w:rFonts w:hint="eastAsia" w:ascii="仿宋_GB2312" w:hAnsi="仿宋_GB2312" w:eastAsia="仿宋_GB2312" w:cs="仿宋_GB2312"/>
          <w:b w:val="0"/>
          <w:bCs w:val="0"/>
          <w:snapToGrid w:val="0"/>
          <w:color w:val="000000"/>
          <w:kern w:val="0"/>
          <w:sz w:val="32"/>
          <w:szCs w:val="32"/>
          <w:highlight w:val="none"/>
          <w:lang w:eastAsia="zh-CN"/>
        </w:rPr>
        <w:t>重要电力用户选用的自备应急电源类型有：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val="en-US" w:eastAsia="zh-CN"/>
        </w:rPr>
        <w:t>（一）</w:t>
      </w:r>
      <w:r>
        <w:rPr>
          <w:rFonts w:hint="eastAsia" w:ascii="仿宋_GB2312" w:hAnsi="仿宋_GB2312" w:eastAsia="仿宋_GB2312" w:cs="仿宋_GB2312"/>
          <w:b w:val="0"/>
          <w:bCs w:val="0"/>
          <w:color w:val="000000"/>
          <w:sz w:val="32"/>
          <w:szCs w:val="32"/>
          <w:highlight w:val="none"/>
          <w:lang w:eastAsia="zh-CN"/>
        </w:rPr>
        <w:t>自备电厂；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（二）</w:t>
      </w:r>
      <w:r>
        <w:rPr>
          <w:rFonts w:hint="eastAsia" w:ascii="仿宋_GB2312" w:hAnsi="仿宋_GB2312" w:eastAsia="仿宋_GB2312" w:cs="仿宋_GB2312"/>
          <w:b w:val="0"/>
          <w:bCs w:val="0"/>
          <w:color w:val="000000"/>
          <w:sz w:val="32"/>
          <w:szCs w:val="32"/>
          <w:highlight w:val="none"/>
          <w:lang w:eastAsia="zh-CN"/>
        </w:rPr>
        <w:t>发动机驱动发电机组，包括：</w:t>
      </w:r>
      <w:r>
        <w:rPr>
          <w:rFonts w:hint="eastAsia" w:ascii="仿宋_GB2312" w:hAnsi="仿宋_GB2312" w:eastAsia="仿宋_GB2312" w:cs="仿宋_GB2312"/>
          <w:b w:val="0"/>
          <w:bCs w:val="0"/>
          <w:color w:val="000000"/>
          <w:sz w:val="32"/>
          <w:szCs w:val="32"/>
          <w:highlight w:val="none"/>
          <w:lang w:val="en-US" w:eastAsia="zh-CN"/>
        </w:rPr>
        <w:t>柴油发动机发电机组、汽油发动机发电机组、燃气发动机发电机组；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（三）静态储能装置，包括：UPS、EPS、蓄电池、超级电容；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（四）动态储能装置（飞轮储能装置）；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（五）移动发电设备，包括：装有电源装置的专用车辆、小型移动式发电机；</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（六）其他新型电源装置。</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黑体" w:hAnsi="黑体" w:eastAsia="黑体" w:cs="黑体"/>
          <w:b w:val="0"/>
          <w:bCs w:val="0"/>
          <w:snapToGrid w:val="0"/>
          <w:color w:val="000000"/>
          <w:kern w:val="0"/>
          <w:sz w:val="32"/>
          <w:szCs w:val="32"/>
          <w:highlight w:val="none"/>
          <w:lang w:val="en-US" w:eastAsia="zh-CN" w:bidi="ar-SA"/>
        </w:rPr>
        <w:t>第十二条</w:t>
      </w:r>
      <w:r>
        <w:rPr>
          <w:rFonts w:hint="eastAsia" w:ascii="仿宋_GB2312" w:hAnsi="仿宋_GB2312" w:eastAsia="仿宋_GB2312" w:cs="仿宋_GB2312"/>
          <w:b w:val="0"/>
          <w:bCs w:val="0"/>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rPr>
        <w:t>重要电力用户的</w:t>
      </w:r>
      <w:r>
        <w:rPr>
          <w:rFonts w:hint="eastAsia" w:ascii="仿宋_GB2312" w:hAnsi="仿宋_GB2312" w:eastAsia="仿宋_GB2312" w:cs="仿宋_GB2312"/>
          <w:b w:val="0"/>
          <w:bCs w:val="0"/>
          <w:color w:val="000000"/>
          <w:sz w:val="32"/>
          <w:szCs w:val="32"/>
          <w:highlight w:val="none"/>
          <w:lang w:val="en-US" w:eastAsia="zh-CN"/>
        </w:rPr>
        <w:t>自备发电机组与供电企业签订并网调度协议后方可并入公网运行。签订并网调度协议的发电机组用户应严格执行电力调度计划和安全管理规定。</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黑体" w:hAnsi="黑体" w:eastAsia="黑体" w:cs="黑体"/>
          <w:b w:val="0"/>
          <w:bCs w:val="0"/>
          <w:snapToGrid w:val="0"/>
          <w:color w:val="000000"/>
          <w:kern w:val="0"/>
          <w:sz w:val="32"/>
          <w:szCs w:val="32"/>
          <w:highlight w:val="none"/>
          <w:lang w:val="en-US" w:eastAsia="zh-CN" w:bidi="ar-SA"/>
        </w:rPr>
        <w:t>第十三条</w:t>
      </w:r>
      <w:r>
        <w:rPr>
          <w:rFonts w:hint="eastAsia" w:ascii="仿宋_GB2312" w:hAnsi="仿宋_GB2312" w:eastAsia="仿宋_GB2312" w:cs="仿宋_GB2312"/>
          <w:b w:val="0"/>
          <w:bCs w:val="0"/>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rPr>
        <w:t>重要电力用户的自备应急电源</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在使用过程中应杜绝和防止以下情况发生：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（一）</w:t>
      </w:r>
      <w:r>
        <w:rPr>
          <w:rFonts w:hint="eastAsia" w:ascii="仿宋_GB2312" w:hAnsi="仿宋_GB2312" w:eastAsia="仿宋_GB2312" w:cs="仿宋_GB2312"/>
          <w:b w:val="0"/>
          <w:bCs w:val="0"/>
          <w:color w:val="000000"/>
          <w:sz w:val="32"/>
          <w:szCs w:val="32"/>
          <w:highlight w:val="none"/>
        </w:rPr>
        <w:t>自行变更自备应急电源接线方式；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（二）</w:t>
      </w:r>
      <w:r>
        <w:rPr>
          <w:rFonts w:hint="eastAsia" w:ascii="仿宋_GB2312" w:hAnsi="仿宋_GB2312" w:eastAsia="仿宋_GB2312" w:cs="仿宋_GB2312"/>
          <w:b w:val="0"/>
          <w:bCs w:val="0"/>
          <w:color w:val="000000"/>
          <w:sz w:val="32"/>
          <w:szCs w:val="32"/>
          <w:highlight w:val="none"/>
        </w:rPr>
        <w:t>自行拆除自备应急电源的闭锁装置或者使其失效；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（三</w:t>
      </w:r>
      <w:r>
        <w:rPr>
          <w:rFonts w:hint="default"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自备应急电源发生故障后长期不能修复并影响正常运行；</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baseline"/>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（四）</w:t>
      </w:r>
      <w:r>
        <w:rPr>
          <w:rFonts w:hint="eastAsia" w:ascii="仿宋_GB2312" w:hAnsi="仿宋_GB2312" w:eastAsia="仿宋_GB2312" w:cs="仿宋_GB2312"/>
          <w:b w:val="0"/>
          <w:bCs w:val="0"/>
          <w:color w:val="000000"/>
          <w:sz w:val="32"/>
          <w:szCs w:val="32"/>
          <w:highlight w:val="none"/>
        </w:rPr>
        <w:t>擅自将自备应急电源引入，转供其他用户；</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（五）</w:t>
      </w:r>
      <w:r>
        <w:rPr>
          <w:rFonts w:hint="eastAsia" w:ascii="仿宋_GB2312" w:hAnsi="仿宋_GB2312" w:eastAsia="仿宋_GB2312" w:cs="仿宋_GB2312"/>
          <w:b w:val="0"/>
          <w:bCs w:val="0"/>
          <w:color w:val="000000"/>
          <w:sz w:val="32"/>
          <w:szCs w:val="32"/>
          <w:highlight w:val="none"/>
        </w:rPr>
        <w:t>其他可能发生自备应急电源向</w:t>
      </w:r>
      <w:r>
        <w:rPr>
          <w:rFonts w:hint="eastAsia" w:ascii="仿宋_GB2312" w:hAnsi="仿宋_GB2312" w:eastAsia="仿宋_GB2312" w:cs="仿宋_GB2312"/>
          <w:b w:val="0"/>
          <w:bCs w:val="0"/>
          <w:color w:val="000000"/>
          <w:sz w:val="32"/>
          <w:szCs w:val="32"/>
          <w:highlight w:val="none"/>
          <w:lang w:eastAsia="zh-CN"/>
        </w:rPr>
        <w:t>公共</w:t>
      </w:r>
      <w:r>
        <w:rPr>
          <w:rFonts w:hint="eastAsia" w:ascii="仿宋_GB2312" w:hAnsi="仿宋_GB2312" w:eastAsia="仿宋_GB2312" w:cs="仿宋_GB2312"/>
          <w:b w:val="0"/>
          <w:bCs w:val="0"/>
          <w:color w:val="000000"/>
          <w:sz w:val="32"/>
          <w:szCs w:val="32"/>
          <w:highlight w:val="none"/>
        </w:rPr>
        <w:t>电网送电的</w:t>
      </w:r>
      <w:r>
        <w:rPr>
          <w:rFonts w:hint="eastAsia" w:ascii="仿宋_GB2312" w:hAnsi="仿宋_GB2312" w:eastAsia="仿宋_GB2312" w:cs="仿宋_GB2312"/>
          <w:b w:val="0"/>
          <w:bCs w:val="0"/>
          <w:color w:val="000000"/>
          <w:sz w:val="32"/>
          <w:szCs w:val="32"/>
          <w:highlight w:val="none"/>
          <w:lang w:eastAsia="zh-CN"/>
        </w:rPr>
        <w:t>情况</w:t>
      </w:r>
      <w:r>
        <w:rPr>
          <w:rFonts w:hint="eastAsia" w:ascii="仿宋_GB2312" w:hAnsi="仿宋_GB2312" w:eastAsia="仿宋_GB2312" w:cs="仿宋_GB2312"/>
          <w:b w:val="0"/>
          <w:bCs w:val="0"/>
          <w:color w:val="000000"/>
          <w:sz w:val="32"/>
          <w:szCs w:val="32"/>
          <w:highlight w:val="none"/>
        </w:rPr>
        <w:t>。</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eastAsia="zh-CN"/>
        </w:rPr>
      </w:pPr>
      <w:r>
        <w:rPr>
          <w:rFonts w:hint="eastAsia" w:ascii="黑体" w:hAnsi="黑体" w:eastAsia="黑体" w:cs="黑体"/>
          <w:b w:val="0"/>
          <w:bCs w:val="0"/>
          <w:snapToGrid w:val="0"/>
          <w:color w:val="000000"/>
          <w:kern w:val="0"/>
          <w:sz w:val="32"/>
          <w:szCs w:val="32"/>
          <w:highlight w:val="none"/>
          <w:lang w:val="en-US" w:eastAsia="zh-CN" w:bidi="ar-SA"/>
        </w:rPr>
        <w:t>第十四条</w:t>
      </w:r>
      <w:r>
        <w:rPr>
          <w:rFonts w:hint="eastAsia" w:ascii="仿宋_GB2312" w:hAnsi="仿宋_GB2312" w:eastAsia="仿宋_GB2312" w:cs="仿宋_GB2312"/>
          <w:b w:val="0"/>
          <w:bCs w:val="0"/>
          <w:color w:val="000000"/>
          <w:sz w:val="32"/>
          <w:szCs w:val="32"/>
          <w:highlight w:val="none"/>
          <w:lang w:val="en-US" w:eastAsia="zh-CN"/>
        </w:rPr>
        <w:t xml:space="preserve"> </w:t>
      </w:r>
      <w:r>
        <w:rPr>
          <w:rFonts w:hint="eastAsia" w:ascii="仿宋_GB2312" w:hAnsi="仿宋_GB2312" w:eastAsia="仿宋_GB2312" w:cs="仿宋_GB2312"/>
          <w:b w:val="0"/>
          <w:bCs w:val="0"/>
          <w:snapToGrid w:val="0"/>
          <w:color w:val="000000"/>
          <w:kern w:val="0"/>
          <w:sz w:val="32"/>
          <w:szCs w:val="32"/>
          <w:highlight w:val="none"/>
          <w:lang w:eastAsia="zh-CN"/>
        </w:rPr>
        <w:t>重要电力用户新装（变更）自备应急电源、更换接线方式、拆除或者移动闭锁装置，要向供电企业办理报备手续，并修订供用电合同。自备应急电源的建设、运行、维护和内部管理由重要电力用户自行负责。</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黑体" w:hAnsi="黑体" w:eastAsia="黑体" w:cs="黑体"/>
          <w:b w:val="0"/>
          <w:bCs w:val="0"/>
          <w:snapToGrid w:val="0"/>
          <w:color w:val="000000"/>
          <w:kern w:val="0"/>
          <w:sz w:val="32"/>
          <w:szCs w:val="32"/>
          <w:highlight w:val="none"/>
          <w:lang w:val="en-US" w:eastAsia="zh-CN" w:bidi="ar-SA"/>
        </w:rPr>
        <w:t>第十五条</w:t>
      </w:r>
      <w:r>
        <w:rPr>
          <w:rFonts w:hint="eastAsia" w:ascii="仿宋_GB2312" w:hAnsi="仿宋_GB2312" w:eastAsia="仿宋_GB2312" w:cs="仿宋_GB2312"/>
          <w:b w:val="0"/>
          <w:bCs w:val="0"/>
          <w:snapToGrid w:val="0"/>
          <w:color w:val="000000"/>
          <w:kern w:val="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rPr>
        <w:t>重要电力用户</w:t>
      </w:r>
      <w:r>
        <w:rPr>
          <w:rFonts w:hint="eastAsia" w:ascii="仿宋_GB2312" w:hAnsi="仿宋_GB2312" w:eastAsia="仿宋_GB2312" w:cs="仿宋_GB2312"/>
          <w:b w:val="0"/>
          <w:bCs w:val="0"/>
          <w:color w:val="000000"/>
          <w:sz w:val="32"/>
          <w:szCs w:val="32"/>
          <w:highlight w:val="none"/>
          <w:lang w:eastAsia="zh-CN"/>
        </w:rPr>
        <w:t>应当</w:t>
      </w:r>
      <w:r>
        <w:rPr>
          <w:rFonts w:hint="eastAsia" w:ascii="仿宋_GB2312" w:hAnsi="仿宋_GB2312" w:eastAsia="仿宋_GB2312" w:cs="仿宋_GB2312"/>
          <w:b w:val="0"/>
          <w:bCs w:val="0"/>
          <w:color w:val="000000"/>
          <w:sz w:val="32"/>
          <w:szCs w:val="32"/>
          <w:highlight w:val="none"/>
        </w:rPr>
        <w:t>按照国家和电力行业有关规程、规范</w:t>
      </w:r>
      <w:r>
        <w:rPr>
          <w:rFonts w:hint="eastAsia" w:ascii="仿宋_GB2312" w:hAnsi="仿宋_GB2312" w:eastAsia="仿宋_GB2312" w:cs="仿宋_GB2312"/>
          <w:b w:val="0"/>
          <w:bCs w:val="0"/>
          <w:color w:val="000000"/>
          <w:sz w:val="32"/>
          <w:szCs w:val="32"/>
          <w:highlight w:val="none"/>
          <w:lang w:eastAsia="zh-CN"/>
        </w:rPr>
        <w:t>和标准的</w:t>
      </w:r>
      <w:r>
        <w:rPr>
          <w:rFonts w:hint="eastAsia" w:ascii="仿宋_GB2312" w:hAnsi="仿宋_GB2312" w:eastAsia="仿宋_GB2312" w:cs="仿宋_GB2312"/>
          <w:b w:val="0"/>
          <w:bCs w:val="0"/>
          <w:color w:val="000000"/>
          <w:sz w:val="32"/>
          <w:szCs w:val="32"/>
          <w:highlight w:val="none"/>
        </w:rPr>
        <w:t>要求，对自备应急电源定期进行安全检查、预防性试验、启机试验和切换装置的切换试验</w:t>
      </w:r>
      <w:r>
        <w:rPr>
          <w:rFonts w:hint="eastAsia" w:ascii="仿宋_GB2312" w:hAnsi="仿宋_GB2312" w:eastAsia="仿宋_GB2312" w:cs="仿宋_GB2312"/>
          <w:b w:val="0"/>
          <w:bCs w:val="0"/>
          <w:color w:val="000000"/>
          <w:sz w:val="32"/>
          <w:szCs w:val="32"/>
          <w:highlight w:val="none"/>
          <w:lang w:eastAsia="zh-CN"/>
        </w:rPr>
        <w:t>，原则上每年不少于一次</w:t>
      </w:r>
      <w:r>
        <w:rPr>
          <w:rFonts w:hint="eastAsia" w:ascii="仿宋_GB2312" w:hAnsi="仿宋_GB2312" w:eastAsia="仿宋_GB2312" w:cs="仿宋_GB2312"/>
          <w:b w:val="0"/>
          <w:bCs w:val="0"/>
          <w:color w:val="000000"/>
          <w:sz w:val="32"/>
          <w:szCs w:val="32"/>
          <w:highlight w:val="none"/>
        </w:rPr>
        <w:t>。</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color w:val="000000"/>
          <w:sz w:val="32"/>
          <w:szCs w:val="32"/>
          <w:highlight w:val="none"/>
        </w:rPr>
      </w:pPr>
      <w:r>
        <w:rPr>
          <w:rFonts w:hint="eastAsia" w:ascii="黑体" w:hAnsi="黑体" w:eastAsia="黑体" w:cs="黑体"/>
          <w:b w:val="0"/>
          <w:bCs w:val="0"/>
          <w:snapToGrid w:val="0"/>
          <w:color w:val="000000"/>
          <w:kern w:val="0"/>
          <w:sz w:val="32"/>
          <w:szCs w:val="32"/>
          <w:highlight w:val="none"/>
          <w:lang w:val="en-US" w:eastAsia="zh-CN" w:bidi="ar-SA"/>
        </w:rPr>
        <w:t>第十六条</w:t>
      </w:r>
      <w:r>
        <w:rPr>
          <w:rFonts w:hint="eastAsia" w:ascii="仿宋_GB2312" w:hAnsi="仿宋_GB2312" w:eastAsia="仿宋_GB2312" w:cs="仿宋_GB2312"/>
          <w:b w:val="0"/>
          <w:bCs w:val="0"/>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rPr>
        <w:t>重要电力用户</w:t>
      </w:r>
      <w:r>
        <w:rPr>
          <w:rFonts w:hint="eastAsia" w:ascii="仿宋_GB2312" w:hAnsi="仿宋_GB2312" w:eastAsia="仿宋_GB2312" w:cs="仿宋_GB2312"/>
          <w:b w:val="0"/>
          <w:bCs w:val="0"/>
          <w:color w:val="000000"/>
          <w:sz w:val="32"/>
          <w:szCs w:val="32"/>
          <w:highlight w:val="none"/>
          <w:lang w:eastAsia="zh-CN"/>
        </w:rPr>
        <w:t>应当</w:t>
      </w:r>
      <w:r>
        <w:rPr>
          <w:rFonts w:hint="eastAsia" w:ascii="仿宋_GB2312" w:hAnsi="仿宋_GB2312" w:eastAsia="仿宋_GB2312" w:cs="仿宋_GB2312"/>
          <w:b w:val="0"/>
          <w:bCs w:val="0"/>
          <w:color w:val="000000"/>
          <w:sz w:val="32"/>
          <w:szCs w:val="32"/>
          <w:highlight w:val="none"/>
        </w:rPr>
        <w:t>制订自备应急电源运行操作、维护管理的规程制度和应急处置预案，并定期（每年至少一次）进行应急演练。</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黑体" w:hAnsi="黑体" w:eastAsia="黑体" w:cs="黑体"/>
          <w:b w:val="0"/>
          <w:bCs w:val="0"/>
          <w:snapToGrid w:val="0"/>
          <w:color w:val="000000"/>
          <w:kern w:val="0"/>
          <w:sz w:val="32"/>
          <w:szCs w:val="32"/>
          <w:highlight w:val="none"/>
          <w:lang w:val="en-US" w:eastAsia="zh-CN" w:bidi="ar-SA"/>
        </w:rPr>
        <w:t>第十七条</w:t>
      </w:r>
      <w:r>
        <w:rPr>
          <w:rFonts w:hint="eastAsia" w:ascii="仿宋_GB2312" w:hAnsi="仿宋_GB2312" w:eastAsia="仿宋_GB2312" w:cs="仿宋_GB2312"/>
          <w:b w:val="0"/>
          <w:bCs w:val="0"/>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lang w:eastAsia="zh-CN"/>
        </w:rPr>
        <w:t>供电企业应按照本办法第十条</w:t>
      </w:r>
      <w:r>
        <w:rPr>
          <w:rFonts w:hint="eastAsia" w:ascii="仿宋_GB2312" w:hAnsi="仿宋_GB2312" w:eastAsia="仿宋_GB2312" w:cs="仿宋_GB2312"/>
          <w:b w:val="0"/>
          <w:bCs w:val="0"/>
          <w:color w:val="000000"/>
          <w:sz w:val="32"/>
          <w:szCs w:val="32"/>
          <w:highlight w:val="none"/>
        </w:rPr>
        <w:t>掌握重要电力用户自备应急电源的配置和使用情况</w:t>
      </w:r>
      <w:r>
        <w:rPr>
          <w:rFonts w:hint="eastAsia" w:ascii="仿宋_GB2312" w:hAnsi="仿宋_GB2312" w:eastAsia="仿宋_GB2312" w:cs="仿宋_GB2312"/>
          <w:b w:val="0"/>
          <w:bCs w:val="0"/>
          <w:color w:val="000000"/>
          <w:sz w:val="32"/>
          <w:szCs w:val="32"/>
          <w:highlight w:val="none"/>
          <w:lang w:eastAsia="zh-CN"/>
        </w:rPr>
        <w:t>。按照国家和我省相关规定、标准，定期对重要电力用户供用电情况进行安全隐患排查。原则上一级重要电力用户每季度至少排查一次，二级重要电力用户每半年至少排查一次，临时性重要电力用户根据现场实际用电需要开展用电检查工作。供电企业协助</w:t>
      </w:r>
      <w:r>
        <w:rPr>
          <w:rFonts w:hint="eastAsia" w:ascii="仿宋_GB2312" w:hAnsi="仿宋_GB2312" w:eastAsia="仿宋_GB2312" w:cs="仿宋_GB2312"/>
          <w:b w:val="0"/>
          <w:bCs w:val="0"/>
          <w:color w:val="000000"/>
          <w:sz w:val="32"/>
          <w:szCs w:val="32"/>
          <w:highlight w:val="none"/>
        </w:rPr>
        <w:t>指导重要电力用户排查治理用电安全隐患，安全使用自备应急电源。</w:t>
      </w:r>
      <w:r>
        <w:rPr>
          <w:rFonts w:hint="eastAsia" w:ascii="仿宋_GB2312" w:hAnsi="仿宋_GB2312" w:eastAsia="仿宋_GB2312" w:cs="仿宋_GB2312"/>
          <w:b w:val="0"/>
          <w:bCs w:val="0"/>
          <w:snapToGrid w:val="0"/>
          <w:color w:val="000000"/>
          <w:sz w:val="32"/>
          <w:szCs w:val="32"/>
          <w:highlight w:val="none"/>
          <w:lang w:eastAsia="zh-CN"/>
        </w:rPr>
        <w:t>督促完善供电电源、自备应急电源配置及运行管理要求。</w:t>
      </w:r>
      <w:r>
        <w:rPr>
          <w:rFonts w:hint="eastAsia" w:ascii="仿宋_GB2312" w:hAnsi="仿宋_GB2312" w:eastAsia="仿宋_GB2312" w:cs="仿宋_GB2312"/>
          <w:b w:val="0"/>
          <w:bCs w:val="0"/>
          <w:color w:val="000000"/>
          <w:sz w:val="32"/>
          <w:szCs w:val="32"/>
          <w:highlight w:val="none"/>
          <w:lang w:eastAsia="zh-CN"/>
        </w:rPr>
        <w:t>重要电力用户应积极配合检查。</w:t>
      </w:r>
      <w:r>
        <w:rPr>
          <w:rFonts w:hint="eastAsia" w:ascii="仿宋_GB2312" w:hAnsi="仿宋_GB2312" w:eastAsia="仿宋_GB2312" w:cs="仿宋_GB2312"/>
          <w:b w:val="0"/>
          <w:bCs w:val="0"/>
          <w:snapToGrid w:val="0"/>
          <w:color w:val="000000"/>
          <w:sz w:val="32"/>
          <w:szCs w:val="32"/>
          <w:highlight w:val="none"/>
          <w:lang w:eastAsia="zh-CN"/>
        </w:rPr>
        <w:t>重要电力用户供电电源和自备应急电源配置不满足要求或者存在较大安全隐患的，供电企业应向属地</w:t>
      </w:r>
      <w:r>
        <w:rPr>
          <w:rFonts w:hint="eastAsia" w:ascii="仿宋_GB2312" w:hAnsi="仿宋_GB2312" w:eastAsia="仿宋_GB2312" w:cs="仿宋_GB2312"/>
          <w:b w:val="0"/>
          <w:bCs w:val="0"/>
          <w:snapToGrid w:val="0"/>
          <w:color w:val="000000"/>
          <w:sz w:val="32"/>
          <w:szCs w:val="32"/>
          <w:highlight w:val="none"/>
          <w:lang w:val="en-US" w:eastAsia="zh-CN"/>
        </w:rPr>
        <w:t>电力管理部门</w:t>
      </w:r>
      <w:r>
        <w:rPr>
          <w:rFonts w:hint="eastAsia" w:ascii="仿宋_GB2312" w:hAnsi="仿宋_GB2312" w:eastAsia="仿宋_GB2312" w:cs="仿宋_GB2312"/>
          <w:b w:val="0"/>
          <w:bCs w:val="0"/>
          <w:snapToGrid w:val="0"/>
          <w:color w:val="000000"/>
          <w:sz w:val="32"/>
          <w:szCs w:val="32"/>
          <w:highlight w:val="none"/>
          <w:lang w:eastAsia="zh-CN"/>
        </w:rPr>
        <w:t>、行业</w:t>
      </w:r>
      <w:r>
        <w:rPr>
          <w:rFonts w:hint="eastAsia" w:ascii="仿宋_GB2312" w:hAnsi="仿宋_GB2312" w:eastAsia="仿宋_GB2312" w:cs="仿宋_GB2312"/>
          <w:b w:val="0"/>
          <w:bCs w:val="0"/>
          <w:snapToGrid w:val="0"/>
          <w:color w:val="000000"/>
          <w:kern w:val="0"/>
          <w:sz w:val="32"/>
          <w:szCs w:val="32"/>
          <w:highlight w:val="none"/>
          <w:lang w:val="en-US" w:eastAsia="zh-CN"/>
        </w:rPr>
        <w:t>安全生产</w:t>
      </w:r>
      <w:r>
        <w:rPr>
          <w:rFonts w:hint="eastAsia" w:ascii="仿宋_GB2312" w:hAnsi="仿宋_GB2312" w:eastAsia="仿宋_GB2312" w:cs="仿宋_GB2312"/>
          <w:b w:val="0"/>
          <w:bCs w:val="0"/>
          <w:snapToGrid w:val="0"/>
          <w:color w:val="000000"/>
          <w:sz w:val="32"/>
          <w:szCs w:val="32"/>
          <w:highlight w:val="none"/>
          <w:lang w:eastAsia="zh-CN"/>
        </w:rPr>
        <w:t>管理部门报告，由相关部门进行依法督办整改。</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sz w:val="32"/>
          <w:szCs w:val="32"/>
          <w:highlight w:val="none"/>
          <w:lang w:eastAsia="zh-CN"/>
        </w:rPr>
      </w:pPr>
      <w:r>
        <w:rPr>
          <w:rFonts w:hint="eastAsia" w:ascii="黑体" w:hAnsi="黑体" w:eastAsia="黑体" w:cs="黑体"/>
          <w:b w:val="0"/>
          <w:bCs w:val="0"/>
          <w:snapToGrid w:val="0"/>
          <w:color w:val="000000"/>
          <w:kern w:val="0"/>
          <w:sz w:val="32"/>
          <w:szCs w:val="32"/>
          <w:highlight w:val="none"/>
          <w:lang w:val="en-US" w:eastAsia="zh-CN" w:bidi="ar-SA"/>
        </w:rPr>
        <w:t>第十八条</w:t>
      </w:r>
      <w:r>
        <w:rPr>
          <w:rFonts w:hint="eastAsia" w:ascii="仿宋_GB2312" w:hAnsi="仿宋_GB2312" w:eastAsia="仿宋_GB2312" w:cs="仿宋_GB2312"/>
          <w:b w:val="0"/>
          <w:bCs w:val="0"/>
          <w:color w:val="000000"/>
          <w:sz w:val="32"/>
          <w:szCs w:val="32"/>
          <w:highlight w:val="none"/>
          <w:lang w:val="en-US" w:eastAsia="zh-CN"/>
        </w:rPr>
        <w:t xml:space="preserve"> </w:t>
      </w:r>
      <w:r>
        <w:rPr>
          <w:rFonts w:hint="eastAsia" w:ascii="仿宋_GB2312" w:hAnsi="仿宋_GB2312" w:eastAsia="仿宋_GB2312" w:cs="仿宋_GB2312"/>
          <w:b w:val="0"/>
          <w:bCs w:val="0"/>
          <w:snapToGrid w:val="0"/>
          <w:color w:val="000000"/>
          <w:sz w:val="32"/>
          <w:szCs w:val="32"/>
          <w:highlight w:val="none"/>
        </w:rPr>
        <w:t>重要电力用户应根据生产运行特点和电力负荷特性，合理制定非电性质的</w:t>
      </w:r>
      <w:r>
        <w:rPr>
          <w:rFonts w:hint="eastAsia" w:ascii="仿宋_GB2312" w:hAnsi="仿宋_GB2312" w:eastAsia="仿宋_GB2312" w:cs="仿宋_GB2312"/>
          <w:b w:val="0"/>
          <w:bCs w:val="0"/>
          <w:snapToGrid w:val="0"/>
          <w:color w:val="000000"/>
          <w:sz w:val="32"/>
          <w:szCs w:val="32"/>
          <w:highlight w:val="none"/>
          <w:lang w:eastAsia="zh-CN"/>
        </w:rPr>
        <w:t>应急手段和方法</w:t>
      </w:r>
      <w:r>
        <w:rPr>
          <w:rFonts w:hint="eastAsia" w:ascii="仿宋_GB2312" w:hAnsi="仿宋_GB2312" w:eastAsia="仿宋_GB2312" w:cs="仿宋_GB2312"/>
          <w:b w:val="0"/>
          <w:bCs w:val="0"/>
          <w:snapToGrid w:val="0"/>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000000"/>
          <w:sz w:val="32"/>
          <w:highlight w:val="none"/>
          <w:lang w:eastAsia="zh-CN"/>
        </w:rPr>
      </w:pPr>
      <w:r>
        <w:rPr>
          <w:rFonts w:hint="eastAsia" w:ascii="黑体" w:hAnsi="黑体" w:eastAsia="黑体" w:cs="黑体"/>
          <w:b w:val="0"/>
          <w:bCs w:val="0"/>
          <w:snapToGrid w:val="0"/>
          <w:color w:val="000000"/>
          <w:kern w:val="0"/>
          <w:sz w:val="32"/>
          <w:szCs w:val="32"/>
          <w:highlight w:val="none"/>
          <w:lang w:val="en-US" w:eastAsia="zh-CN" w:bidi="ar-SA"/>
        </w:rPr>
        <w:t>第十九条</w:t>
      </w:r>
      <w:r>
        <w:rPr>
          <w:rFonts w:hint="eastAsia" w:ascii="仿宋_GB2312" w:hAnsi="仿宋_GB2312" w:eastAsia="仿宋_GB2312" w:cs="仿宋_GB2312"/>
          <w:b w:val="0"/>
          <w:bCs w:val="0"/>
          <w:snapToGrid w:val="0"/>
          <w:color w:val="000000"/>
          <w:sz w:val="32"/>
          <w:szCs w:val="32"/>
          <w:highlight w:val="none"/>
          <w:lang w:val="en-US" w:eastAsia="zh-CN"/>
        </w:rPr>
        <w:t xml:space="preserve"> </w:t>
      </w:r>
      <w:r>
        <w:rPr>
          <w:rFonts w:hint="eastAsia" w:ascii="仿宋_GB2312" w:hAnsi="仿宋_GB2312" w:eastAsia="仿宋_GB2312" w:cs="仿宋_GB2312"/>
          <w:color w:val="000000"/>
          <w:sz w:val="32"/>
          <w:highlight w:val="none"/>
          <w:lang w:eastAsia="zh-CN"/>
        </w:rPr>
        <w:t>重要电力用户的认定按电力安全事故应急处置和调查处理条例要求，由市级政府电力管理部门组织供电企业和用户统一开展，每年审核拟新增或变更的重要电力用户。</w:t>
      </w:r>
      <w:r>
        <w:rPr>
          <w:rFonts w:hint="eastAsia" w:ascii="仿宋_GB2312" w:hAnsi="仿宋_GB2312" w:eastAsia="仿宋_GB2312" w:cs="仿宋_GB2312"/>
          <w:color w:val="000000"/>
          <w:sz w:val="32"/>
          <w:highlight w:val="none"/>
        </w:rPr>
        <w:t>重要</w:t>
      </w:r>
      <w:r>
        <w:rPr>
          <w:rFonts w:hint="eastAsia" w:ascii="仿宋_GB2312" w:hAnsi="仿宋_GB2312" w:eastAsia="仿宋_GB2312" w:cs="仿宋_GB2312"/>
          <w:color w:val="000000"/>
          <w:sz w:val="32"/>
          <w:highlight w:val="none"/>
          <w:lang w:eastAsia="zh-CN"/>
        </w:rPr>
        <w:t>电力用</w:t>
      </w:r>
      <w:r>
        <w:rPr>
          <w:rFonts w:hint="eastAsia" w:ascii="仿宋_GB2312" w:hAnsi="仿宋_GB2312" w:eastAsia="仿宋_GB2312" w:cs="仿宋_GB2312"/>
          <w:color w:val="000000"/>
          <w:sz w:val="32"/>
          <w:highlight w:val="none"/>
        </w:rPr>
        <w:t>户名单实行“双认定、一核准”，即重要</w:t>
      </w:r>
      <w:r>
        <w:rPr>
          <w:rFonts w:hint="eastAsia" w:ascii="仿宋_GB2312" w:hAnsi="仿宋_GB2312" w:eastAsia="仿宋_GB2312" w:cs="仿宋_GB2312"/>
          <w:color w:val="000000"/>
          <w:sz w:val="32"/>
          <w:highlight w:val="none"/>
          <w:lang w:eastAsia="zh-CN"/>
        </w:rPr>
        <w:t>电力用户</w:t>
      </w:r>
      <w:r>
        <w:rPr>
          <w:rFonts w:hint="eastAsia" w:ascii="仿宋_GB2312" w:hAnsi="仿宋_GB2312" w:eastAsia="仿宋_GB2312" w:cs="仿宋_GB2312"/>
          <w:color w:val="000000"/>
          <w:sz w:val="32"/>
          <w:highlight w:val="none"/>
        </w:rPr>
        <w:t>应根据其重要负荷特性首先进行自我认定，供电企业依据有关国家标准进行再次认定，</w:t>
      </w:r>
      <w:r>
        <w:rPr>
          <w:rFonts w:hint="eastAsia" w:ascii="仿宋_GB2312" w:hAnsi="仿宋_GB2312" w:eastAsia="仿宋_GB2312" w:cs="仿宋_GB2312"/>
          <w:color w:val="000000"/>
          <w:sz w:val="32"/>
          <w:highlight w:val="none"/>
          <w:lang w:eastAsia="zh-CN"/>
        </w:rPr>
        <w:t>由供电企业汇总报市级政府电力管理部门核准公布</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可采取的方式如下：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仿宋_GB2312" w:hAnsi="仿宋_GB2312" w:eastAsia="仿宋_GB2312" w:cs="仿宋_GB2312"/>
          <w:b w:val="0"/>
          <w:bCs w:val="0"/>
          <w:snapToGrid w:val="0"/>
          <w:color w:val="auto"/>
          <w:kern w:val="0"/>
          <w:sz w:val="32"/>
          <w:szCs w:val="32"/>
          <w:highlight w:val="none"/>
          <w:lang w:val="en-US" w:eastAsia="zh-CN" w:bidi="ar"/>
        </w:rPr>
      </w:pPr>
      <w:r>
        <w:rPr>
          <w:rFonts w:hint="eastAsia" w:ascii="仿宋_GB2312" w:hAnsi="仿宋_GB2312" w:eastAsia="仿宋_GB2312" w:cs="仿宋_GB2312"/>
          <w:b w:val="0"/>
          <w:bCs w:val="0"/>
          <w:snapToGrid w:val="0"/>
          <w:color w:val="000000"/>
          <w:sz w:val="32"/>
          <w:szCs w:val="32"/>
          <w:highlight w:val="none"/>
          <w:lang w:val="en-US" w:eastAsia="zh-CN"/>
        </w:rPr>
        <w:t>（一）</w:t>
      </w:r>
      <w:r>
        <w:rPr>
          <w:rFonts w:hint="eastAsia" w:ascii="仿宋_GB2312" w:hAnsi="仿宋_GB2312" w:eastAsia="仿宋_GB2312" w:cs="仿宋_GB2312"/>
          <w:b w:val="0"/>
          <w:bCs w:val="0"/>
          <w:snapToGrid w:val="0"/>
          <w:color w:val="auto"/>
          <w:kern w:val="0"/>
          <w:sz w:val="32"/>
          <w:szCs w:val="32"/>
          <w:highlight w:val="none"/>
          <w:lang w:val="en-US" w:eastAsia="zh-CN" w:bidi="ar"/>
        </w:rPr>
        <w:t>电力用户根据自身用电性质向供电企业申报，并确保相关材料内容完整、真实有效。</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sz w:val="32"/>
          <w:szCs w:val="32"/>
          <w:highlight w:val="none"/>
          <w:lang w:val="en-US" w:eastAsia="zh-CN"/>
        </w:rPr>
      </w:pPr>
      <w:r>
        <w:rPr>
          <w:rFonts w:hint="eastAsia" w:ascii="仿宋_GB2312" w:hAnsi="仿宋_GB2312" w:eastAsia="仿宋_GB2312" w:cs="仿宋_GB2312"/>
          <w:b w:val="0"/>
          <w:bCs w:val="0"/>
          <w:snapToGrid w:val="0"/>
          <w:color w:val="auto"/>
          <w:kern w:val="0"/>
          <w:sz w:val="32"/>
          <w:szCs w:val="32"/>
          <w:highlight w:val="none"/>
          <w:lang w:val="en-US" w:eastAsia="zh-CN" w:bidi="ar"/>
        </w:rPr>
        <w:t>1.属于重要电力用户范围中工业类的电力用户和未列入重要电力用户范围的电力用户申报重要电力用户的，应当一并提供电力用户建设项目的</w:t>
      </w:r>
      <w:r>
        <w:rPr>
          <w:rFonts w:hint="eastAsia" w:ascii="仿宋_GB2312" w:hAnsi="仿宋_GB2312" w:eastAsia="仿宋_GB2312" w:cs="仿宋_GB2312"/>
          <w:b w:val="0"/>
          <w:bCs w:val="0"/>
          <w:snapToGrid w:val="0"/>
          <w:color w:val="000000"/>
          <w:sz w:val="32"/>
          <w:szCs w:val="32"/>
          <w:highlight w:val="none"/>
          <w:lang w:val="en-US" w:eastAsia="zh-CN"/>
        </w:rPr>
        <w:t>等级认定请示；政府部门对项目的批准文件；项目设计方案（包括单位简介、项目内容及重要工艺流程、按照工程设计重要用电设备用电容量和用电负荷等级；中断供电可能产生的后果；保安负荷分布、容量、自备应急电源配置方案和非电保安措施等）；《</w:t>
      </w:r>
      <w:r>
        <w:rPr>
          <w:rFonts w:hint="eastAsia" w:ascii="仿宋_GB2312" w:hAnsi="仿宋_GB2312" w:eastAsia="仿宋_GB2312" w:cs="仿宋_GB2312"/>
          <w:b w:val="0"/>
          <w:bCs w:val="0"/>
          <w:snapToGrid w:val="0"/>
          <w:color w:val="000000"/>
          <w:kern w:val="0"/>
          <w:sz w:val="32"/>
          <w:szCs w:val="32"/>
          <w:highlight w:val="none"/>
          <w:lang w:val="en-US" w:eastAsia="zh-CN" w:bidi="ar"/>
        </w:rPr>
        <w:t>安全评价报告</w:t>
      </w:r>
      <w:r>
        <w:rPr>
          <w:rFonts w:hint="eastAsia" w:ascii="仿宋_GB2312" w:hAnsi="仿宋_GB2312" w:eastAsia="仿宋_GB2312" w:cs="仿宋_GB2312"/>
          <w:b w:val="0"/>
          <w:bCs w:val="0"/>
          <w:snapToGrid w:val="0"/>
          <w:color w:val="000000"/>
          <w:sz w:val="32"/>
          <w:szCs w:val="32"/>
          <w:highlight w:val="none"/>
          <w:lang w:val="en-US" w:eastAsia="zh-CN"/>
        </w:rPr>
        <w:t>》；《供电方案答复单》等所需材料。</w:t>
      </w:r>
      <w:r>
        <w:rPr>
          <w:rFonts w:hint="eastAsia" w:ascii="仿宋_GB2312" w:hAnsi="仿宋_GB2312" w:eastAsia="仿宋_GB2312" w:cs="仿宋_GB2312"/>
          <w:b w:val="0"/>
          <w:bCs w:val="0"/>
          <w:strike w:val="0"/>
          <w:dstrike w:val="0"/>
          <w:snapToGrid w:val="0"/>
          <w:color w:val="auto"/>
          <w:kern w:val="0"/>
          <w:sz w:val="32"/>
          <w:szCs w:val="32"/>
          <w:highlight w:val="none"/>
          <w:lang w:val="en-US" w:eastAsia="zh-CN" w:bidi="ar"/>
        </w:rPr>
        <w:t>电力用户未提供相关材料的，由行业安全生产管理部门督导用户限期提供。</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sz w:val="32"/>
          <w:szCs w:val="32"/>
          <w:highlight w:val="none"/>
          <w:lang w:val="en-US" w:eastAsia="zh-CN"/>
        </w:rPr>
      </w:pPr>
      <w:r>
        <w:rPr>
          <w:rFonts w:hint="eastAsia" w:ascii="仿宋_GB2312" w:hAnsi="仿宋_GB2312" w:eastAsia="仿宋_GB2312" w:cs="仿宋_GB2312"/>
          <w:b w:val="0"/>
          <w:bCs w:val="0"/>
          <w:snapToGrid w:val="0"/>
          <w:color w:val="000000"/>
          <w:sz w:val="32"/>
          <w:szCs w:val="32"/>
          <w:highlight w:val="none"/>
          <w:lang w:val="en-US" w:eastAsia="zh-CN"/>
        </w:rPr>
        <w:t>2.</w:t>
      </w:r>
      <w:r>
        <w:rPr>
          <w:rFonts w:hint="eastAsia" w:ascii="仿宋_GB2312" w:hAnsi="仿宋_GB2312" w:eastAsia="仿宋_GB2312" w:cs="仿宋_GB2312"/>
          <w:b w:val="0"/>
          <w:bCs w:val="0"/>
          <w:snapToGrid w:val="0"/>
          <w:color w:val="auto"/>
          <w:kern w:val="0"/>
          <w:sz w:val="32"/>
          <w:szCs w:val="32"/>
          <w:highlight w:val="none"/>
          <w:lang w:val="en-US" w:eastAsia="zh-CN" w:bidi="ar"/>
        </w:rPr>
        <w:t>属于重要电力用户范围中社会类的电力用户申报重要电力用户的</w:t>
      </w:r>
      <w:r>
        <w:rPr>
          <w:rFonts w:hint="eastAsia" w:ascii="仿宋_GB2312" w:hAnsi="仿宋_GB2312" w:eastAsia="仿宋_GB2312" w:cs="仿宋_GB2312"/>
          <w:b w:val="0"/>
          <w:bCs w:val="0"/>
          <w:strike w:val="0"/>
          <w:dstrike w:val="0"/>
          <w:snapToGrid w:val="0"/>
          <w:color w:val="auto"/>
          <w:kern w:val="0"/>
          <w:sz w:val="32"/>
          <w:szCs w:val="32"/>
          <w:highlight w:val="none"/>
          <w:lang w:val="en-US" w:eastAsia="zh-CN" w:bidi="ar"/>
        </w:rPr>
        <w:t>，可以提供</w:t>
      </w:r>
      <w:r>
        <w:rPr>
          <w:rFonts w:hint="eastAsia" w:ascii="仿宋_GB2312" w:hAnsi="仿宋_GB2312" w:eastAsia="仿宋_GB2312" w:cs="仿宋_GB2312"/>
          <w:b w:val="0"/>
          <w:bCs w:val="0"/>
          <w:snapToGrid w:val="0"/>
          <w:color w:val="auto"/>
          <w:kern w:val="0"/>
          <w:sz w:val="32"/>
          <w:szCs w:val="32"/>
          <w:highlight w:val="none"/>
          <w:lang w:val="en-US" w:eastAsia="zh-CN" w:bidi="ar"/>
        </w:rPr>
        <w:t>电力用户建设项目的</w:t>
      </w:r>
      <w:r>
        <w:rPr>
          <w:rFonts w:hint="eastAsia" w:ascii="仿宋_GB2312" w:hAnsi="仿宋_GB2312" w:eastAsia="仿宋_GB2312" w:cs="仿宋_GB2312"/>
          <w:b w:val="0"/>
          <w:bCs w:val="0"/>
          <w:snapToGrid w:val="0"/>
          <w:color w:val="000000"/>
          <w:sz w:val="32"/>
          <w:szCs w:val="32"/>
          <w:highlight w:val="none"/>
          <w:lang w:val="en-US" w:eastAsia="zh-CN"/>
        </w:rPr>
        <w:t>项目设计方案（包括单位简介、项目内容及重要工艺流程、按照工程设计重要用电设备用电容量和用电负荷等级；中断供电可能产生的后果；保安负荷分布、容量、自备应急电源配置方案和非电保安措施等）；《</w:t>
      </w:r>
      <w:r>
        <w:rPr>
          <w:rFonts w:hint="eastAsia" w:ascii="仿宋_GB2312" w:hAnsi="仿宋_GB2312" w:eastAsia="仿宋_GB2312" w:cs="仿宋_GB2312"/>
          <w:b w:val="0"/>
          <w:bCs w:val="0"/>
          <w:snapToGrid w:val="0"/>
          <w:color w:val="000000"/>
          <w:kern w:val="0"/>
          <w:sz w:val="32"/>
          <w:szCs w:val="32"/>
          <w:highlight w:val="none"/>
          <w:lang w:val="en-US" w:eastAsia="zh-CN" w:bidi="ar"/>
        </w:rPr>
        <w:t>安全评价报告</w:t>
      </w:r>
      <w:r>
        <w:rPr>
          <w:rFonts w:hint="eastAsia" w:ascii="仿宋_GB2312" w:hAnsi="仿宋_GB2312" w:eastAsia="仿宋_GB2312" w:cs="仿宋_GB2312"/>
          <w:b w:val="0"/>
          <w:bCs w:val="0"/>
          <w:snapToGrid w:val="0"/>
          <w:color w:val="000000"/>
          <w:sz w:val="32"/>
          <w:szCs w:val="32"/>
          <w:highlight w:val="none"/>
          <w:lang w:val="en-US" w:eastAsia="zh-CN"/>
        </w:rPr>
        <w:t>》《供电方案答复单》等所需材料。</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sz w:val="32"/>
          <w:szCs w:val="32"/>
          <w:highlight w:val="none"/>
          <w:lang w:val="en-US" w:eastAsia="zh-CN"/>
        </w:rPr>
      </w:pPr>
      <w:r>
        <w:rPr>
          <w:rFonts w:hint="eastAsia" w:ascii="仿宋_GB2312" w:hAnsi="仿宋_GB2312" w:eastAsia="仿宋_GB2312" w:cs="仿宋_GB2312"/>
          <w:b w:val="0"/>
          <w:bCs w:val="0"/>
          <w:snapToGrid w:val="0"/>
          <w:color w:val="000000"/>
          <w:sz w:val="32"/>
          <w:szCs w:val="32"/>
          <w:highlight w:val="none"/>
          <w:lang w:val="en-US" w:eastAsia="zh-CN"/>
        </w:rPr>
        <w:t>（二）</w:t>
      </w:r>
      <w:r>
        <w:rPr>
          <w:rFonts w:hint="eastAsia" w:ascii="仿宋_GB2312" w:hAnsi="仿宋_GB2312" w:eastAsia="仿宋_GB2312" w:cs="仿宋_GB2312"/>
          <w:b w:val="0"/>
          <w:bCs w:val="0"/>
          <w:snapToGrid w:val="0"/>
          <w:color w:val="auto"/>
          <w:kern w:val="0"/>
          <w:sz w:val="32"/>
          <w:szCs w:val="32"/>
          <w:highlight w:val="none"/>
        </w:rPr>
        <w:t>供电</w:t>
      </w:r>
      <w:r>
        <w:rPr>
          <w:rFonts w:hint="eastAsia" w:ascii="仿宋_GB2312" w:hAnsi="仿宋_GB2312" w:eastAsia="仿宋_GB2312" w:cs="仿宋_GB2312"/>
          <w:b w:val="0"/>
          <w:bCs w:val="0"/>
          <w:snapToGrid w:val="0"/>
          <w:color w:val="auto"/>
          <w:kern w:val="0"/>
          <w:sz w:val="32"/>
          <w:szCs w:val="32"/>
          <w:highlight w:val="none"/>
          <w:lang w:eastAsia="zh-CN"/>
        </w:rPr>
        <w:t>企业应当</w:t>
      </w:r>
      <w:r>
        <w:rPr>
          <w:rFonts w:hint="eastAsia" w:ascii="仿宋_GB2312" w:hAnsi="仿宋_GB2312" w:eastAsia="仿宋_GB2312" w:cs="仿宋_GB2312"/>
          <w:b w:val="0"/>
          <w:bCs w:val="0"/>
          <w:snapToGrid w:val="0"/>
          <w:color w:val="auto"/>
          <w:kern w:val="0"/>
          <w:sz w:val="32"/>
          <w:szCs w:val="32"/>
          <w:highlight w:val="none"/>
          <w:lang w:val="en-US" w:eastAsia="zh-CN"/>
        </w:rPr>
        <w:t>依据相关电力法律法规、技术规范、标准，</w:t>
      </w:r>
      <w:r>
        <w:rPr>
          <w:rFonts w:hint="eastAsia" w:ascii="仿宋_GB2312" w:hAnsi="仿宋_GB2312" w:eastAsia="仿宋_GB2312" w:cs="仿宋_GB2312"/>
          <w:b w:val="0"/>
          <w:bCs w:val="0"/>
          <w:snapToGrid w:val="0"/>
          <w:color w:val="auto"/>
          <w:kern w:val="0"/>
          <w:sz w:val="32"/>
          <w:szCs w:val="32"/>
          <w:highlight w:val="none"/>
          <w:lang w:eastAsia="zh-CN"/>
        </w:rPr>
        <w:t>结合</w:t>
      </w:r>
      <w:r>
        <w:rPr>
          <w:rFonts w:hint="eastAsia" w:ascii="仿宋_GB2312" w:hAnsi="仿宋_GB2312" w:eastAsia="仿宋_GB2312" w:cs="仿宋_GB2312"/>
          <w:b w:val="0"/>
          <w:bCs w:val="0"/>
          <w:snapToGrid w:val="0"/>
          <w:color w:val="auto"/>
          <w:kern w:val="0"/>
          <w:sz w:val="32"/>
          <w:szCs w:val="32"/>
          <w:highlight w:val="none"/>
        </w:rPr>
        <w:t>电力用户提供</w:t>
      </w:r>
      <w:r>
        <w:rPr>
          <w:rFonts w:hint="eastAsia" w:ascii="仿宋_GB2312" w:hAnsi="仿宋_GB2312" w:eastAsia="仿宋_GB2312" w:cs="仿宋_GB2312"/>
          <w:b w:val="0"/>
          <w:bCs w:val="0"/>
          <w:snapToGrid w:val="0"/>
          <w:color w:val="auto"/>
          <w:kern w:val="0"/>
          <w:sz w:val="32"/>
          <w:szCs w:val="32"/>
          <w:highlight w:val="none"/>
          <w:lang w:eastAsia="zh-CN"/>
        </w:rPr>
        <w:t>的</w:t>
      </w:r>
      <w:r>
        <w:rPr>
          <w:rFonts w:hint="eastAsia" w:ascii="仿宋_GB2312" w:hAnsi="仿宋_GB2312" w:eastAsia="仿宋_GB2312" w:cs="仿宋_GB2312"/>
          <w:b w:val="0"/>
          <w:bCs w:val="0"/>
          <w:snapToGrid w:val="0"/>
          <w:color w:val="auto"/>
          <w:kern w:val="0"/>
          <w:sz w:val="32"/>
          <w:szCs w:val="32"/>
          <w:highlight w:val="none"/>
        </w:rPr>
        <w:t>材料及中断供电的危害程度</w:t>
      </w:r>
      <w:r>
        <w:rPr>
          <w:rFonts w:hint="eastAsia" w:ascii="仿宋_GB2312" w:hAnsi="仿宋_GB2312" w:eastAsia="仿宋_GB2312" w:cs="仿宋_GB2312"/>
          <w:b w:val="0"/>
          <w:bCs w:val="0"/>
          <w:snapToGrid w:val="0"/>
          <w:color w:val="auto"/>
          <w:kern w:val="0"/>
          <w:sz w:val="32"/>
          <w:szCs w:val="32"/>
          <w:highlight w:val="none"/>
          <w:lang w:eastAsia="zh-CN"/>
        </w:rPr>
        <w:t>，并对照重要电力用户范围，对电力用户重要性等级</w:t>
      </w:r>
      <w:r>
        <w:rPr>
          <w:rFonts w:hint="eastAsia" w:ascii="仿宋_GB2312" w:hAnsi="仿宋_GB2312" w:eastAsia="仿宋_GB2312" w:cs="仿宋_GB2312"/>
          <w:b w:val="0"/>
          <w:bCs w:val="0"/>
          <w:snapToGrid w:val="0"/>
          <w:color w:val="auto"/>
          <w:kern w:val="0"/>
          <w:sz w:val="32"/>
          <w:szCs w:val="32"/>
          <w:highlight w:val="none"/>
        </w:rPr>
        <w:t>进行认定</w:t>
      </w:r>
      <w:r>
        <w:rPr>
          <w:rFonts w:hint="eastAsia" w:ascii="仿宋_GB2312" w:hAnsi="仿宋_GB2312" w:eastAsia="仿宋_GB2312" w:cs="仿宋_GB2312"/>
          <w:b w:val="0"/>
          <w:bCs w:val="0"/>
          <w:snapToGrid w:val="0"/>
          <w:color w:val="auto"/>
          <w:kern w:val="0"/>
          <w:sz w:val="32"/>
          <w:szCs w:val="32"/>
          <w:highlight w:val="none"/>
          <w:lang w:eastAsia="zh-CN"/>
        </w:rPr>
        <w:t>。</w:t>
      </w:r>
      <w:r>
        <w:rPr>
          <w:rFonts w:hint="eastAsia" w:ascii="仿宋_GB2312" w:hAnsi="仿宋_GB2312" w:eastAsia="仿宋_GB2312" w:cs="仿宋_GB2312"/>
          <w:b w:val="0"/>
          <w:bCs w:val="0"/>
          <w:snapToGrid w:val="0"/>
          <w:color w:val="000000"/>
          <w:sz w:val="32"/>
          <w:szCs w:val="32"/>
          <w:highlight w:val="none"/>
          <w:lang w:val="en-US" w:eastAsia="zh-CN"/>
        </w:rPr>
        <w:t>每年12月底前由</w:t>
      </w:r>
      <w:r>
        <w:rPr>
          <w:rFonts w:hint="eastAsia" w:ascii="仿宋_GB2312" w:hAnsi="仿宋_GB2312" w:eastAsia="仿宋_GB2312" w:cs="仿宋_GB2312"/>
          <w:b w:val="0"/>
          <w:bCs w:val="0"/>
          <w:snapToGrid w:val="0"/>
          <w:color w:val="auto"/>
          <w:kern w:val="0"/>
          <w:sz w:val="32"/>
          <w:szCs w:val="32"/>
          <w:highlight w:val="none"/>
          <w:lang w:val="en-US" w:eastAsia="zh-CN"/>
        </w:rPr>
        <w:t>供电企业提出重要电力用户名单，报送市级政府电力管理部门进行核准。</w:t>
      </w:r>
      <w:r>
        <w:rPr>
          <w:rFonts w:hint="eastAsia" w:ascii="仿宋_GB2312" w:hAnsi="仿宋_GB2312" w:eastAsia="仿宋_GB2312" w:cs="仿宋_GB2312"/>
          <w:b w:val="0"/>
          <w:bCs w:val="0"/>
          <w:snapToGrid w:val="0"/>
          <w:color w:val="000000"/>
          <w:sz w:val="32"/>
          <w:szCs w:val="32"/>
          <w:highlight w:val="none"/>
          <w:lang w:val="en-US" w:eastAsia="zh-CN"/>
        </w:rPr>
        <w:t>市级</w:t>
      </w:r>
      <w:r>
        <w:rPr>
          <w:rFonts w:hint="eastAsia" w:ascii="仿宋_GB2312" w:hAnsi="仿宋_GB2312" w:eastAsia="仿宋_GB2312" w:cs="仿宋_GB2312"/>
          <w:b w:val="0"/>
          <w:bCs w:val="0"/>
          <w:snapToGrid w:val="0"/>
          <w:color w:val="auto"/>
          <w:kern w:val="0"/>
          <w:sz w:val="32"/>
          <w:szCs w:val="32"/>
          <w:highlight w:val="none"/>
          <w:lang w:val="en-US" w:eastAsia="zh-CN"/>
        </w:rPr>
        <w:t>政府</w:t>
      </w:r>
      <w:r>
        <w:rPr>
          <w:rFonts w:hint="eastAsia" w:ascii="仿宋_GB2312" w:hAnsi="仿宋_GB2312" w:eastAsia="仿宋_GB2312" w:cs="仿宋_GB2312"/>
          <w:b w:val="0"/>
          <w:bCs w:val="0"/>
          <w:snapToGrid w:val="0"/>
          <w:color w:val="000000"/>
          <w:sz w:val="32"/>
          <w:szCs w:val="32"/>
          <w:highlight w:val="none"/>
          <w:lang w:val="en-US" w:eastAsia="zh-CN"/>
        </w:rPr>
        <w:t>电力管理部门</w:t>
      </w:r>
      <w:r>
        <w:rPr>
          <w:rFonts w:hint="eastAsia" w:ascii="仿宋_GB2312" w:hAnsi="仿宋_GB2312" w:eastAsia="仿宋_GB2312" w:cs="仿宋_GB2312"/>
          <w:b w:val="0"/>
          <w:bCs w:val="0"/>
          <w:snapToGrid w:val="0"/>
          <w:color w:val="000000"/>
          <w:kern w:val="0"/>
          <w:sz w:val="32"/>
          <w:szCs w:val="32"/>
          <w:highlight w:val="none"/>
          <w:lang w:val="en-US" w:eastAsia="zh-CN"/>
        </w:rPr>
        <w:t>向社会公布，同时将重要电力用户名单抄送至当地行业安全生产管理部门和直接监管责任部门</w:t>
      </w:r>
      <w:r>
        <w:rPr>
          <w:rFonts w:hint="eastAsia" w:ascii="仿宋_GB2312" w:hAnsi="仿宋_GB2312" w:eastAsia="仿宋_GB2312" w:cs="仿宋_GB2312"/>
          <w:b w:val="0"/>
          <w:bCs w:val="0"/>
          <w:snapToGrid w:val="0"/>
          <w:color w:val="000000"/>
          <w:sz w:val="32"/>
          <w:szCs w:val="32"/>
          <w:highlight w:val="none"/>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sz w:val="32"/>
          <w:szCs w:val="32"/>
          <w:highlight w:val="none"/>
          <w:lang w:val="en-US" w:eastAsia="zh-CN"/>
        </w:rPr>
      </w:pPr>
      <w:r>
        <w:rPr>
          <w:rFonts w:hint="eastAsia" w:ascii="仿宋_GB2312" w:hAnsi="仿宋_GB2312" w:eastAsia="仿宋_GB2312" w:cs="仿宋_GB2312"/>
          <w:b w:val="0"/>
          <w:bCs w:val="0"/>
          <w:snapToGrid w:val="0"/>
          <w:color w:val="000000"/>
          <w:kern w:val="0"/>
          <w:sz w:val="32"/>
          <w:szCs w:val="32"/>
          <w:highlight w:val="none"/>
          <w:lang w:eastAsia="zh-CN"/>
        </w:rPr>
        <w:t>电力用户对认定结果存在异议的</w:t>
      </w:r>
      <w:r>
        <w:rPr>
          <w:rFonts w:hint="eastAsia" w:ascii="仿宋_GB2312" w:hAnsi="仿宋_GB2312" w:eastAsia="仿宋_GB2312" w:cs="仿宋_GB2312"/>
          <w:b w:val="0"/>
          <w:bCs w:val="0"/>
          <w:snapToGrid w:val="0"/>
          <w:color w:val="000000"/>
          <w:kern w:val="0"/>
          <w:sz w:val="32"/>
          <w:szCs w:val="32"/>
          <w:highlight w:val="none"/>
        </w:rPr>
        <w:t>，</w:t>
      </w:r>
      <w:r>
        <w:rPr>
          <w:rFonts w:hint="eastAsia" w:ascii="仿宋_GB2312" w:hAnsi="仿宋_GB2312" w:eastAsia="仿宋_GB2312" w:cs="仿宋_GB2312"/>
          <w:b w:val="0"/>
          <w:bCs w:val="0"/>
          <w:snapToGrid w:val="0"/>
          <w:color w:val="000000"/>
          <w:kern w:val="0"/>
          <w:sz w:val="32"/>
          <w:szCs w:val="32"/>
          <w:highlight w:val="none"/>
          <w:lang w:eastAsia="zh-CN"/>
        </w:rPr>
        <w:t>供电企业将有关情况书面报</w:t>
      </w:r>
      <w:r>
        <w:rPr>
          <w:rFonts w:hint="eastAsia" w:ascii="方正仿宋_GBK" w:hAnsi="方正仿宋_GBK" w:eastAsia="方正仿宋_GBK"/>
          <w:color w:val="000000"/>
          <w:sz w:val="32"/>
          <w:highlight w:val="none"/>
          <w:lang w:eastAsia="zh-CN"/>
        </w:rPr>
        <w:t>市级</w:t>
      </w:r>
      <w:r>
        <w:rPr>
          <w:rFonts w:hint="eastAsia" w:ascii="仿宋_GB2312" w:hAnsi="仿宋_GB2312" w:eastAsia="仿宋_GB2312" w:cs="仿宋_GB2312"/>
          <w:b w:val="0"/>
          <w:bCs w:val="0"/>
          <w:snapToGrid w:val="0"/>
          <w:color w:val="auto"/>
          <w:kern w:val="0"/>
          <w:sz w:val="32"/>
          <w:szCs w:val="32"/>
          <w:highlight w:val="none"/>
          <w:lang w:val="en-US" w:eastAsia="zh-CN"/>
        </w:rPr>
        <w:t>政府</w:t>
      </w:r>
      <w:r>
        <w:rPr>
          <w:rFonts w:hint="eastAsia" w:ascii="方正仿宋_GBK" w:hAnsi="方正仿宋_GBK" w:eastAsia="方正仿宋_GBK"/>
          <w:color w:val="000000"/>
          <w:sz w:val="32"/>
          <w:highlight w:val="none"/>
          <w:lang w:eastAsia="zh-CN"/>
        </w:rPr>
        <w:t>电力管理部门</w:t>
      </w:r>
      <w:r>
        <w:rPr>
          <w:rFonts w:hint="eastAsia" w:ascii="仿宋_GB2312" w:hAnsi="仿宋_GB2312" w:eastAsia="仿宋_GB2312" w:cs="仿宋_GB2312"/>
          <w:b w:val="0"/>
          <w:bCs w:val="0"/>
          <w:snapToGrid w:val="0"/>
          <w:color w:val="000000"/>
          <w:kern w:val="0"/>
          <w:sz w:val="32"/>
          <w:szCs w:val="32"/>
          <w:highlight w:val="none"/>
          <w:lang w:eastAsia="zh-CN"/>
        </w:rPr>
        <w:t>，由</w:t>
      </w:r>
      <w:r>
        <w:rPr>
          <w:rFonts w:hint="eastAsia" w:ascii="方正仿宋_GBK" w:hAnsi="方正仿宋_GBK" w:eastAsia="方正仿宋_GBK"/>
          <w:color w:val="000000"/>
          <w:sz w:val="32"/>
          <w:highlight w:val="none"/>
          <w:lang w:eastAsia="zh-CN"/>
        </w:rPr>
        <w:t>市级</w:t>
      </w:r>
      <w:r>
        <w:rPr>
          <w:rFonts w:hint="eastAsia" w:ascii="仿宋_GB2312" w:hAnsi="仿宋_GB2312" w:eastAsia="仿宋_GB2312" w:cs="仿宋_GB2312"/>
          <w:b w:val="0"/>
          <w:bCs w:val="0"/>
          <w:snapToGrid w:val="0"/>
          <w:color w:val="auto"/>
          <w:kern w:val="0"/>
          <w:sz w:val="32"/>
          <w:szCs w:val="32"/>
          <w:highlight w:val="none"/>
          <w:lang w:val="en-US" w:eastAsia="zh-CN"/>
        </w:rPr>
        <w:t>政府</w:t>
      </w:r>
      <w:r>
        <w:rPr>
          <w:rFonts w:hint="eastAsia" w:ascii="方正仿宋_GBK" w:hAnsi="方正仿宋_GBK" w:eastAsia="方正仿宋_GBK"/>
          <w:color w:val="000000"/>
          <w:sz w:val="32"/>
          <w:highlight w:val="none"/>
          <w:lang w:eastAsia="zh-CN"/>
        </w:rPr>
        <w:t>电力管理部门</w:t>
      </w:r>
      <w:r>
        <w:rPr>
          <w:rFonts w:hint="eastAsia" w:ascii="仿宋_GB2312" w:hAnsi="仿宋_GB2312" w:eastAsia="仿宋_GB2312" w:cs="仿宋_GB2312"/>
          <w:b w:val="0"/>
          <w:bCs w:val="0"/>
          <w:snapToGrid w:val="0"/>
          <w:color w:val="000000"/>
          <w:kern w:val="0"/>
          <w:sz w:val="32"/>
          <w:szCs w:val="32"/>
          <w:highlight w:val="none"/>
          <w:lang w:eastAsia="zh-CN"/>
        </w:rPr>
        <w:t>审核确认并书面答复</w:t>
      </w:r>
      <w:r>
        <w:rPr>
          <w:rFonts w:hint="eastAsia" w:ascii="仿宋_GB2312" w:hAnsi="仿宋_GB2312" w:eastAsia="仿宋_GB2312" w:cs="仿宋_GB2312"/>
          <w:b w:val="0"/>
          <w:bCs w:val="0"/>
          <w:snapToGrid w:val="0"/>
          <w:color w:val="000000"/>
          <w:kern w:val="0"/>
          <w:sz w:val="32"/>
          <w:szCs w:val="32"/>
          <w:highlight w:val="none"/>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黑体" w:hAnsi="黑体" w:eastAsia="黑体" w:cs="黑体"/>
          <w:b w:val="0"/>
          <w:bCs w:val="0"/>
          <w:snapToGrid w:val="0"/>
          <w:color w:val="000000"/>
          <w:kern w:val="0"/>
          <w:sz w:val="32"/>
          <w:szCs w:val="32"/>
          <w:highlight w:val="none"/>
          <w:lang w:val="en-US" w:eastAsia="zh-CN" w:bidi="ar-SA"/>
        </w:rPr>
        <w:t>第二十条</w:t>
      </w:r>
      <w:r>
        <w:rPr>
          <w:rFonts w:hint="eastAsia" w:ascii="仿宋_GB2312" w:hAnsi="仿宋_GB2312" w:eastAsia="仿宋_GB2312" w:cs="仿宋_GB2312"/>
          <w:b w:val="0"/>
          <w:bCs w:val="0"/>
          <w:snapToGrid w:val="0"/>
          <w:color w:val="000000"/>
          <w:sz w:val="32"/>
          <w:szCs w:val="32"/>
          <w:highlight w:val="none"/>
          <w:lang w:val="en-US" w:eastAsia="zh-CN"/>
        </w:rPr>
        <w:t xml:space="preserve"> 重要电力用户名单确定后，应根据需要对其变化动态管理，</w:t>
      </w:r>
      <w:r>
        <w:rPr>
          <w:rFonts w:hint="eastAsia" w:ascii="仿宋_GB2312" w:hAnsi="仿宋_GB2312" w:eastAsia="仿宋_GB2312" w:cs="仿宋_GB2312"/>
          <w:b w:val="0"/>
          <w:bCs w:val="0"/>
          <w:snapToGrid w:val="0"/>
          <w:color w:val="000000"/>
          <w:kern w:val="0"/>
          <w:sz w:val="32"/>
          <w:szCs w:val="32"/>
          <w:highlight w:val="none"/>
        </w:rPr>
        <w:t>每年审核新增和变更的重要电力用户。</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仿宋_GB2312" w:hAnsi="仿宋_GB2312" w:eastAsia="仿宋_GB2312" w:cs="仿宋_GB2312"/>
          <w:b w:val="0"/>
          <w:bCs w:val="0"/>
          <w:snapToGrid w:val="0"/>
          <w:color w:val="000000"/>
          <w:sz w:val="32"/>
          <w:szCs w:val="32"/>
          <w:highlight w:val="none"/>
          <w:lang w:val="en-US" w:eastAsia="zh-CN"/>
        </w:rPr>
      </w:pPr>
      <w:r>
        <w:rPr>
          <w:rFonts w:hint="eastAsia" w:ascii="仿宋_GB2312" w:hAnsi="仿宋_GB2312" w:eastAsia="仿宋_GB2312" w:cs="仿宋_GB2312"/>
          <w:b w:val="0"/>
          <w:bCs w:val="0"/>
          <w:snapToGrid w:val="0"/>
          <w:color w:val="000000"/>
          <w:sz w:val="32"/>
          <w:szCs w:val="32"/>
          <w:highlight w:val="none"/>
          <w:lang w:val="en-US" w:eastAsia="zh-CN"/>
        </w:rPr>
        <w:t>（一）对于新装电力用户，在电力业务受理环节，按照本办法第十九条重要电力用户认定程序执行。供电</w:t>
      </w:r>
      <w:r>
        <w:rPr>
          <w:rFonts w:hint="eastAsia" w:ascii="仿宋_GB2312" w:hAnsi="仿宋_GB2312" w:eastAsia="仿宋_GB2312" w:cs="仿宋_GB2312"/>
          <w:b w:val="0"/>
          <w:bCs w:val="0"/>
          <w:snapToGrid w:val="0"/>
          <w:color w:val="000000"/>
          <w:kern w:val="0"/>
          <w:sz w:val="32"/>
          <w:szCs w:val="32"/>
          <w:highlight w:val="none"/>
          <w:lang w:eastAsia="zh-CN"/>
        </w:rPr>
        <w:t>企业</w:t>
      </w:r>
      <w:r>
        <w:rPr>
          <w:rFonts w:hint="eastAsia" w:ascii="仿宋_GB2312" w:hAnsi="仿宋_GB2312" w:eastAsia="仿宋_GB2312" w:cs="仿宋_GB2312"/>
          <w:b w:val="0"/>
          <w:bCs w:val="0"/>
          <w:snapToGrid w:val="0"/>
          <w:color w:val="000000"/>
          <w:sz w:val="32"/>
          <w:szCs w:val="32"/>
          <w:highlight w:val="none"/>
          <w:lang w:val="en-US" w:eastAsia="zh-CN"/>
        </w:rPr>
        <w:t>应根据企业生产负荷特点及《</w:t>
      </w:r>
      <w:r>
        <w:rPr>
          <w:rFonts w:hint="eastAsia" w:ascii="仿宋_GB2312" w:hAnsi="仿宋_GB2312" w:eastAsia="仿宋_GB2312" w:cs="仿宋_GB2312"/>
          <w:b w:val="0"/>
          <w:bCs w:val="0"/>
          <w:snapToGrid w:val="0"/>
          <w:color w:val="000000"/>
          <w:kern w:val="0"/>
          <w:sz w:val="32"/>
          <w:szCs w:val="32"/>
          <w:highlight w:val="none"/>
          <w:lang w:val="en-US" w:eastAsia="zh-CN" w:bidi="ar"/>
        </w:rPr>
        <w:t>安全评价报告</w:t>
      </w:r>
      <w:r>
        <w:rPr>
          <w:rFonts w:hint="eastAsia" w:ascii="仿宋_GB2312" w:hAnsi="仿宋_GB2312" w:eastAsia="仿宋_GB2312" w:cs="仿宋_GB2312"/>
          <w:b w:val="0"/>
          <w:bCs w:val="0"/>
          <w:snapToGrid w:val="0"/>
          <w:color w:val="000000"/>
          <w:sz w:val="32"/>
          <w:szCs w:val="32"/>
          <w:highlight w:val="none"/>
          <w:lang w:val="en-US" w:eastAsia="zh-CN"/>
        </w:rPr>
        <w:t>》合理制定供电方案，严格按照业扩报装要求开展中间及竣工验收，确保供电电源及自备应急电源等满足负荷重要性等级要求。并按照送电时间节点报送</w:t>
      </w:r>
      <w:r>
        <w:rPr>
          <w:rFonts w:hint="eastAsia" w:ascii="方正仿宋_GBK" w:hAnsi="方正仿宋_GBK" w:eastAsia="方正仿宋_GBK"/>
          <w:color w:val="000000"/>
          <w:sz w:val="32"/>
          <w:highlight w:val="none"/>
          <w:lang w:eastAsia="zh-CN"/>
        </w:rPr>
        <w:t>市级政府电力管理部门核准</w:t>
      </w:r>
      <w:r>
        <w:rPr>
          <w:rFonts w:hint="eastAsia" w:ascii="仿宋_GB2312" w:hAnsi="仿宋_GB2312" w:eastAsia="仿宋_GB2312" w:cs="仿宋_GB2312"/>
          <w:b w:val="0"/>
          <w:bCs w:val="0"/>
          <w:snapToGrid w:val="0"/>
          <w:color w:val="000000"/>
          <w:sz w:val="32"/>
          <w:szCs w:val="32"/>
          <w:highlight w:val="none"/>
          <w:lang w:val="en-US" w:eastAsia="zh-CN"/>
        </w:rPr>
        <w:t>纳入重要电力用户名单。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仿宋_GB2312" w:hAnsi="仿宋_GB2312" w:eastAsia="仿宋_GB2312" w:cs="仿宋_GB2312"/>
          <w:b w:val="0"/>
          <w:bCs w:val="0"/>
          <w:snapToGrid w:val="0"/>
          <w:color w:val="000000"/>
          <w:sz w:val="32"/>
          <w:szCs w:val="32"/>
          <w:highlight w:val="none"/>
          <w:lang w:val="en-US" w:eastAsia="zh-CN"/>
        </w:rPr>
      </w:pPr>
      <w:r>
        <w:rPr>
          <w:rFonts w:hint="eastAsia" w:ascii="仿宋_GB2312" w:hAnsi="仿宋_GB2312" w:eastAsia="仿宋_GB2312" w:cs="仿宋_GB2312"/>
          <w:b w:val="0"/>
          <w:bCs w:val="0"/>
          <w:snapToGrid w:val="0"/>
          <w:color w:val="000000"/>
          <w:sz w:val="32"/>
          <w:szCs w:val="32"/>
          <w:highlight w:val="none"/>
          <w:lang w:val="en-US" w:eastAsia="zh-CN"/>
        </w:rPr>
        <w:t>（二）</w:t>
      </w:r>
      <w:r>
        <w:rPr>
          <w:rFonts w:hint="eastAsia" w:ascii="仿宋_GB2312" w:hAnsi="仿宋_GB2312" w:eastAsia="仿宋_GB2312" w:cs="仿宋_GB2312"/>
          <w:b w:val="0"/>
          <w:bCs w:val="0"/>
          <w:snapToGrid w:val="0"/>
          <w:color w:val="000000"/>
          <w:sz w:val="32"/>
          <w:szCs w:val="32"/>
          <w:highlight w:val="none"/>
        </w:rPr>
        <w:t>存量</w:t>
      </w:r>
      <w:r>
        <w:rPr>
          <w:rFonts w:hint="eastAsia" w:ascii="仿宋_GB2312" w:hAnsi="仿宋_GB2312" w:eastAsia="仿宋_GB2312" w:cs="仿宋_GB2312"/>
          <w:b w:val="0"/>
          <w:bCs w:val="0"/>
          <w:snapToGrid w:val="0"/>
          <w:color w:val="000000"/>
          <w:sz w:val="32"/>
          <w:szCs w:val="32"/>
          <w:highlight w:val="none"/>
          <w:lang w:val="en-US" w:eastAsia="zh-CN"/>
        </w:rPr>
        <w:t>重要</w:t>
      </w:r>
      <w:r>
        <w:rPr>
          <w:rFonts w:hint="eastAsia" w:ascii="仿宋_GB2312" w:hAnsi="仿宋_GB2312" w:eastAsia="仿宋_GB2312" w:cs="仿宋_GB2312"/>
          <w:b w:val="0"/>
          <w:bCs w:val="0"/>
          <w:snapToGrid w:val="0"/>
          <w:color w:val="000000"/>
          <w:sz w:val="32"/>
          <w:szCs w:val="32"/>
          <w:highlight w:val="none"/>
        </w:rPr>
        <w:t>电力用户</w:t>
      </w:r>
      <w:r>
        <w:rPr>
          <w:rFonts w:hint="eastAsia" w:ascii="仿宋_GB2312" w:hAnsi="仿宋_GB2312" w:eastAsia="仿宋_GB2312" w:cs="仿宋_GB2312"/>
          <w:b w:val="0"/>
          <w:bCs w:val="0"/>
          <w:snapToGrid w:val="0"/>
          <w:color w:val="000000"/>
          <w:sz w:val="32"/>
          <w:szCs w:val="32"/>
          <w:highlight w:val="none"/>
          <w:lang w:eastAsia="zh-CN"/>
        </w:rPr>
        <w:t>在行业类别、生产工艺、负荷性质等用电现场情况发生变化时，应主动如实书面告知供电</w:t>
      </w:r>
      <w:r>
        <w:rPr>
          <w:rFonts w:hint="eastAsia" w:ascii="仿宋_GB2312" w:hAnsi="仿宋_GB2312" w:eastAsia="仿宋_GB2312" w:cs="仿宋_GB2312"/>
          <w:b w:val="0"/>
          <w:bCs w:val="0"/>
          <w:snapToGrid w:val="0"/>
          <w:color w:val="000000"/>
          <w:kern w:val="0"/>
          <w:sz w:val="32"/>
          <w:szCs w:val="32"/>
          <w:highlight w:val="none"/>
          <w:lang w:eastAsia="zh-CN"/>
        </w:rPr>
        <w:t>企业</w:t>
      </w:r>
      <w:r>
        <w:rPr>
          <w:rFonts w:hint="eastAsia" w:ascii="仿宋_GB2312" w:hAnsi="仿宋_GB2312" w:eastAsia="仿宋_GB2312" w:cs="仿宋_GB2312"/>
          <w:b w:val="0"/>
          <w:bCs w:val="0"/>
          <w:snapToGrid w:val="0"/>
          <w:color w:val="000000"/>
          <w:sz w:val="32"/>
          <w:szCs w:val="32"/>
          <w:highlight w:val="none"/>
          <w:lang w:eastAsia="zh-CN"/>
        </w:rPr>
        <w:t>备案。</w:t>
      </w:r>
      <w:r>
        <w:rPr>
          <w:rFonts w:hint="eastAsia" w:ascii="仿宋_GB2312" w:hAnsi="仿宋_GB2312" w:eastAsia="仿宋_GB2312" w:cs="仿宋_GB2312"/>
          <w:b w:val="0"/>
          <w:bCs w:val="0"/>
          <w:snapToGrid w:val="0"/>
          <w:color w:val="000000"/>
          <w:sz w:val="32"/>
          <w:szCs w:val="32"/>
          <w:highlight w:val="none"/>
          <w:lang w:val="en-US" w:eastAsia="zh-CN"/>
        </w:rPr>
        <w:t>供电</w:t>
      </w:r>
      <w:r>
        <w:rPr>
          <w:rFonts w:hint="eastAsia" w:ascii="仿宋_GB2312" w:hAnsi="仿宋_GB2312" w:eastAsia="仿宋_GB2312" w:cs="仿宋_GB2312"/>
          <w:b w:val="0"/>
          <w:bCs w:val="0"/>
          <w:snapToGrid w:val="0"/>
          <w:color w:val="000000"/>
          <w:kern w:val="0"/>
          <w:sz w:val="32"/>
          <w:szCs w:val="32"/>
          <w:highlight w:val="none"/>
          <w:lang w:eastAsia="zh-CN"/>
        </w:rPr>
        <w:t>企业</w:t>
      </w:r>
      <w:r>
        <w:rPr>
          <w:rFonts w:hint="eastAsia" w:ascii="仿宋_GB2312" w:hAnsi="仿宋_GB2312" w:eastAsia="仿宋_GB2312" w:cs="仿宋_GB2312"/>
          <w:b w:val="0"/>
          <w:bCs w:val="0"/>
          <w:snapToGrid w:val="0"/>
          <w:color w:val="000000"/>
          <w:sz w:val="32"/>
          <w:szCs w:val="32"/>
          <w:highlight w:val="none"/>
          <w:lang w:val="en-US" w:eastAsia="zh-CN"/>
        </w:rPr>
        <w:t>应定期组织对电力用户现场用电情况开展核查，对重要电力用户名单进行动态更新。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仿宋_GB2312" w:cs="Times New Roman"/>
          <w:b w:val="0"/>
          <w:bCs w:val="0"/>
          <w:snapToGrid w:val="0"/>
          <w:color w:val="000000"/>
          <w:sz w:val="32"/>
          <w:szCs w:val="32"/>
          <w:highlight w:val="none"/>
        </w:rPr>
      </w:pPr>
      <w:r>
        <w:rPr>
          <w:rFonts w:hint="default" w:ascii="Times New Roman" w:hAnsi="Times New Roman" w:eastAsia="仿宋_GB2312" w:cs="Times New Roman"/>
          <w:b w:val="0"/>
          <w:bCs w:val="0"/>
          <w:snapToGrid w:val="0"/>
          <w:color w:val="000000"/>
          <w:sz w:val="32"/>
          <w:szCs w:val="32"/>
          <w:highlight w:val="none"/>
          <w:lang w:val="en-US" w:eastAsia="zh-CN"/>
        </w:rPr>
        <w:t>1</w:t>
      </w:r>
      <w:r>
        <w:rPr>
          <w:rFonts w:hint="default" w:ascii="Times New Roman" w:hAnsi="Times New Roman" w:eastAsia="仿宋_GB2312" w:cs="Times New Roman"/>
          <w:b w:val="0"/>
          <w:bCs w:val="0"/>
          <w:snapToGrid w:val="0"/>
          <w:color w:val="000000"/>
          <w:kern w:val="0"/>
          <w:sz w:val="32"/>
          <w:szCs w:val="32"/>
          <w:highlight w:val="none"/>
          <w:lang w:val="en-US" w:eastAsia="zh-CN" w:bidi="ar"/>
        </w:rPr>
        <w:t>．</w:t>
      </w:r>
      <w:r>
        <w:rPr>
          <w:rFonts w:hint="default" w:ascii="Times New Roman" w:hAnsi="Times New Roman" w:eastAsia="仿宋_GB2312" w:cs="Times New Roman"/>
          <w:b w:val="0"/>
          <w:bCs w:val="0"/>
          <w:snapToGrid w:val="0"/>
          <w:color w:val="000000"/>
          <w:sz w:val="32"/>
          <w:szCs w:val="32"/>
          <w:highlight w:val="none"/>
        </w:rPr>
        <w:t>对不符合重要电力用户认定标准</w:t>
      </w:r>
      <w:r>
        <w:rPr>
          <w:rFonts w:hint="default" w:ascii="Times New Roman" w:hAnsi="Times New Roman" w:eastAsia="仿宋_GB2312" w:cs="Times New Roman"/>
          <w:b w:val="0"/>
          <w:bCs w:val="0"/>
          <w:snapToGrid w:val="0"/>
          <w:color w:val="000000"/>
          <w:sz w:val="32"/>
          <w:szCs w:val="32"/>
          <w:highlight w:val="none"/>
          <w:lang w:eastAsia="zh-CN"/>
        </w:rPr>
        <w:t>或已销户的电力用户</w:t>
      </w:r>
      <w:r>
        <w:rPr>
          <w:rFonts w:hint="default" w:ascii="Times New Roman" w:hAnsi="Times New Roman" w:eastAsia="仿宋_GB2312" w:cs="Times New Roman"/>
          <w:b w:val="0"/>
          <w:bCs w:val="0"/>
          <w:snapToGrid w:val="0"/>
          <w:color w:val="000000"/>
          <w:sz w:val="32"/>
          <w:szCs w:val="32"/>
          <w:highlight w:val="none"/>
        </w:rPr>
        <w:t>，</w:t>
      </w:r>
      <w:r>
        <w:rPr>
          <w:rFonts w:hint="default" w:ascii="Times New Roman" w:hAnsi="Times New Roman" w:eastAsia="仿宋_GB2312" w:cs="Times New Roman"/>
          <w:b w:val="0"/>
          <w:bCs w:val="0"/>
          <w:snapToGrid w:val="0"/>
          <w:color w:val="000000"/>
          <w:sz w:val="32"/>
          <w:szCs w:val="32"/>
          <w:highlight w:val="none"/>
          <w:lang w:eastAsia="zh-CN"/>
        </w:rPr>
        <w:t>由供电</w:t>
      </w:r>
      <w:r>
        <w:rPr>
          <w:rFonts w:hint="default" w:ascii="Times New Roman" w:hAnsi="Times New Roman" w:eastAsia="仿宋_GB2312" w:cs="Times New Roman"/>
          <w:b w:val="0"/>
          <w:bCs w:val="0"/>
          <w:snapToGrid w:val="0"/>
          <w:color w:val="000000"/>
          <w:kern w:val="0"/>
          <w:sz w:val="32"/>
          <w:szCs w:val="32"/>
          <w:highlight w:val="none"/>
          <w:lang w:eastAsia="zh-CN"/>
        </w:rPr>
        <w:t>企业</w:t>
      </w:r>
      <w:r>
        <w:rPr>
          <w:rFonts w:hint="default" w:ascii="Times New Roman" w:hAnsi="Times New Roman" w:eastAsia="仿宋_GB2312" w:cs="Times New Roman"/>
          <w:b w:val="0"/>
          <w:bCs w:val="0"/>
          <w:snapToGrid w:val="0"/>
          <w:color w:val="000000"/>
          <w:sz w:val="32"/>
          <w:szCs w:val="32"/>
          <w:highlight w:val="none"/>
          <w:lang w:eastAsia="zh-CN"/>
        </w:rPr>
        <w:t>按月度</w:t>
      </w:r>
      <w:r>
        <w:rPr>
          <w:rFonts w:hint="default" w:ascii="Times New Roman" w:hAnsi="Times New Roman" w:eastAsia="仿宋_GB2312" w:cs="Times New Roman"/>
          <w:b w:val="0"/>
          <w:bCs w:val="0"/>
          <w:snapToGrid w:val="0"/>
          <w:color w:val="000000"/>
          <w:sz w:val="32"/>
          <w:szCs w:val="32"/>
          <w:highlight w:val="none"/>
        </w:rPr>
        <w:t>报送</w:t>
      </w:r>
      <w:r>
        <w:rPr>
          <w:rFonts w:hint="eastAsia" w:ascii="方正仿宋_GBK" w:hAnsi="方正仿宋_GBK" w:eastAsia="方正仿宋_GBK"/>
          <w:color w:val="000000"/>
          <w:sz w:val="32"/>
          <w:highlight w:val="none"/>
          <w:lang w:eastAsia="zh-CN"/>
        </w:rPr>
        <w:t>市级政府电力管理部门</w:t>
      </w:r>
      <w:r>
        <w:rPr>
          <w:rFonts w:hint="default" w:ascii="Times New Roman" w:hAnsi="Times New Roman" w:eastAsia="仿宋_GB2312" w:cs="Times New Roman"/>
          <w:b w:val="0"/>
          <w:bCs w:val="0"/>
          <w:snapToGrid w:val="0"/>
          <w:color w:val="000000"/>
          <w:sz w:val="32"/>
          <w:szCs w:val="32"/>
          <w:highlight w:val="none"/>
          <w:lang w:eastAsia="zh-CN"/>
        </w:rPr>
        <w:t>审定后，</w:t>
      </w:r>
      <w:r>
        <w:rPr>
          <w:rFonts w:hint="default" w:ascii="Times New Roman" w:hAnsi="Times New Roman" w:eastAsia="仿宋_GB2312" w:cs="Times New Roman"/>
          <w:b w:val="0"/>
          <w:bCs w:val="0"/>
          <w:snapToGrid w:val="0"/>
          <w:color w:val="000000"/>
          <w:sz w:val="32"/>
          <w:szCs w:val="32"/>
          <w:highlight w:val="none"/>
        </w:rPr>
        <w:t>退出重要电力用户</w:t>
      </w:r>
      <w:r>
        <w:rPr>
          <w:rFonts w:hint="default" w:ascii="Times New Roman" w:hAnsi="Times New Roman" w:eastAsia="仿宋_GB2312" w:cs="Times New Roman"/>
          <w:b w:val="0"/>
          <w:bCs w:val="0"/>
          <w:snapToGrid w:val="0"/>
          <w:color w:val="000000"/>
          <w:sz w:val="32"/>
          <w:szCs w:val="32"/>
          <w:highlight w:val="none"/>
          <w:lang w:eastAsia="zh-CN"/>
        </w:rPr>
        <w:t>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仿宋_GB2312" w:hAnsi="仿宋_GB2312" w:eastAsia="仿宋_GB2312" w:cs="仿宋_GB2312"/>
          <w:b w:val="0"/>
          <w:bCs w:val="0"/>
          <w:snapToGrid w:val="0"/>
          <w:color w:val="000000"/>
          <w:sz w:val="32"/>
          <w:szCs w:val="32"/>
          <w:highlight w:val="none"/>
        </w:rPr>
      </w:pPr>
      <w:r>
        <w:rPr>
          <w:rFonts w:hint="default" w:ascii="Times New Roman" w:hAnsi="Times New Roman" w:eastAsia="仿宋_GB2312" w:cs="Times New Roman"/>
          <w:b w:val="0"/>
          <w:bCs w:val="0"/>
          <w:snapToGrid w:val="0"/>
          <w:color w:val="000000"/>
          <w:sz w:val="32"/>
          <w:szCs w:val="32"/>
          <w:highlight w:val="none"/>
          <w:lang w:val="en-US" w:eastAsia="zh-CN"/>
        </w:rPr>
        <w:t>2</w:t>
      </w:r>
      <w:r>
        <w:rPr>
          <w:rFonts w:hint="default" w:ascii="Times New Roman" w:hAnsi="Times New Roman" w:eastAsia="仿宋_GB2312" w:cs="Times New Roman"/>
          <w:b w:val="0"/>
          <w:bCs w:val="0"/>
          <w:snapToGrid w:val="0"/>
          <w:color w:val="000000"/>
          <w:kern w:val="0"/>
          <w:sz w:val="32"/>
          <w:szCs w:val="32"/>
          <w:highlight w:val="none"/>
          <w:lang w:val="en-US" w:eastAsia="zh-CN" w:bidi="ar"/>
        </w:rPr>
        <w:t>．</w:t>
      </w:r>
      <w:r>
        <w:rPr>
          <w:rFonts w:hint="default" w:ascii="Times New Roman" w:hAnsi="Times New Roman" w:eastAsia="仿宋_GB2312" w:cs="Times New Roman"/>
          <w:b w:val="0"/>
          <w:bCs w:val="0"/>
          <w:snapToGrid w:val="0"/>
          <w:color w:val="000000"/>
          <w:sz w:val="32"/>
          <w:szCs w:val="32"/>
          <w:highlight w:val="none"/>
        </w:rPr>
        <w:t>对</w:t>
      </w:r>
      <w:r>
        <w:rPr>
          <w:rFonts w:hint="eastAsia" w:ascii="仿宋_GB2312" w:hAnsi="仿宋_GB2312" w:eastAsia="仿宋_GB2312" w:cs="仿宋_GB2312"/>
          <w:b w:val="0"/>
          <w:bCs w:val="0"/>
          <w:snapToGrid w:val="0"/>
          <w:color w:val="000000"/>
          <w:sz w:val="32"/>
          <w:szCs w:val="32"/>
          <w:highlight w:val="none"/>
        </w:rPr>
        <w:t>符合重要电力用户认定标准的，</w:t>
      </w:r>
      <w:r>
        <w:rPr>
          <w:rFonts w:hint="eastAsia" w:ascii="仿宋_GB2312" w:hAnsi="仿宋_GB2312" w:eastAsia="仿宋_GB2312" w:cs="仿宋_GB2312"/>
          <w:b w:val="0"/>
          <w:bCs w:val="0"/>
          <w:snapToGrid w:val="0"/>
          <w:color w:val="000000"/>
          <w:sz w:val="32"/>
          <w:szCs w:val="32"/>
          <w:highlight w:val="none"/>
          <w:lang w:eastAsia="zh-CN"/>
        </w:rPr>
        <w:t>继续</w:t>
      </w:r>
      <w:r>
        <w:rPr>
          <w:rFonts w:hint="eastAsia" w:ascii="仿宋_GB2312" w:hAnsi="仿宋_GB2312" w:eastAsia="仿宋_GB2312" w:cs="仿宋_GB2312"/>
          <w:b w:val="0"/>
          <w:bCs w:val="0"/>
          <w:snapToGrid w:val="0"/>
          <w:color w:val="000000"/>
          <w:sz w:val="32"/>
          <w:szCs w:val="32"/>
          <w:highlight w:val="none"/>
        </w:rPr>
        <w:t>纳入重要电力用户</w:t>
      </w:r>
      <w:r>
        <w:rPr>
          <w:rFonts w:hint="eastAsia" w:ascii="仿宋_GB2312" w:hAnsi="仿宋_GB2312" w:eastAsia="仿宋_GB2312" w:cs="仿宋_GB2312"/>
          <w:b w:val="0"/>
          <w:bCs w:val="0"/>
          <w:snapToGrid w:val="0"/>
          <w:color w:val="000000"/>
          <w:sz w:val="32"/>
          <w:szCs w:val="32"/>
          <w:highlight w:val="none"/>
          <w:lang w:val="en-US" w:eastAsia="zh-CN"/>
        </w:rPr>
        <w:t>管理</w:t>
      </w:r>
      <w:r>
        <w:rPr>
          <w:rFonts w:hint="eastAsia" w:ascii="仿宋_GB2312" w:hAnsi="仿宋_GB2312" w:eastAsia="仿宋_GB2312" w:cs="仿宋_GB2312"/>
          <w:b w:val="0"/>
          <w:bCs w:val="0"/>
          <w:snapToGrid w:val="0"/>
          <w:color w:val="000000"/>
          <w:sz w:val="32"/>
          <w:szCs w:val="32"/>
          <w:highlight w:val="none"/>
        </w:rPr>
        <w:t>。</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outlineLvl w:val="9"/>
        <w:rPr>
          <w:rFonts w:hint="eastAsia" w:ascii="仿宋_GB2312" w:hAnsi="仿宋_GB2312" w:eastAsia="仿宋_GB2312" w:cs="仿宋_GB2312"/>
          <w:b w:val="0"/>
          <w:bCs w:val="0"/>
          <w:snapToGrid w:val="0"/>
          <w:color w:val="000000"/>
          <w:sz w:val="32"/>
          <w:szCs w:val="32"/>
          <w:highlight w:val="none"/>
          <w:lang w:eastAsia="zh-CN"/>
        </w:rPr>
      </w:pPr>
      <w:r>
        <w:rPr>
          <w:rFonts w:hint="eastAsia" w:ascii="黑体" w:hAnsi="黑体" w:eastAsia="黑体" w:cs="黑体"/>
          <w:b w:val="0"/>
          <w:bCs w:val="0"/>
          <w:snapToGrid w:val="0"/>
          <w:color w:val="000000"/>
          <w:kern w:val="0"/>
          <w:sz w:val="32"/>
          <w:szCs w:val="32"/>
          <w:highlight w:val="none"/>
          <w:lang w:val="en-US" w:eastAsia="zh-CN" w:bidi="ar-SA"/>
        </w:rPr>
        <w:t>第二十一条</w:t>
      </w:r>
      <w:r>
        <w:rPr>
          <w:rFonts w:hint="eastAsia" w:ascii="仿宋_GB2312" w:hAnsi="仿宋_GB2312" w:eastAsia="仿宋_GB2312" w:cs="仿宋_GB2312"/>
          <w:b w:val="0"/>
          <w:bCs w:val="0"/>
          <w:snapToGrid w:val="0"/>
          <w:color w:val="000000"/>
          <w:sz w:val="32"/>
          <w:szCs w:val="32"/>
          <w:highlight w:val="none"/>
          <w:lang w:val="en-US" w:eastAsia="zh-CN"/>
        </w:rPr>
        <w:t xml:space="preserve"> </w:t>
      </w:r>
      <w:r>
        <w:rPr>
          <w:rFonts w:hint="eastAsia" w:ascii="仿宋_GB2312" w:hAnsi="仿宋_GB2312" w:eastAsia="仿宋_GB2312" w:cs="仿宋_GB2312"/>
          <w:b w:val="0"/>
          <w:bCs w:val="0"/>
          <w:snapToGrid w:val="0"/>
          <w:color w:val="000000"/>
          <w:sz w:val="32"/>
          <w:szCs w:val="32"/>
          <w:highlight w:val="none"/>
        </w:rPr>
        <w:t>重要电力用户应按国家有关法律法规、规范标准及电力行业相关规程、规范</w:t>
      </w:r>
      <w:r>
        <w:rPr>
          <w:rFonts w:hint="eastAsia" w:ascii="仿宋_GB2312" w:hAnsi="仿宋_GB2312" w:eastAsia="仿宋_GB2312" w:cs="仿宋_GB2312"/>
          <w:b w:val="0"/>
          <w:bCs w:val="0"/>
          <w:snapToGrid w:val="0"/>
          <w:color w:val="000000"/>
          <w:sz w:val="32"/>
          <w:szCs w:val="32"/>
          <w:highlight w:val="none"/>
          <w:lang w:eastAsia="zh-CN"/>
        </w:rPr>
        <w:t>等</w:t>
      </w:r>
      <w:r>
        <w:rPr>
          <w:rFonts w:hint="eastAsia" w:ascii="仿宋_GB2312" w:hAnsi="仿宋_GB2312" w:eastAsia="仿宋_GB2312" w:cs="仿宋_GB2312"/>
          <w:b w:val="0"/>
          <w:bCs w:val="0"/>
          <w:snapToGrid w:val="0"/>
          <w:color w:val="000000"/>
          <w:sz w:val="32"/>
          <w:szCs w:val="32"/>
          <w:highlight w:val="none"/>
        </w:rPr>
        <w:t>要求，落实用电安全主体责任，切实履行下列</w:t>
      </w:r>
      <w:r>
        <w:rPr>
          <w:rFonts w:hint="eastAsia" w:ascii="仿宋_GB2312" w:hAnsi="仿宋_GB2312" w:eastAsia="仿宋_GB2312" w:cs="仿宋_GB2312"/>
          <w:b w:val="0"/>
          <w:bCs w:val="0"/>
          <w:snapToGrid w:val="0"/>
          <w:color w:val="000000"/>
          <w:sz w:val="32"/>
          <w:szCs w:val="32"/>
          <w:highlight w:val="none"/>
          <w:lang w:eastAsia="zh-CN"/>
        </w:rPr>
        <w:t>职责：</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outlineLvl w:val="9"/>
        <w:rPr>
          <w:rFonts w:hint="eastAsia" w:ascii="仿宋_GB2312" w:hAnsi="仿宋_GB2312" w:eastAsia="仿宋_GB2312" w:cs="仿宋_GB2312"/>
          <w:b w:val="0"/>
          <w:bCs w:val="0"/>
          <w:snapToGrid w:val="0"/>
          <w:color w:val="000000"/>
          <w:sz w:val="32"/>
          <w:szCs w:val="32"/>
          <w:highlight w:val="none"/>
        </w:rPr>
      </w:pPr>
      <w:r>
        <w:rPr>
          <w:rFonts w:hint="eastAsia" w:ascii="仿宋_GB2312" w:hAnsi="仿宋_GB2312" w:eastAsia="仿宋_GB2312" w:cs="仿宋_GB2312"/>
          <w:b w:val="0"/>
          <w:bCs w:val="0"/>
          <w:snapToGrid w:val="0"/>
          <w:color w:val="000000"/>
          <w:sz w:val="32"/>
          <w:szCs w:val="32"/>
          <w:highlight w:val="none"/>
          <w:lang w:val="en-US" w:eastAsia="zh-CN"/>
        </w:rPr>
        <w:t>（一）</w:t>
      </w:r>
      <w:r>
        <w:rPr>
          <w:rFonts w:hint="eastAsia" w:ascii="仿宋_GB2312" w:hAnsi="仿宋_GB2312" w:eastAsia="仿宋_GB2312" w:cs="仿宋_GB2312"/>
          <w:b w:val="0"/>
          <w:bCs w:val="0"/>
          <w:snapToGrid w:val="0"/>
          <w:color w:val="000000"/>
          <w:sz w:val="32"/>
          <w:szCs w:val="32"/>
          <w:highlight w:val="none"/>
        </w:rPr>
        <w:t>重要电力用户应确保供电电源及自备应急电源配置满足国家、行业有关规定，结合本单位实际，建立健全电气设备</w:t>
      </w:r>
      <w:r>
        <w:rPr>
          <w:rFonts w:hint="eastAsia" w:ascii="仿宋_GB2312" w:hAnsi="仿宋_GB2312" w:eastAsia="仿宋_GB2312" w:cs="仿宋_GB2312"/>
          <w:b w:val="0"/>
          <w:bCs w:val="0"/>
          <w:snapToGrid w:val="0"/>
          <w:color w:val="000000"/>
          <w:sz w:val="32"/>
          <w:szCs w:val="32"/>
          <w:highlight w:val="none"/>
          <w:lang w:eastAsia="zh-CN"/>
        </w:rPr>
        <w:t>倒闸操作、事故处理、运行维护等</w:t>
      </w:r>
      <w:r>
        <w:rPr>
          <w:rFonts w:hint="eastAsia" w:ascii="仿宋_GB2312" w:hAnsi="仿宋_GB2312" w:eastAsia="仿宋_GB2312" w:cs="仿宋_GB2312"/>
          <w:b w:val="0"/>
          <w:bCs w:val="0"/>
          <w:snapToGrid w:val="0"/>
          <w:color w:val="000000"/>
          <w:sz w:val="32"/>
          <w:szCs w:val="32"/>
          <w:highlight w:val="none"/>
        </w:rPr>
        <w:t>管理制度，严格执行安全运行的相关规程、规范</w:t>
      </w:r>
      <w:r>
        <w:rPr>
          <w:rFonts w:hint="default" w:ascii="仿宋_GB2312" w:hAnsi="仿宋_GB2312" w:eastAsia="仿宋_GB2312" w:cs="仿宋_GB2312"/>
          <w:b w:val="0"/>
          <w:bCs w:val="0"/>
          <w:snapToGrid w:val="0"/>
          <w:color w:val="000000"/>
          <w:sz w:val="32"/>
          <w:szCs w:val="32"/>
          <w:highlight w:val="none"/>
          <w:lang w:eastAsia="zh-CN"/>
        </w:rPr>
        <w:t>。</w:t>
      </w:r>
      <w:r>
        <w:rPr>
          <w:rFonts w:hint="eastAsia" w:ascii="仿宋_GB2312" w:hAnsi="仿宋_GB2312" w:eastAsia="仿宋_GB2312" w:cs="仿宋_GB2312"/>
          <w:b w:val="0"/>
          <w:bCs w:val="0"/>
          <w:snapToGrid w:val="0"/>
          <w:color w:val="000000"/>
          <w:sz w:val="32"/>
          <w:szCs w:val="32"/>
          <w:highlight w:val="none"/>
          <w:lang w:eastAsia="zh-CN"/>
        </w:rPr>
        <w:t>电气运行维护人员</w:t>
      </w:r>
      <w:r>
        <w:rPr>
          <w:rFonts w:hint="eastAsia" w:ascii="仿宋_GB2312" w:hAnsi="仿宋_GB2312" w:eastAsia="仿宋_GB2312" w:cs="仿宋_GB2312"/>
          <w:b w:val="0"/>
          <w:bCs w:val="0"/>
          <w:snapToGrid w:val="0"/>
          <w:color w:val="000000"/>
          <w:sz w:val="32"/>
          <w:szCs w:val="32"/>
          <w:highlight w:val="none"/>
        </w:rPr>
        <w:t>应持有安全监</w:t>
      </w:r>
      <w:r>
        <w:rPr>
          <w:rFonts w:hint="eastAsia" w:ascii="仿宋_GB2312" w:hAnsi="仿宋_GB2312" w:eastAsia="仿宋_GB2312" w:cs="仿宋_GB2312"/>
          <w:b w:val="0"/>
          <w:bCs w:val="0"/>
          <w:snapToGrid w:val="0"/>
          <w:color w:val="000000"/>
          <w:sz w:val="32"/>
          <w:szCs w:val="32"/>
          <w:highlight w:val="none"/>
          <w:lang w:eastAsia="zh-CN"/>
        </w:rPr>
        <w:t>管部门颁发</w:t>
      </w:r>
      <w:r>
        <w:rPr>
          <w:rFonts w:hint="default" w:ascii="仿宋_GB2312" w:hAnsi="仿宋_GB2312" w:eastAsia="仿宋_GB2312" w:cs="仿宋_GB2312"/>
          <w:b w:val="0"/>
          <w:bCs w:val="0"/>
          <w:snapToGrid w:val="0"/>
          <w:color w:val="000000"/>
          <w:sz w:val="32"/>
          <w:szCs w:val="32"/>
          <w:highlight w:val="none"/>
          <w:lang w:eastAsia="zh-CN"/>
        </w:rPr>
        <w:t>的</w:t>
      </w:r>
      <w:r>
        <w:rPr>
          <w:rFonts w:hint="eastAsia" w:ascii="仿宋_GB2312" w:hAnsi="仿宋_GB2312" w:eastAsia="仿宋_GB2312" w:cs="仿宋_GB2312"/>
          <w:b w:val="0"/>
          <w:bCs w:val="0"/>
          <w:snapToGrid w:val="0"/>
          <w:color w:val="000000"/>
          <w:sz w:val="32"/>
          <w:szCs w:val="32"/>
          <w:highlight w:val="none"/>
          <w:lang w:eastAsia="zh-CN"/>
        </w:rPr>
        <w:t>《特种作业操作证（电工）》或能源监管部门颁发的《电工进网作业许可证》，持证上岗</w:t>
      </w:r>
      <w:r>
        <w:rPr>
          <w:rFonts w:hint="eastAsia" w:ascii="仿宋_GB2312" w:hAnsi="仿宋_GB2312" w:eastAsia="仿宋_GB2312" w:cs="仿宋_GB2312"/>
          <w:b w:val="0"/>
          <w:bCs w:val="0"/>
          <w:snapToGrid w:val="0"/>
          <w:color w:val="000000"/>
          <w:sz w:val="32"/>
          <w:szCs w:val="32"/>
          <w:highlight w:val="none"/>
        </w:rPr>
        <w:t>。</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outlineLvl w:val="9"/>
        <w:rPr>
          <w:rFonts w:hint="eastAsia" w:ascii="仿宋_GB2312" w:hAnsi="仿宋_GB2312" w:eastAsia="仿宋_GB2312" w:cs="仿宋_GB2312"/>
          <w:b w:val="0"/>
          <w:bCs w:val="0"/>
          <w:strike w:val="0"/>
          <w:dstrike w:val="0"/>
          <w:snapToGrid w:val="0"/>
          <w:color w:val="000000"/>
          <w:sz w:val="32"/>
          <w:szCs w:val="32"/>
          <w:highlight w:val="none"/>
        </w:rPr>
      </w:pPr>
      <w:r>
        <w:rPr>
          <w:rFonts w:hint="eastAsia" w:ascii="仿宋_GB2312" w:hAnsi="仿宋_GB2312" w:eastAsia="仿宋_GB2312" w:cs="仿宋_GB2312"/>
          <w:b w:val="0"/>
          <w:bCs w:val="0"/>
          <w:snapToGrid w:val="0"/>
          <w:color w:val="000000"/>
          <w:sz w:val="32"/>
          <w:szCs w:val="32"/>
          <w:highlight w:val="none"/>
          <w:lang w:val="en-US" w:eastAsia="zh-CN"/>
        </w:rPr>
        <w:t>（二）</w:t>
      </w:r>
      <w:r>
        <w:rPr>
          <w:rFonts w:hint="eastAsia" w:ascii="仿宋_GB2312" w:hAnsi="仿宋_GB2312" w:eastAsia="仿宋_GB2312" w:cs="仿宋_GB2312"/>
          <w:b w:val="0"/>
          <w:bCs w:val="0"/>
          <w:snapToGrid w:val="0"/>
          <w:color w:val="000000"/>
          <w:sz w:val="32"/>
          <w:szCs w:val="32"/>
          <w:highlight w:val="none"/>
        </w:rPr>
        <w:t>重要电力用户</w:t>
      </w:r>
      <w:r>
        <w:rPr>
          <w:rFonts w:hint="eastAsia" w:ascii="仿宋_GB2312" w:hAnsi="仿宋_GB2312" w:eastAsia="仿宋_GB2312" w:cs="仿宋_GB2312"/>
          <w:b w:val="0"/>
          <w:bCs w:val="0"/>
          <w:snapToGrid w:val="0"/>
          <w:color w:val="000000"/>
          <w:sz w:val="32"/>
          <w:szCs w:val="32"/>
          <w:highlight w:val="none"/>
          <w:lang w:val="en-US" w:eastAsia="zh-CN"/>
        </w:rPr>
        <w:t>的</w:t>
      </w:r>
      <w:r>
        <w:rPr>
          <w:rFonts w:hint="eastAsia" w:ascii="仿宋_GB2312" w:hAnsi="仿宋_GB2312" w:eastAsia="仿宋_GB2312" w:cs="仿宋_GB2312"/>
          <w:b w:val="0"/>
          <w:bCs w:val="0"/>
          <w:snapToGrid w:val="0"/>
          <w:color w:val="000000"/>
          <w:sz w:val="32"/>
          <w:szCs w:val="32"/>
          <w:highlight w:val="none"/>
        </w:rPr>
        <w:t>变</w:t>
      </w:r>
      <w:r>
        <w:rPr>
          <w:rFonts w:hint="eastAsia" w:ascii="仿宋_GB2312" w:hAnsi="仿宋_GB2312" w:eastAsia="仿宋_GB2312" w:cs="仿宋_GB2312"/>
          <w:b w:val="0"/>
          <w:bCs w:val="0"/>
          <w:snapToGrid w:val="0"/>
          <w:color w:val="000000"/>
          <w:sz w:val="32"/>
          <w:szCs w:val="32"/>
          <w:highlight w:val="none"/>
          <w:lang w:val="en-US" w:eastAsia="zh-CN"/>
        </w:rPr>
        <w:t>电、</w:t>
      </w:r>
      <w:r>
        <w:rPr>
          <w:rFonts w:hint="eastAsia" w:ascii="仿宋_GB2312" w:hAnsi="仿宋_GB2312" w:eastAsia="仿宋_GB2312" w:cs="仿宋_GB2312"/>
          <w:b w:val="0"/>
          <w:bCs w:val="0"/>
          <w:snapToGrid w:val="0"/>
          <w:color w:val="000000"/>
          <w:sz w:val="32"/>
          <w:szCs w:val="32"/>
          <w:highlight w:val="none"/>
        </w:rPr>
        <w:t>配电</w:t>
      </w:r>
      <w:r>
        <w:rPr>
          <w:rFonts w:hint="eastAsia" w:ascii="仿宋_GB2312" w:hAnsi="仿宋_GB2312" w:eastAsia="仿宋_GB2312" w:cs="仿宋_GB2312"/>
          <w:b w:val="0"/>
          <w:bCs w:val="0"/>
          <w:snapToGrid w:val="0"/>
          <w:color w:val="000000"/>
          <w:sz w:val="32"/>
          <w:szCs w:val="32"/>
          <w:highlight w:val="none"/>
          <w:lang w:eastAsia="zh-CN"/>
        </w:rPr>
        <w:t>设施</w:t>
      </w:r>
      <w:r>
        <w:rPr>
          <w:rFonts w:hint="eastAsia" w:ascii="仿宋_GB2312" w:hAnsi="仿宋_GB2312" w:eastAsia="仿宋_GB2312" w:cs="仿宋_GB2312"/>
          <w:b w:val="0"/>
          <w:bCs w:val="0"/>
          <w:snapToGrid w:val="0"/>
          <w:color w:val="000000"/>
          <w:sz w:val="32"/>
          <w:szCs w:val="32"/>
          <w:highlight w:val="none"/>
        </w:rPr>
        <w:t>和用电设备配置应当符合国家、行业标准。</w:t>
      </w:r>
      <w:r>
        <w:rPr>
          <w:rFonts w:hint="eastAsia" w:ascii="仿宋_GB2312" w:hAnsi="仿宋_GB2312" w:eastAsia="仿宋_GB2312" w:cs="仿宋_GB2312"/>
          <w:b w:val="0"/>
          <w:bCs w:val="0"/>
          <w:strike w:val="0"/>
          <w:dstrike w:val="0"/>
          <w:snapToGrid w:val="0"/>
          <w:color w:val="000000"/>
          <w:kern w:val="0"/>
          <w:sz w:val="32"/>
          <w:szCs w:val="32"/>
          <w:highlight w:val="none"/>
          <w:lang w:val="en-US" w:eastAsia="zh-CN" w:bidi="ar-SA"/>
        </w:rPr>
        <w:t>重要电力用户的一、二级负荷设备及电源接线方发生变化，应及时书面告知供电企业。</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outlineLvl w:val="9"/>
        <w:rPr>
          <w:rFonts w:hint="eastAsia" w:ascii="仿宋_GB2312" w:hAnsi="仿宋_GB2312" w:eastAsia="仿宋_GB2312" w:cs="仿宋_GB2312"/>
          <w:b w:val="0"/>
          <w:bCs w:val="0"/>
          <w:snapToGrid w:val="0"/>
          <w:color w:val="000000"/>
          <w:sz w:val="32"/>
          <w:szCs w:val="32"/>
          <w:highlight w:val="none"/>
        </w:rPr>
      </w:pPr>
      <w:r>
        <w:rPr>
          <w:rFonts w:hint="eastAsia" w:ascii="仿宋_GB2312" w:hAnsi="仿宋_GB2312" w:eastAsia="仿宋_GB2312" w:cs="仿宋_GB2312"/>
          <w:b w:val="0"/>
          <w:bCs w:val="0"/>
          <w:snapToGrid w:val="0"/>
          <w:color w:val="000000"/>
          <w:sz w:val="32"/>
          <w:szCs w:val="32"/>
          <w:highlight w:val="none"/>
          <w:lang w:val="en-US" w:eastAsia="zh-CN"/>
        </w:rPr>
        <w:t>（三）</w:t>
      </w:r>
      <w:r>
        <w:rPr>
          <w:rFonts w:hint="eastAsia" w:ascii="仿宋_GB2312" w:hAnsi="仿宋_GB2312" w:eastAsia="仿宋_GB2312" w:cs="仿宋_GB2312"/>
          <w:b w:val="0"/>
          <w:bCs w:val="0"/>
          <w:snapToGrid w:val="0"/>
          <w:sz w:val="32"/>
          <w:szCs w:val="32"/>
          <w:highlight w:val="none"/>
        </w:rPr>
        <w:t>重要电力用户</w:t>
      </w:r>
      <w:r>
        <w:rPr>
          <w:rFonts w:hint="eastAsia" w:ascii="仿宋_GB2312" w:hAnsi="仿宋_GB2312" w:eastAsia="仿宋_GB2312" w:cs="仿宋_GB2312"/>
          <w:b w:val="0"/>
          <w:bCs w:val="0"/>
          <w:snapToGrid w:val="0"/>
          <w:sz w:val="32"/>
          <w:szCs w:val="32"/>
          <w:highlight w:val="none"/>
          <w:lang w:eastAsia="zh-CN"/>
        </w:rPr>
        <w:t>在供电企业发布电网风险预警通知后，</w:t>
      </w:r>
      <w:r>
        <w:rPr>
          <w:rFonts w:hint="eastAsia" w:ascii="仿宋_GB2312" w:hAnsi="仿宋_GB2312" w:eastAsia="仿宋_GB2312" w:cs="仿宋_GB2312"/>
          <w:b w:val="0"/>
          <w:bCs w:val="0"/>
          <w:snapToGrid w:val="0"/>
          <w:color w:val="000000"/>
          <w:sz w:val="32"/>
          <w:szCs w:val="32"/>
          <w:highlight w:val="none"/>
        </w:rPr>
        <w:t>应根据生产运行实际和用电负荷特性，做好自备应急电源调试启动准备，</w:t>
      </w:r>
      <w:r>
        <w:rPr>
          <w:rFonts w:hint="eastAsia" w:ascii="仿宋_GB2312" w:hAnsi="仿宋_GB2312" w:eastAsia="仿宋_GB2312" w:cs="仿宋_GB2312"/>
          <w:b w:val="0"/>
          <w:bCs w:val="0"/>
          <w:snapToGrid w:val="0"/>
          <w:color w:val="000000"/>
          <w:sz w:val="32"/>
          <w:szCs w:val="32"/>
          <w:highlight w:val="none"/>
          <w:lang w:eastAsia="zh-CN"/>
        </w:rPr>
        <w:t>加强设备运维检查，</w:t>
      </w:r>
      <w:r>
        <w:rPr>
          <w:rFonts w:hint="eastAsia" w:ascii="仿宋_GB2312" w:hAnsi="仿宋_GB2312" w:eastAsia="仿宋_GB2312" w:cs="仿宋_GB2312"/>
          <w:b w:val="0"/>
          <w:bCs w:val="0"/>
          <w:snapToGrid w:val="0"/>
          <w:color w:val="000000"/>
          <w:sz w:val="32"/>
          <w:szCs w:val="32"/>
          <w:highlight w:val="none"/>
        </w:rPr>
        <w:t>合理</w:t>
      </w:r>
      <w:r>
        <w:rPr>
          <w:rFonts w:hint="eastAsia" w:ascii="仿宋_GB2312" w:hAnsi="仿宋_GB2312" w:eastAsia="仿宋_GB2312" w:cs="仿宋_GB2312"/>
          <w:b w:val="0"/>
          <w:bCs w:val="0"/>
          <w:snapToGrid w:val="0"/>
          <w:color w:val="000000"/>
          <w:sz w:val="32"/>
          <w:szCs w:val="32"/>
          <w:highlight w:val="none"/>
          <w:lang w:eastAsia="zh-CN"/>
        </w:rPr>
        <w:t>安排生产</w:t>
      </w:r>
      <w:r>
        <w:rPr>
          <w:rFonts w:hint="eastAsia" w:ascii="仿宋_GB2312" w:hAnsi="仿宋_GB2312" w:eastAsia="仿宋_GB2312" w:cs="仿宋_GB2312"/>
          <w:b w:val="0"/>
          <w:bCs w:val="0"/>
          <w:snapToGrid w:val="0"/>
          <w:color w:val="000000"/>
          <w:sz w:val="32"/>
          <w:szCs w:val="32"/>
          <w:highlight w:val="none"/>
        </w:rPr>
        <w:t>等</w:t>
      </w:r>
      <w:r>
        <w:rPr>
          <w:rFonts w:hint="eastAsia" w:ascii="仿宋_GB2312" w:hAnsi="仿宋_GB2312" w:eastAsia="仿宋_GB2312" w:cs="仿宋_GB2312"/>
          <w:b w:val="0"/>
          <w:bCs w:val="0"/>
          <w:snapToGrid w:val="0"/>
          <w:color w:val="000000"/>
          <w:sz w:val="32"/>
          <w:szCs w:val="32"/>
          <w:highlight w:val="none"/>
          <w:lang w:eastAsia="zh-CN"/>
        </w:rPr>
        <w:t>应对</w:t>
      </w:r>
      <w:r>
        <w:rPr>
          <w:rFonts w:hint="eastAsia" w:ascii="仿宋_GB2312" w:hAnsi="仿宋_GB2312" w:eastAsia="仿宋_GB2312" w:cs="仿宋_GB2312"/>
          <w:b w:val="0"/>
          <w:bCs w:val="0"/>
          <w:snapToGrid w:val="0"/>
          <w:color w:val="000000"/>
          <w:sz w:val="32"/>
          <w:szCs w:val="32"/>
          <w:highlight w:val="none"/>
        </w:rPr>
        <w:t>措施。</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rPr>
        <w:t>（四）</w:t>
      </w:r>
      <w:r>
        <w:rPr>
          <w:rFonts w:hint="eastAsia" w:ascii="仿宋_GB2312" w:hAnsi="仿宋_GB2312" w:eastAsia="仿宋_GB2312" w:cs="仿宋_GB2312"/>
          <w:b w:val="0"/>
          <w:bCs w:val="0"/>
          <w:snapToGrid w:val="0"/>
          <w:color w:val="000000"/>
          <w:sz w:val="32"/>
          <w:szCs w:val="32"/>
          <w:highlight w:val="none"/>
        </w:rPr>
        <w:t>重要电力用户应按照国家、行业有关标准中预防性试验及检修周期要求，自行委托</w:t>
      </w:r>
      <w:r>
        <w:rPr>
          <w:rFonts w:hint="eastAsia" w:ascii="仿宋_GB2312" w:hAnsi="仿宋_GB2312" w:eastAsia="仿宋_GB2312" w:cs="仿宋_GB2312"/>
          <w:b w:val="0"/>
          <w:bCs w:val="0"/>
          <w:snapToGrid w:val="0"/>
          <w:color w:val="000000"/>
          <w:sz w:val="32"/>
          <w:szCs w:val="32"/>
          <w:highlight w:val="none"/>
          <w:lang w:eastAsia="zh-CN"/>
        </w:rPr>
        <w:t>具有</w:t>
      </w:r>
      <w:r>
        <w:rPr>
          <w:rFonts w:hint="eastAsia" w:ascii="仿宋_GB2312" w:hAnsi="仿宋_GB2312" w:eastAsia="仿宋_GB2312" w:cs="仿宋_GB2312"/>
          <w:b w:val="0"/>
          <w:bCs w:val="0"/>
          <w:snapToGrid w:val="0"/>
          <w:color w:val="000000"/>
          <w:sz w:val="32"/>
          <w:szCs w:val="32"/>
          <w:highlight w:val="none"/>
        </w:rPr>
        <w:t>相应</w:t>
      </w:r>
      <w:r>
        <w:rPr>
          <w:rFonts w:hint="eastAsia" w:ascii="仿宋_GB2312" w:hAnsi="仿宋_GB2312" w:eastAsia="仿宋_GB2312" w:cs="仿宋_GB2312"/>
          <w:b w:val="0"/>
          <w:bCs w:val="0"/>
          <w:snapToGrid w:val="0"/>
          <w:color w:val="000000"/>
          <w:sz w:val="32"/>
          <w:szCs w:val="32"/>
          <w:highlight w:val="none"/>
          <w:lang w:eastAsia="zh-CN"/>
        </w:rPr>
        <w:t>资质</w:t>
      </w:r>
      <w:r>
        <w:rPr>
          <w:rFonts w:hint="eastAsia" w:ascii="仿宋_GB2312" w:hAnsi="仿宋_GB2312" w:eastAsia="仿宋_GB2312" w:cs="仿宋_GB2312"/>
          <w:b w:val="0"/>
          <w:bCs w:val="0"/>
          <w:snapToGrid w:val="0"/>
          <w:color w:val="000000"/>
          <w:sz w:val="32"/>
          <w:szCs w:val="32"/>
          <w:highlight w:val="none"/>
        </w:rPr>
        <w:t>的《承装(修、试)电力设施许可证》</w:t>
      </w:r>
      <w:r>
        <w:rPr>
          <w:rFonts w:hint="eastAsia" w:ascii="仿宋_GB2312" w:hAnsi="仿宋_GB2312" w:eastAsia="仿宋_GB2312" w:cs="仿宋_GB2312"/>
          <w:b w:val="0"/>
          <w:bCs w:val="0"/>
          <w:snapToGrid w:val="0"/>
          <w:color w:val="000000"/>
          <w:sz w:val="32"/>
          <w:szCs w:val="32"/>
          <w:highlight w:val="none"/>
          <w:lang w:eastAsia="zh-CN"/>
        </w:rPr>
        <w:t>单位</w:t>
      </w:r>
      <w:r>
        <w:rPr>
          <w:rFonts w:hint="eastAsia" w:ascii="仿宋_GB2312" w:hAnsi="仿宋_GB2312" w:eastAsia="仿宋_GB2312" w:cs="仿宋_GB2312"/>
          <w:b w:val="0"/>
          <w:bCs w:val="0"/>
          <w:snapToGrid w:val="0"/>
          <w:color w:val="000000"/>
          <w:sz w:val="32"/>
          <w:szCs w:val="32"/>
          <w:highlight w:val="none"/>
        </w:rPr>
        <w:t>，定期对电气设备进行检修试验，及时消除</w:t>
      </w:r>
      <w:r>
        <w:rPr>
          <w:rFonts w:hint="eastAsia" w:ascii="仿宋_GB2312" w:hAnsi="仿宋_GB2312" w:eastAsia="仿宋_GB2312" w:cs="仿宋_GB2312"/>
          <w:b w:val="0"/>
          <w:bCs w:val="0"/>
          <w:snapToGrid w:val="0"/>
          <w:color w:val="000000"/>
          <w:sz w:val="32"/>
          <w:szCs w:val="32"/>
          <w:highlight w:val="none"/>
          <w:lang w:eastAsia="zh-CN"/>
        </w:rPr>
        <w:t>用电</w:t>
      </w:r>
      <w:r>
        <w:rPr>
          <w:rFonts w:hint="eastAsia" w:ascii="仿宋_GB2312" w:hAnsi="仿宋_GB2312" w:eastAsia="仿宋_GB2312" w:cs="仿宋_GB2312"/>
          <w:b w:val="0"/>
          <w:bCs w:val="0"/>
          <w:snapToGrid w:val="0"/>
          <w:color w:val="000000"/>
          <w:sz w:val="32"/>
          <w:szCs w:val="32"/>
          <w:highlight w:val="none"/>
        </w:rPr>
        <w:t>安全隐患。</w:t>
      </w:r>
      <w:r>
        <w:rPr>
          <w:rFonts w:hint="eastAsia" w:ascii="仿宋_GB2312" w:hAnsi="仿宋_GB2312" w:eastAsia="仿宋_GB2312" w:cs="仿宋_GB2312"/>
          <w:b w:val="0"/>
          <w:bCs w:val="0"/>
          <w:snapToGrid w:val="0"/>
          <w:color w:val="000000"/>
          <w:sz w:val="32"/>
          <w:szCs w:val="32"/>
          <w:highlight w:val="none"/>
          <w:lang w:eastAsia="zh-CN"/>
        </w:rPr>
        <w:t>试验超期或停用超过半年设备</w:t>
      </w:r>
      <w:r>
        <w:rPr>
          <w:rFonts w:hint="eastAsia" w:ascii="仿宋_GB2312" w:hAnsi="仿宋_GB2312" w:eastAsia="仿宋_GB2312" w:cs="仿宋_GB2312"/>
          <w:b w:val="0"/>
          <w:bCs w:val="0"/>
          <w:snapToGrid w:val="0"/>
          <w:color w:val="000000"/>
          <w:kern w:val="0"/>
          <w:sz w:val="32"/>
          <w:szCs w:val="32"/>
          <w:highlight w:val="none"/>
          <w:lang w:val="en-US" w:eastAsia="zh-CN" w:bidi="ar-SA"/>
        </w:rPr>
        <w:t>投运前应进行预防性试验。故障设备必须经过必要更换或试验合格后方可重新投入运行。</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kern w:val="0"/>
          <w:sz w:val="32"/>
          <w:szCs w:val="32"/>
          <w:highlight w:val="none"/>
          <w:lang w:val="en-US" w:eastAsia="zh-CN" w:bidi="ar-SA"/>
        </w:rPr>
        <w:t>（五）重要电力用户因内部故障引发停电时，立即告知当地供电企业、政府电力管理部门、行业安全生产管理部门和直接监管责任部门，供电企业应及时指导用户排除故障，帮助用户尽快恢复正常用电。</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kern w:val="0"/>
          <w:sz w:val="32"/>
          <w:szCs w:val="32"/>
          <w:highlight w:val="none"/>
          <w:lang w:val="en-US" w:eastAsia="zh-CN" w:bidi="ar-SA"/>
        </w:rPr>
        <w:t>（六）因重大活动、重要事件、重点时段等需要临时特殊供电保障的，供电企业、电力用户应根据实际需要，按照重要电力用户相关标准，共同做好供用电保障工作。</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outlineLvl w:val="9"/>
        <w:rPr>
          <w:rFonts w:hint="eastAsia" w:ascii="仿宋_GB2312" w:hAnsi="仿宋_GB2312" w:eastAsia="仿宋_GB2312" w:cs="仿宋_GB2312"/>
          <w:b w:val="0"/>
          <w:bCs w:val="0"/>
          <w:snapToGrid w:val="0"/>
          <w:color w:val="000000"/>
          <w:sz w:val="32"/>
          <w:szCs w:val="32"/>
          <w:highlight w:val="none"/>
          <w:lang w:eastAsia="zh-CN"/>
        </w:rPr>
      </w:pPr>
      <w:r>
        <w:rPr>
          <w:rFonts w:hint="eastAsia" w:ascii="黑体" w:hAnsi="黑体" w:eastAsia="黑体" w:cs="黑体"/>
          <w:b w:val="0"/>
          <w:bCs w:val="0"/>
          <w:snapToGrid w:val="0"/>
          <w:color w:val="000000"/>
          <w:kern w:val="0"/>
          <w:sz w:val="32"/>
          <w:szCs w:val="32"/>
          <w:highlight w:val="none"/>
          <w:lang w:val="en-US" w:eastAsia="zh-CN" w:bidi="ar-SA"/>
        </w:rPr>
        <w:t>第二十二条</w:t>
      </w:r>
      <w:r>
        <w:rPr>
          <w:rFonts w:hint="eastAsia" w:ascii="仿宋_GB2312" w:hAnsi="仿宋_GB2312" w:eastAsia="仿宋_GB2312" w:cs="仿宋_GB2312"/>
          <w:b w:val="0"/>
          <w:bCs w:val="0"/>
          <w:snapToGrid w:val="0"/>
          <w:color w:val="000000"/>
          <w:kern w:val="0"/>
          <w:sz w:val="32"/>
          <w:szCs w:val="32"/>
          <w:highlight w:val="none"/>
          <w:lang w:val="en-US" w:eastAsia="zh-CN" w:bidi="ar-SA"/>
        </w:rPr>
        <w:t xml:space="preserve"> </w:t>
      </w:r>
      <w:r>
        <w:rPr>
          <w:rFonts w:hint="eastAsia" w:ascii="仿宋_GB2312" w:hAnsi="仿宋_GB2312" w:eastAsia="仿宋_GB2312" w:cs="仿宋_GB2312"/>
          <w:b w:val="0"/>
          <w:bCs w:val="0"/>
          <w:snapToGrid w:val="0"/>
          <w:color w:val="000000"/>
          <w:sz w:val="32"/>
          <w:szCs w:val="32"/>
          <w:highlight w:val="none"/>
          <w:lang w:eastAsia="zh-CN"/>
        </w:rPr>
        <w:t>供电企业应</w:t>
      </w:r>
      <w:r>
        <w:rPr>
          <w:rFonts w:hint="eastAsia" w:ascii="仿宋_GB2312" w:hAnsi="仿宋_GB2312" w:eastAsia="仿宋_GB2312" w:cs="仿宋_GB2312"/>
          <w:b w:val="0"/>
          <w:bCs w:val="0"/>
          <w:snapToGrid w:val="0"/>
          <w:color w:val="000000"/>
          <w:sz w:val="32"/>
          <w:szCs w:val="32"/>
          <w:highlight w:val="none"/>
        </w:rPr>
        <w:t>指导</w:t>
      </w:r>
      <w:r>
        <w:rPr>
          <w:rFonts w:hint="eastAsia" w:ascii="仿宋_GB2312" w:hAnsi="仿宋_GB2312" w:eastAsia="仿宋_GB2312" w:cs="仿宋_GB2312"/>
          <w:b w:val="0"/>
          <w:bCs w:val="0"/>
          <w:snapToGrid w:val="0"/>
          <w:color w:val="000000"/>
          <w:sz w:val="32"/>
          <w:szCs w:val="32"/>
          <w:highlight w:val="none"/>
          <w:lang w:eastAsia="zh-CN"/>
        </w:rPr>
        <w:t>重要</w:t>
      </w:r>
      <w:r>
        <w:rPr>
          <w:rFonts w:hint="eastAsia" w:ascii="仿宋_GB2312" w:hAnsi="仿宋_GB2312" w:eastAsia="仿宋_GB2312" w:cs="仿宋_GB2312"/>
          <w:b w:val="0"/>
          <w:bCs w:val="0"/>
          <w:snapToGrid w:val="0"/>
          <w:color w:val="000000"/>
          <w:sz w:val="32"/>
          <w:szCs w:val="32"/>
          <w:highlight w:val="none"/>
        </w:rPr>
        <w:t>电力用户加强内部电力设备的安全管理</w:t>
      </w:r>
      <w:r>
        <w:rPr>
          <w:rFonts w:hint="eastAsia" w:ascii="仿宋_GB2312" w:hAnsi="仿宋_GB2312" w:eastAsia="仿宋_GB2312" w:cs="仿宋_GB2312"/>
          <w:b w:val="0"/>
          <w:bCs w:val="0"/>
          <w:snapToGrid w:val="0"/>
          <w:color w:val="000000"/>
          <w:sz w:val="32"/>
          <w:szCs w:val="32"/>
          <w:highlight w:val="none"/>
          <w:lang w:eastAsia="zh-CN"/>
        </w:rPr>
        <w:t>，</w:t>
      </w:r>
      <w:r>
        <w:rPr>
          <w:rFonts w:hint="eastAsia" w:ascii="仿宋_GB2312" w:hAnsi="仿宋_GB2312" w:eastAsia="仿宋_GB2312" w:cs="仿宋_GB2312"/>
          <w:b w:val="0"/>
          <w:bCs w:val="0"/>
          <w:snapToGrid w:val="0"/>
          <w:color w:val="000000"/>
          <w:sz w:val="32"/>
          <w:szCs w:val="32"/>
          <w:highlight w:val="none"/>
        </w:rPr>
        <w:t>督促</w:t>
      </w:r>
      <w:r>
        <w:rPr>
          <w:rFonts w:hint="eastAsia" w:ascii="仿宋_GB2312" w:hAnsi="仿宋_GB2312" w:eastAsia="仿宋_GB2312" w:cs="仿宋_GB2312"/>
          <w:b w:val="0"/>
          <w:bCs w:val="0"/>
          <w:snapToGrid w:val="0"/>
          <w:color w:val="000000"/>
          <w:sz w:val="32"/>
          <w:szCs w:val="32"/>
          <w:highlight w:val="none"/>
          <w:lang w:eastAsia="zh-CN"/>
        </w:rPr>
        <w:t>重要</w:t>
      </w:r>
      <w:r>
        <w:rPr>
          <w:rFonts w:hint="eastAsia" w:ascii="仿宋_GB2312" w:hAnsi="仿宋_GB2312" w:eastAsia="仿宋_GB2312" w:cs="仿宋_GB2312"/>
          <w:b w:val="0"/>
          <w:bCs w:val="0"/>
          <w:snapToGrid w:val="0"/>
          <w:color w:val="000000"/>
          <w:sz w:val="32"/>
          <w:szCs w:val="32"/>
          <w:highlight w:val="none"/>
        </w:rPr>
        <w:t>电力用户按照</w:t>
      </w:r>
      <w:r>
        <w:rPr>
          <w:rFonts w:hint="eastAsia" w:ascii="仿宋_GB2312" w:hAnsi="仿宋_GB2312" w:eastAsia="仿宋_GB2312" w:cs="仿宋_GB2312"/>
          <w:b w:val="0"/>
          <w:bCs w:val="0"/>
          <w:snapToGrid w:val="0"/>
          <w:color w:val="000000"/>
          <w:sz w:val="32"/>
          <w:szCs w:val="32"/>
          <w:highlight w:val="none"/>
          <w:lang w:eastAsia="zh-CN"/>
        </w:rPr>
        <w:t>本办法</w:t>
      </w:r>
      <w:r>
        <w:rPr>
          <w:rFonts w:hint="eastAsia" w:ascii="仿宋_GB2312" w:hAnsi="仿宋_GB2312" w:eastAsia="仿宋_GB2312" w:cs="仿宋_GB2312"/>
          <w:b w:val="0"/>
          <w:bCs w:val="0"/>
          <w:snapToGrid w:val="0"/>
          <w:color w:val="000000"/>
          <w:sz w:val="32"/>
          <w:szCs w:val="32"/>
          <w:highlight w:val="none"/>
        </w:rPr>
        <w:t>有关规定要求，配置必要的应急电源，满足保安负荷的用电需求，</w:t>
      </w:r>
      <w:r>
        <w:rPr>
          <w:rFonts w:hint="eastAsia" w:ascii="仿宋_GB2312" w:hAnsi="仿宋_GB2312" w:eastAsia="仿宋_GB2312" w:cs="仿宋_GB2312"/>
          <w:b w:val="0"/>
          <w:bCs w:val="0"/>
          <w:snapToGrid w:val="0"/>
          <w:color w:val="000000"/>
          <w:sz w:val="32"/>
          <w:szCs w:val="32"/>
          <w:highlight w:val="none"/>
          <w:lang w:eastAsia="zh-CN"/>
        </w:rPr>
        <w:t>防范</w:t>
      </w:r>
      <w:r>
        <w:rPr>
          <w:rFonts w:hint="eastAsia" w:ascii="仿宋_GB2312" w:hAnsi="仿宋_GB2312" w:eastAsia="仿宋_GB2312" w:cs="仿宋_GB2312"/>
          <w:b w:val="0"/>
          <w:bCs w:val="0"/>
          <w:snapToGrid w:val="0"/>
          <w:color w:val="000000"/>
          <w:sz w:val="32"/>
          <w:szCs w:val="32"/>
          <w:highlight w:val="none"/>
        </w:rPr>
        <w:t>供电中断引发事故和次生灾害</w:t>
      </w:r>
      <w:r>
        <w:rPr>
          <w:rFonts w:hint="eastAsia" w:ascii="仿宋_GB2312" w:hAnsi="仿宋_GB2312" w:eastAsia="仿宋_GB2312" w:cs="仿宋_GB2312"/>
          <w:b w:val="0"/>
          <w:bCs w:val="0"/>
          <w:snapToGrid w:val="0"/>
          <w:color w:val="000000"/>
          <w:kern w:val="0"/>
          <w:sz w:val="32"/>
          <w:szCs w:val="32"/>
          <w:highlight w:val="none"/>
          <w:lang w:val="en-US" w:eastAsia="zh-CN" w:bidi="ar-SA"/>
        </w:rPr>
        <w:t>，同时履行下</w:t>
      </w:r>
      <w:r>
        <w:rPr>
          <w:rFonts w:hint="eastAsia" w:ascii="仿宋_GB2312" w:hAnsi="仿宋_GB2312" w:eastAsia="仿宋_GB2312" w:cs="仿宋_GB2312"/>
          <w:b w:val="0"/>
          <w:bCs w:val="0"/>
          <w:snapToGrid w:val="0"/>
          <w:color w:val="000000"/>
          <w:sz w:val="32"/>
          <w:szCs w:val="32"/>
          <w:highlight w:val="none"/>
          <w:lang w:val="en-US" w:eastAsia="zh-CN"/>
        </w:rPr>
        <w:t>列职责：</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outlineLvl w:val="9"/>
        <w:rPr>
          <w:rFonts w:hint="eastAsia" w:ascii="仿宋_GB2312" w:hAnsi="仿宋_GB2312" w:eastAsia="仿宋_GB2312" w:cs="仿宋_GB2312"/>
          <w:b w:val="0"/>
          <w:bCs w:val="0"/>
          <w:snapToGrid w:val="0"/>
          <w:color w:val="000000"/>
          <w:sz w:val="32"/>
          <w:szCs w:val="32"/>
          <w:highlight w:val="none"/>
          <w:lang w:eastAsia="zh-CN"/>
        </w:rPr>
      </w:pPr>
      <w:r>
        <w:rPr>
          <w:rFonts w:hint="eastAsia" w:ascii="仿宋_GB2312" w:hAnsi="仿宋_GB2312" w:eastAsia="仿宋_GB2312" w:cs="仿宋_GB2312"/>
          <w:b w:val="0"/>
          <w:bCs w:val="0"/>
          <w:snapToGrid w:val="0"/>
          <w:color w:val="000000"/>
          <w:sz w:val="32"/>
          <w:szCs w:val="32"/>
          <w:highlight w:val="none"/>
          <w:lang w:val="en-US" w:eastAsia="zh-CN"/>
        </w:rPr>
        <w:t>（一）供电企业应</w:t>
      </w:r>
      <w:r>
        <w:rPr>
          <w:rFonts w:hint="eastAsia" w:ascii="仿宋_GB2312" w:hAnsi="仿宋_GB2312" w:eastAsia="仿宋_GB2312" w:cs="仿宋_GB2312"/>
          <w:b w:val="0"/>
          <w:bCs w:val="0"/>
          <w:snapToGrid w:val="0"/>
          <w:color w:val="000000"/>
          <w:sz w:val="32"/>
          <w:szCs w:val="32"/>
          <w:highlight w:val="none"/>
        </w:rPr>
        <w:t>加强涉及重要</w:t>
      </w:r>
      <w:r>
        <w:rPr>
          <w:rFonts w:hint="eastAsia" w:ascii="仿宋_GB2312" w:hAnsi="仿宋_GB2312" w:eastAsia="仿宋_GB2312" w:cs="仿宋_GB2312"/>
          <w:b w:val="0"/>
          <w:bCs w:val="0"/>
          <w:snapToGrid w:val="0"/>
          <w:color w:val="000000"/>
          <w:sz w:val="32"/>
          <w:szCs w:val="32"/>
          <w:highlight w:val="none"/>
          <w:lang w:eastAsia="zh-CN"/>
        </w:rPr>
        <w:t>电力</w:t>
      </w:r>
      <w:r>
        <w:rPr>
          <w:rFonts w:hint="eastAsia" w:ascii="仿宋_GB2312" w:hAnsi="仿宋_GB2312" w:eastAsia="仿宋_GB2312" w:cs="仿宋_GB2312"/>
          <w:b w:val="0"/>
          <w:bCs w:val="0"/>
          <w:snapToGrid w:val="0"/>
          <w:color w:val="000000"/>
          <w:sz w:val="32"/>
          <w:szCs w:val="32"/>
          <w:highlight w:val="none"/>
        </w:rPr>
        <w:t>用户的输、变、配电力设施的运行维护，及时消除供电</w:t>
      </w:r>
      <w:r>
        <w:rPr>
          <w:rFonts w:hint="eastAsia" w:ascii="仿宋_GB2312" w:hAnsi="仿宋_GB2312" w:eastAsia="仿宋_GB2312" w:cs="仿宋_GB2312"/>
          <w:b w:val="0"/>
          <w:bCs w:val="0"/>
          <w:snapToGrid w:val="0"/>
          <w:color w:val="000000"/>
          <w:sz w:val="32"/>
          <w:szCs w:val="32"/>
          <w:highlight w:val="none"/>
          <w:lang w:eastAsia="zh-CN"/>
        </w:rPr>
        <w:t>安全</w:t>
      </w:r>
      <w:r>
        <w:rPr>
          <w:rFonts w:hint="eastAsia" w:ascii="仿宋_GB2312" w:hAnsi="仿宋_GB2312" w:eastAsia="仿宋_GB2312" w:cs="仿宋_GB2312"/>
          <w:b w:val="0"/>
          <w:bCs w:val="0"/>
          <w:snapToGrid w:val="0"/>
          <w:color w:val="000000"/>
          <w:sz w:val="32"/>
          <w:szCs w:val="32"/>
          <w:highlight w:val="none"/>
        </w:rPr>
        <w:t>隐患，优化电网运行方式，保障重要</w:t>
      </w:r>
      <w:r>
        <w:rPr>
          <w:rFonts w:hint="eastAsia" w:ascii="仿宋_GB2312" w:hAnsi="仿宋_GB2312" w:eastAsia="仿宋_GB2312" w:cs="仿宋_GB2312"/>
          <w:b w:val="0"/>
          <w:bCs w:val="0"/>
          <w:snapToGrid w:val="0"/>
          <w:color w:val="000000"/>
          <w:sz w:val="32"/>
          <w:szCs w:val="32"/>
          <w:highlight w:val="none"/>
          <w:lang w:eastAsia="zh-CN"/>
        </w:rPr>
        <w:t>电力</w:t>
      </w:r>
      <w:r>
        <w:rPr>
          <w:rFonts w:hint="eastAsia" w:ascii="仿宋_GB2312" w:hAnsi="仿宋_GB2312" w:eastAsia="仿宋_GB2312" w:cs="仿宋_GB2312"/>
          <w:b w:val="0"/>
          <w:bCs w:val="0"/>
          <w:snapToGrid w:val="0"/>
          <w:color w:val="000000"/>
          <w:sz w:val="32"/>
          <w:szCs w:val="32"/>
          <w:highlight w:val="none"/>
        </w:rPr>
        <w:t>用户供电安全。</w:t>
      </w:r>
      <w:r>
        <w:rPr>
          <w:rFonts w:hint="eastAsia" w:ascii="仿宋_GB2312" w:hAnsi="仿宋_GB2312" w:eastAsia="仿宋_GB2312" w:cs="仿宋_GB2312"/>
          <w:b w:val="0"/>
          <w:bCs w:val="0"/>
          <w:snapToGrid w:val="0"/>
          <w:color w:val="000000"/>
          <w:sz w:val="32"/>
          <w:szCs w:val="32"/>
          <w:highlight w:val="none"/>
          <w:lang w:eastAsia="zh-CN"/>
        </w:rPr>
        <w:t>依据政府要求在执行有序用电、电网事故限电期间，</w:t>
      </w:r>
      <w:r>
        <w:rPr>
          <w:rFonts w:hint="eastAsia" w:ascii="仿宋_GB2312" w:hAnsi="仿宋_GB2312" w:eastAsia="仿宋_GB2312" w:cs="仿宋_GB2312"/>
          <w:b w:val="0"/>
          <w:bCs w:val="0"/>
          <w:snapToGrid w:val="0"/>
          <w:color w:val="000000"/>
          <w:sz w:val="32"/>
          <w:szCs w:val="32"/>
          <w:highlight w:val="none"/>
        </w:rPr>
        <w:t>要优先保障</w:t>
      </w:r>
      <w:r>
        <w:rPr>
          <w:rFonts w:hint="eastAsia" w:ascii="仿宋_GB2312" w:hAnsi="仿宋_GB2312" w:eastAsia="仿宋_GB2312" w:cs="仿宋_GB2312"/>
          <w:b w:val="0"/>
          <w:bCs w:val="0"/>
          <w:snapToGrid w:val="0"/>
          <w:color w:val="000000"/>
          <w:sz w:val="32"/>
          <w:szCs w:val="32"/>
          <w:highlight w:val="none"/>
          <w:lang w:eastAsia="zh-CN"/>
        </w:rPr>
        <w:t>重要电力用户的安全电力供应。</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outlineLvl w:val="9"/>
        <w:rPr>
          <w:rFonts w:hint="eastAsia" w:ascii="仿宋_GB2312" w:hAnsi="仿宋_GB2312" w:eastAsia="仿宋_GB2312" w:cs="仿宋_GB2312"/>
          <w:b w:val="0"/>
          <w:bCs w:val="0"/>
          <w:snapToGrid w:val="0"/>
          <w:color w:val="000000"/>
          <w:sz w:val="32"/>
          <w:szCs w:val="32"/>
          <w:highlight w:val="none"/>
        </w:rPr>
      </w:pPr>
      <w:r>
        <w:rPr>
          <w:rFonts w:hint="eastAsia" w:ascii="仿宋_GB2312" w:hAnsi="仿宋_GB2312" w:eastAsia="仿宋_GB2312" w:cs="仿宋_GB2312"/>
          <w:b w:val="0"/>
          <w:bCs w:val="0"/>
          <w:snapToGrid w:val="0"/>
          <w:color w:val="000000"/>
          <w:sz w:val="32"/>
          <w:szCs w:val="32"/>
          <w:highlight w:val="none"/>
          <w:lang w:val="en-US" w:eastAsia="zh-CN"/>
        </w:rPr>
        <w:t>（二）供电企业</w:t>
      </w:r>
      <w:r>
        <w:rPr>
          <w:rFonts w:hint="eastAsia" w:ascii="仿宋_GB2312" w:hAnsi="仿宋_GB2312" w:eastAsia="仿宋_GB2312" w:cs="仿宋_GB2312"/>
          <w:b w:val="0"/>
          <w:bCs w:val="0"/>
          <w:snapToGrid w:val="0"/>
          <w:color w:val="000000"/>
          <w:sz w:val="32"/>
          <w:szCs w:val="32"/>
          <w:highlight w:val="none"/>
        </w:rPr>
        <w:t>在电网运行方式发生较大变化、可能影响重要电力用户用电安全时，应事先</w:t>
      </w:r>
      <w:r>
        <w:rPr>
          <w:rFonts w:hint="eastAsia" w:ascii="仿宋_GB2312" w:hAnsi="仿宋_GB2312" w:eastAsia="仿宋_GB2312" w:cs="仿宋_GB2312"/>
          <w:b w:val="0"/>
          <w:bCs w:val="0"/>
          <w:snapToGrid w:val="0"/>
          <w:color w:val="000000"/>
          <w:sz w:val="32"/>
          <w:szCs w:val="32"/>
          <w:highlight w:val="none"/>
          <w:lang w:eastAsia="zh-CN"/>
        </w:rPr>
        <w:t>书面</w:t>
      </w:r>
      <w:r>
        <w:rPr>
          <w:rFonts w:hint="eastAsia" w:ascii="仿宋_GB2312" w:hAnsi="仿宋_GB2312" w:eastAsia="仿宋_GB2312" w:cs="仿宋_GB2312"/>
          <w:b w:val="0"/>
          <w:bCs w:val="0"/>
          <w:snapToGrid w:val="0"/>
          <w:color w:val="000000"/>
          <w:sz w:val="32"/>
          <w:szCs w:val="32"/>
          <w:highlight w:val="none"/>
        </w:rPr>
        <w:t>告知重要电力用户</w:t>
      </w:r>
      <w:r>
        <w:rPr>
          <w:rFonts w:hint="eastAsia" w:ascii="仿宋_GB2312" w:hAnsi="仿宋_GB2312" w:eastAsia="仿宋_GB2312" w:cs="仿宋_GB2312"/>
          <w:b w:val="0"/>
          <w:bCs w:val="0"/>
          <w:snapToGrid w:val="0"/>
          <w:color w:val="000000"/>
          <w:sz w:val="32"/>
          <w:szCs w:val="32"/>
          <w:highlight w:val="none"/>
          <w:lang w:eastAsia="zh-CN"/>
        </w:rPr>
        <w:t>，并指导用户采取有效预防措施，避免事故发生</w:t>
      </w:r>
      <w:r>
        <w:rPr>
          <w:rFonts w:hint="eastAsia" w:ascii="仿宋_GB2312" w:hAnsi="仿宋_GB2312" w:eastAsia="仿宋_GB2312" w:cs="仿宋_GB2312"/>
          <w:b w:val="0"/>
          <w:bCs w:val="0"/>
          <w:snapToGrid w:val="0"/>
          <w:color w:val="000000"/>
          <w:sz w:val="32"/>
          <w:szCs w:val="32"/>
          <w:highlight w:val="none"/>
        </w:rPr>
        <w:t>。</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outlineLvl w:val="9"/>
        <w:rPr>
          <w:rFonts w:hint="eastAsia" w:ascii="仿宋_GB2312" w:hAnsi="仿宋_GB2312" w:eastAsia="仿宋_GB2312" w:cs="仿宋_GB2312"/>
          <w:b w:val="0"/>
          <w:bCs w:val="0"/>
          <w:snapToGrid w:val="0"/>
          <w:color w:val="000000"/>
          <w:sz w:val="32"/>
          <w:szCs w:val="32"/>
          <w:highlight w:val="none"/>
        </w:rPr>
      </w:pPr>
      <w:r>
        <w:rPr>
          <w:rFonts w:hint="eastAsia" w:ascii="仿宋_GB2312" w:hAnsi="仿宋_GB2312" w:eastAsia="仿宋_GB2312" w:cs="仿宋_GB2312"/>
          <w:b w:val="0"/>
          <w:bCs w:val="0"/>
          <w:snapToGrid w:val="0"/>
          <w:color w:val="000000"/>
          <w:sz w:val="32"/>
          <w:szCs w:val="32"/>
          <w:highlight w:val="none"/>
          <w:lang w:val="en-US" w:eastAsia="zh-CN"/>
        </w:rPr>
        <w:t>（三）供电企业应</w:t>
      </w:r>
      <w:r>
        <w:rPr>
          <w:rFonts w:hint="eastAsia" w:ascii="仿宋_GB2312" w:hAnsi="仿宋_GB2312" w:eastAsia="仿宋_GB2312" w:cs="仿宋_GB2312"/>
          <w:b w:val="0"/>
          <w:bCs w:val="0"/>
          <w:snapToGrid w:val="0"/>
          <w:color w:val="000000"/>
          <w:sz w:val="32"/>
          <w:szCs w:val="32"/>
          <w:highlight w:val="none"/>
        </w:rPr>
        <w:t>结合重要电力用户供用电实际，制定完善应急预案</w:t>
      </w:r>
      <w:r>
        <w:rPr>
          <w:rFonts w:hint="eastAsia" w:ascii="仿宋_GB2312" w:hAnsi="仿宋_GB2312" w:eastAsia="仿宋_GB2312" w:cs="仿宋_GB2312"/>
          <w:b w:val="0"/>
          <w:bCs w:val="0"/>
          <w:strike w:val="0"/>
          <w:dstrike w:val="0"/>
          <w:snapToGrid w:val="0"/>
          <w:color w:val="000000"/>
          <w:sz w:val="32"/>
          <w:szCs w:val="32"/>
          <w:highlight w:val="none"/>
          <w:lang w:eastAsia="zh-CN"/>
        </w:rPr>
        <w:t>或应对处置管理流程</w:t>
      </w:r>
      <w:r>
        <w:rPr>
          <w:rFonts w:hint="eastAsia" w:ascii="仿宋_GB2312" w:hAnsi="仿宋_GB2312" w:eastAsia="仿宋_GB2312" w:cs="仿宋_GB2312"/>
          <w:b w:val="0"/>
          <w:bCs w:val="0"/>
          <w:snapToGrid w:val="0"/>
          <w:color w:val="000000"/>
          <w:sz w:val="32"/>
          <w:szCs w:val="32"/>
          <w:highlight w:val="none"/>
        </w:rPr>
        <w:t>，组织开展专项应急演练和应急评估，做好应对各类自然灾害、重要电力设施（设备）损毁、供电故障等应急处置工作。</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rPr>
        <w:t>（四）</w:t>
      </w:r>
      <w:r>
        <w:rPr>
          <w:rFonts w:hint="eastAsia" w:ascii="仿宋_GB2312" w:hAnsi="仿宋_GB2312" w:eastAsia="仿宋_GB2312" w:cs="仿宋_GB2312"/>
          <w:b w:val="0"/>
          <w:bCs w:val="0"/>
          <w:snapToGrid w:val="0"/>
          <w:color w:val="000000"/>
          <w:kern w:val="0"/>
          <w:sz w:val="32"/>
          <w:szCs w:val="32"/>
          <w:highlight w:val="none"/>
          <w:lang w:val="en-US" w:eastAsia="zh-CN" w:bidi="ar-SA"/>
        </w:rPr>
        <w:t>根据市电力管理部门批准确定的重要电力用户名单，供电企业应为重要电力用户提供安全用电服务，督促指导重要电力用户编制反事故应急预案，同时将用电安全隐患等有关问题，及时向政府电力管理部门报告。</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sz w:val="32"/>
          <w:szCs w:val="32"/>
          <w:highlight w:val="none"/>
          <w:lang w:val="en-US" w:eastAsia="zh-CN"/>
        </w:rPr>
      </w:pPr>
      <w:r>
        <w:rPr>
          <w:rFonts w:hint="eastAsia" w:ascii="黑体" w:hAnsi="黑体" w:eastAsia="黑体" w:cs="黑体"/>
          <w:b w:val="0"/>
          <w:bCs w:val="0"/>
          <w:snapToGrid w:val="0"/>
          <w:color w:val="000000"/>
          <w:kern w:val="0"/>
          <w:sz w:val="32"/>
          <w:szCs w:val="32"/>
          <w:highlight w:val="none"/>
          <w:lang w:val="en-US" w:eastAsia="zh-CN" w:bidi="ar-SA"/>
        </w:rPr>
        <w:t>第二十三条</w:t>
      </w:r>
      <w:r>
        <w:rPr>
          <w:rFonts w:hint="eastAsia" w:ascii="仿宋_GB2312" w:hAnsi="仿宋_GB2312" w:eastAsia="仿宋_GB2312" w:cs="仿宋_GB2312"/>
          <w:b w:val="0"/>
          <w:bCs w:val="0"/>
          <w:snapToGrid w:val="0"/>
          <w:color w:val="000000"/>
          <w:kern w:val="0"/>
          <w:sz w:val="32"/>
          <w:szCs w:val="32"/>
          <w:highlight w:val="none"/>
          <w:lang w:val="en-US" w:eastAsia="zh-CN" w:bidi="ar-SA"/>
        </w:rPr>
        <w:t xml:space="preserve"> </w:t>
      </w:r>
      <w:r>
        <w:rPr>
          <w:rFonts w:hint="eastAsia" w:ascii="仿宋_GB2312" w:hAnsi="仿宋_GB2312" w:eastAsia="仿宋_GB2312" w:cs="仿宋_GB2312"/>
          <w:b w:val="0"/>
          <w:bCs w:val="0"/>
          <w:snapToGrid w:val="0"/>
          <w:color w:val="000000"/>
          <w:sz w:val="32"/>
          <w:szCs w:val="32"/>
          <w:highlight w:val="none"/>
          <w:lang w:eastAsia="zh-CN"/>
        </w:rPr>
        <w:t>供电</w:t>
      </w:r>
      <w:r>
        <w:rPr>
          <w:rFonts w:hint="eastAsia" w:ascii="仿宋_GB2312" w:hAnsi="仿宋_GB2312" w:eastAsia="仿宋_GB2312" w:cs="仿宋_GB2312"/>
          <w:b w:val="0"/>
          <w:bCs w:val="0"/>
          <w:snapToGrid w:val="0"/>
          <w:color w:val="000000"/>
          <w:sz w:val="32"/>
          <w:szCs w:val="32"/>
          <w:highlight w:val="none"/>
          <w:lang w:val="en-US" w:eastAsia="zh-CN"/>
        </w:rPr>
        <w:t>企业</w:t>
      </w:r>
      <w:r>
        <w:rPr>
          <w:rFonts w:hint="eastAsia" w:ascii="仿宋_GB2312" w:hAnsi="仿宋_GB2312" w:eastAsia="仿宋_GB2312" w:cs="仿宋_GB2312"/>
          <w:b w:val="0"/>
          <w:bCs w:val="0"/>
          <w:snapToGrid w:val="0"/>
          <w:color w:val="000000"/>
          <w:sz w:val="32"/>
          <w:szCs w:val="32"/>
          <w:highlight w:val="none"/>
          <w:lang w:eastAsia="zh-CN"/>
        </w:rPr>
        <w:t>应定期组织开展重要电力用户用电安全隐患排查，通过出具《用电检查结果（整改）通知书》将隐患问题书面反馈给用户，督促用户及时进行整改，并为用户整改提供技术指导。</w:t>
      </w:r>
      <w:r>
        <w:rPr>
          <w:rFonts w:hint="eastAsia" w:ascii="仿宋_GB2312" w:hAnsi="仿宋_GB2312" w:eastAsia="仿宋_GB2312" w:cs="仿宋_GB2312"/>
          <w:b w:val="0"/>
          <w:bCs w:val="0"/>
          <w:snapToGrid w:val="0"/>
          <w:color w:val="000000"/>
          <w:sz w:val="32"/>
          <w:szCs w:val="32"/>
          <w:highlight w:val="none"/>
        </w:rPr>
        <w:t>重要电力用户</w:t>
      </w:r>
      <w:r>
        <w:rPr>
          <w:rFonts w:hint="eastAsia" w:ascii="仿宋_GB2312" w:hAnsi="仿宋_GB2312" w:eastAsia="仿宋_GB2312" w:cs="仿宋_GB2312"/>
          <w:b w:val="0"/>
          <w:bCs w:val="0"/>
          <w:snapToGrid w:val="0"/>
          <w:color w:val="000000"/>
          <w:sz w:val="32"/>
          <w:szCs w:val="32"/>
          <w:highlight w:val="none"/>
          <w:lang w:eastAsia="zh-CN"/>
        </w:rPr>
        <w:t>应落实安全用电主体责任，对于能够立即整改的，应执行立查立改；无法立即整改的，应在</w:t>
      </w:r>
      <w:r>
        <w:rPr>
          <w:rFonts w:hint="eastAsia" w:ascii="仿宋_GB2312" w:hAnsi="仿宋_GB2312" w:eastAsia="仿宋_GB2312" w:cs="仿宋_GB2312"/>
          <w:b w:val="0"/>
          <w:bCs w:val="0"/>
          <w:snapToGrid w:val="0"/>
          <w:color w:val="000000"/>
          <w:sz w:val="32"/>
          <w:szCs w:val="32"/>
          <w:highlight w:val="none"/>
          <w:lang w:val="en-US" w:eastAsia="zh-CN"/>
        </w:rPr>
        <w:t>10个工作日内制定整改方案，明确整改内容和时限并报送供电企业及当地电力管理部门。供电企业对用户整改情况进行复查，</w:t>
      </w:r>
      <w:r>
        <w:rPr>
          <w:rFonts w:hint="eastAsia" w:ascii="仿宋_GB2312" w:hAnsi="仿宋_GB2312" w:eastAsia="仿宋_GB2312" w:cs="仿宋_GB2312"/>
          <w:b w:val="0"/>
          <w:bCs w:val="0"/>
          <w:snapToGrid w:val="0"/>
          <w:color w:val="000000"/>
          <w:sz w:val="32"/>
          <w:szCs w:val="32"/>
          <w:highlight w:val="none"/>
        </w:rPr>
        <w:t>拒不整改或整改</w:t>
      </w:r>
      <w:r>
        <w:rPr>
          <w:rFonts w:hint="eastAsia" w:ascii="仿宋_GB2312" w:hAnsi="仿宋_GB2312" w:eastAsia="仿宋_GB2312" w:cs="仿宋_GB2312"/>
          <w:b w:val="0"/>
          <w:bCs w:val="0"/>
          <w:snapToGrid w:val="0"/>
          <w:color w:val="000000"/>
          <w:sz w:val="32"/>
          <w:szCs w:val="32"/>
          <w:highlight w:val="none"/>
          <w:lang w:eastAsia="zh-CN"/>
        </w:rPr>
        <w:t>执行不及时</w:t>
      </w:r>
      <w:r>
        <w:rPr>
          <w:rFonts w:hint="eastAsia" w:ascii="仿宋_GB2312" w:hAnsi="仿宋_GB2312" w:eastAsia="仿宋_GB2312" w:cs="仿宋_GB2312"/>
          <w:b w:val="0"/>
          <w:bCs w:val="0"/>
          <w:snapToGrid w:val="0"/>
          <w:color w:val="000000"/>
          <w:sz w:val="32"/>
          <w:szCs w:val="32"/>
          <w:highlight w:val="none"/>
        </w:rPr>
        <w:t>不彻底的，由供电</w:t>
      </w:r>
      <w:r>
        <w:rPr>
          <w:rFonts w:hint="eastAsia" w:ascii="仿宋_GB2312" w:hAnsi="仿宋_GB2312" w:eastAsia="仿宋_GB2312" w:cs="仿宋_GB2312"/>
          <w:b w:val="0"/>
          <w:bCs w:val="0"/>
          <w:snapToGrid w:val="0"/>
          <w:color w:val="000000"/>
          <w:sz w:val="32"/>
          <w:szCs w:val="32"/>
          <w:highlight w:val="none"/>
          <w:lang w:val="en-US" w:eastAsia="zh-CN"/>
        </w:rPr>
        <w:t>企业</w:t>
      </w:r>
      <w:r>
        <w:rPr>
          <w:rFonts w:hint="eastAsia" w:ascii="仿宋_GB2312" w:hAnsi="仿宋_GB2312" w:eastAsia="仿宋_GB2312" w:cs="仿宋_GB2312"/>
          <w:b w:val="0"/>
          <w:bCs w:val="0"/>
          <w:snapToGrid w:val="0"/>
          <w:color w:val="000000"/>
          <w:sz w:val="32"/>
          <w:szCs w:val="32"/>
          <w:highlight w:val="none"/>
          <w:lang w:eastAsia="zh-CN"/>
        </w:rPr>
        <w:t>定期</w:t>
      </w:r>
      <w:r>
        <w:rPr>
          <w:rFonts w:hint="eastAsia" w:ascii="仿宋_GB2312" w:hAnsi="仿宋_GB2312" w:eastAsia="仿宋_GB2312" w:cs="仿宋_GB2312"/>
          <w:b w:val="0"/>
          <w:bCs w:val="0"/>
          <w:snapToGrid w:val="0"/>
          <w:color w:val="000000"/>
          <w:sz w:val="32"/>
          <w:szCs w:val="32"/>
          <w:highlight w:val="none"/>
        </w:rPr>
        <w:t>将相关情况报告</w:t>
      </w:r>
      <w:r>
        <w:rPr>
          <w:rFonts w:hint="eastAsia" w:ascii="仿宋_GB2312" w:hAnsi="仿宋_GB2312" w:eastAsia="仿宋_GB2312" w:cs="仿宋_GB2312"/>
          <w:b w:val="0"/>
          <w:bCs w:val="0"/>
          <w:snapToGrid w:val="0"/>
          <w:color w:val="000000"/>
          <w:kern w:val="0"/>
          <w:sz w:val="32"/>
          <w:szCs w:val="32"/>
          <w:highlight w:val="none"/>
          <w:lang w:val="en-US" w:eastAsia="zh-CN" w:bidi="ar-SA"/>
        </w:rPr>
        <w:t>政府电力管理部门、行业安全生产管理部门和直接监管责任部门</w:t>
      </w:r>
      <w:r>
        <w:rPr>
          <w:rFonts w:hint="eastAsia" w:ascii="仿宋_GB2312" w:hAnsi="仿宋_GB2312" w:eastAsia="仿宋_GB2312" w:cs="仿宋_GB2312"/>
          <w:b w:val="0"/>
          <w:bCs w:val="0"/>
          <w:snapToGrid w:val="0"/>
          <w:color w:val="000000"/>
          <w:sz w:val="32"/>
          <w:szCs w:val="32"/>
          <w:highlight w:val="none"/>
        </w:rPr>
        <w:t>，</w:t>
      </w:r>
      <w:r>
        <w:rPr>
          <w:rFonts w:hint="eastAsia" w:ascii="仿宋_GB2312" w:hAnsi="仿宋_GB2312" w:eastAsia="仿宋_GB2312" w:cs="仿宋_GB2312"/>
          <w:b w:val="0"/>
          <w:bCs w:val="0"/>
          <w:snapToGrid w:val="0"/>
          <w:color w:val="000000"/>
          <w:sz w:val="32"/>
          <w:szCs w:val="32"/>
          <w:highlight w:val="none"/>
          <w:lang w:eastAsia="zh-CN"/>
        </w:rPr>
        <w:t>由各相关部门依法依规进行查处</w:t>
      </w:r>
      <w:r>
        <w:rPr>
          <w:rFonts w:hint="eastAsia" w:ascii="仿宋_GB2312" w:hAnsi="仿宋_GB2312" w:eastAsia="仿宋_GB2312" w:cs="仿宋_GB2312"/>
          <w:b w:val="0"/>
          <w:bCs w:val="0"/>
          <w:snapToGrid w:val="0"/>
          <w:color w:val="000000"/>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sz w:val="32"/>
          <w:szCs w:val="32"/>
          <w:highlight w:val="none"/>
          <w:lang w:eastAsia="zh-CN"/>
        </w:rPr>
      </w:pPr>
      <w:r>
        <w:rPr>
          <w:rFonts w:hint="eastAsia" w:ascii="黑体" w:hAnsi="黑体" w:eastAsia="黑体" w:cs="黑体"/>
          <w:b w:val="0"/>
          <w:bCs w:val="0"/>
          <w:snapToGrid w:val="0"/>
          <w:color w:val="000000"/>
          <w:kern w:val="0"/>
          <w:sz w:val="32"/>
          <w:szCs w:val="32"/>
          <w:highlight w:val="none"/>
          <w:lang w:val="en-US" w:eastAsia="zh-CN" w:bidi="ar-SA"/>
        </w:rPr>
        <w:t>第二十四条</w:t>
      </w:r>
      <w:r>
        <w:rPr>
          <w:rFonts w:hint="eastAsia" w:ascii="仿宋_GB2312" w:hAnsi="仿宋_GB2312" w:eastAsia="仿宋_GB2312" w:cs="仿宋_GB2312"/>
          <w:b w:val="0"/>
          <w:bCs w:val="0"/>
          <w:snapToGrid w:val="0"/>
          <w:color w:val="000000"/>
          <w:sz w:val="32"/>
          <w:szCs w:val="32"/>
          <w:highlight w:val="none"/>
          <w:lang w:val="en-US" w:eastAsia="zh-CN"/>
        </w:rPr>
        <w:t xml:space="preserve"> </w:t>
      </w:r>
      <w:r>
        <w:rPr>
          <w:rFonts w:hint="eastAsia" w:ascii="仿宋_GB2312" w:hAnsi="仿宋_GB2312" w:eastAsia="仿宋_GB2312" w:cs="仿宋_GB2312"/>
          <w:b w:val="0"/>
          <w:bCs w:val="0"/>
          <w:snapToGrid w:val="0"/>
          <w:color w:val="000000"/>
          <w:sz w:val="32"/>
          <w:szCs w:val="32"/>
          <w:highlight w:val="none"/>
        </w:rPr>
        <w:t>重要电力用户</w:t>
      </w:r>
      <w:r>
        <w:rPr>
          <w:rFonts w:hint="eastAsia" w:ascii="仿宋_GB2312" w:hAnsi="仿宋_GB2312" w:eastAsia="仿宋_GB2312" w:cs="仿宋_GB2312"/>
          <w:b w:val="0"/>
          <w:bCs w:val="0"/>
          <w:snapToGrid w:val="0"/>
          <w:color w:val="000000"/>
          <w:sz w:val="32"/>
          <w:szCs w:val="32"/>
          <w:highlight w:val="none"/>
          <w:lang w:eastAsia="zh-CN"/>
        </w:rPr>
        <w:t>应</w:t>
      </w:r>
      <w:r>
        <w:rPr>
          <w:rFonts w:hint="eastAsia" w:ascii="仿宋_GB2312" w:hAnsi="仿宋_GB2312" w:eastAsia="仿宋_GB2312" w:cs="仿宋_GB2312"/>
          <w:b w:val="0"/>
          <w:bCs w:val="0"/>
          <w:snapToGrid w:val="0"/>
          <w:color w:val="000000"/>
          <w:sz w:val="32"/>
          <w:szCs w:val="32"/>
          <w:highlight w:val="none"/>
        </w:rPr>
        <w:t>严格执行国家、行业关于电力安全运行的相关规程、规范</w:t>
      </w:r>
      <w:r>
        <w:rPr>
          <w:rFonts w:hint="eastAsia" w:ascii="仿宋_GB2312" w:hAnsi="仿宋_GB2312" w:eastAsia="仿宋_GB2312" w:cs="仿宋_GB2312"/>
          <w:b w:val="0"/>
          <w:bCs w:val="0"/>
          <w:snapToGrid w:val="0"/>
          <w:color w:val="000000"/>
          <w:sz w:val="32"/>
          <w:szCs w:val="32"/>
          <w:highlight w:val="none"/>
          <w:lang w:eastAsia="zh-CN"/>
        </w:rPr>
        <w:t>，</w:t>
      </w:r>
      <w:r>
        <w:rPr>
          <w:rFonts w:hint="eastAsia" w:ascii="仿宋_GB2312" w:hAnsi="仿宋_GB2312" w:eastAsia="仿宋_GB2312" w:cs="仿宋_GB2312"/>
          <w:b w:val="0"/>
          <w:bCs w:val="0"/>
          <w:snapToGrid w:val="0"/>
          <w:color w:val="000000"/>
          <w:sz w:val="32"/>
          <w:szCs w:val="32"/>
          <w:highlight w:val="none"/>
        </w:rPr>
        <w:t>妥善保存并及时更新内部供配电系统的文档、图纸等资料，并保证资料信息与</w:t>
      </w:r>
      <w:r>
        <w:rPr>
          <w:rFonts w:hint="eastAsia" w:ascii="仿宋_GB2312" w:hAnsi="仿宋_GB2312" w:eastAsia="仿宋_GB2312" w:cs="仿宋_GB2312"/>
          <w:b w:val="0"/>
          <w:bCs w:val="0"/>
          <w:snapToGrid w:val="0"/>
          <w:color w:val="000000"/>
          <w:sz w:val="32"/>
          <w:szCs w:val="32"/>
          <w:highlight w:val="none"/>
          <w:lang w:eastAsia="zh-CN"/>
        </w:rPr>
        <w:t>现场</w:t>
      </w:r>
      <w:r>
        <w:rPr>
          <w:rFonts w:hint="eastAsia" w:ascii="仿宋_GB2312" w:hAnsi="仿宋_GB2312" w:eastAsia="仿宋_GB2312" w:cs="仿宋_GB2312"/>
          <w:b w:val="0"/>
          <w:bCs w:val="0"/>
          <w:snapToGrid w:val="0"/>
          <w:color w:val="000000"/>
          <w:sz w:val="32"/>
          <w:szCs w:val="32"/>
          <w:highlight w:val="none"/>
        </w:rPr>
        <w:t>实际情况相一致。</w:t>
      </w:r>
      <w:r>
        <w:rPr>
          <w:rFonts w:hint="eastAsia" w:ascii="仿宋_GB2312" w:hAnsi="仿宋_GB2312" w:eastAsia="仿宋_GB2312" w:cs="仿宋_GB2312"/>
          <w:b w:val="0"/>
          <w:bCs w:val="0"/>
          <w:snapToGrid w:val="0"/>
          <w:color w:val="000000"/>
          <w:sz w:val="32"/>
          <w:szCs w:val="32"/>
          <w:highlight w:val="none"/>
          <w:lang w:eastAsia="zh-CN"/>
        </w:rPr>
        <w:t>供电企业</w:t>
      </w:r>
      <w:r>
        <w:rPr>
          <w:rFonts w:hint="eastAsia" w:ascii="仿宋_GB2312" w:hAnsi="仿宋_GB2312" w:eastAsia="仿宋_GB2312" w:cs="仿宋_GB2312"/>
          <w:b w:val="0"/>
          <w:bCs w:val="0"/>
          <w:snapToGrid w:val="0"/>
          <w:color w:val="000000"/>
          <w:sz w:val="32"/>
          <w:szCs w:val="32"/>
          <w:highlight w:val="none"/>
        </w:rPr>
        <w:t>要求重要电力用户提供相关资料的，用户</w:t>
      </w:r>
      <w:r>
        <w:rPr>
          <w:rFonts w:hint="eastAsia" w:ascii="仿宋_GB2312" w:hAnsi="仿宋_GB2312" w:eastAsia="仿宋_GB2312" w:cs="仿宋_GB2312"/>
          <w:b w:val="0"/>
          <w:bCs w:val="0"/>
          <w:snapToGrid w:val="0"/>
          <w:color w:val="000000"/>
          <w:sz w:val="32"/>
          <w:szCs w:val="32"/>
          <w:highlight w:val="none"/>
          <w:lang w:eastAsia="zh-CN"/>
        </w:rPr>
        <w:t>应当予以配合，确保资料的真实、完整</w:t>
      </w:r>
      <w:r>
        <w:rPr>
          <w:rFonts w:hint="eastAsia" w:ascii="仿宋_GB2312" w:hAnsi="仿宋_GB2312" w:eastAsia="仿宋_GB2312" w:cs="仿宋_GB2312"/>
          <w:b w:val="0"/>
          <w:bCs w:val="0"/>
          <w:snapToGrid w:val="0"/>
          <w:color w:val="000000"/>
          <w:sz w:val="32"/>
          <w:szCs w:val="32"/>
          <w:highlight w:val="none"/>
        </w:rPr>
        <w:t>。</w:t>
      </w:r>
      <w:r>
        <w:rPr>
          <w:rFonts w:hint="eastAsia" w:ascii="仿宋_GB2312" w:hAnsi="仿宋_GB2312" w:eastAsia="仿宋_GB2312" w:cs="仿宋_GB2312"/>
          <w:b w:val="0"/>
          <w:bCs w:val="0"/>
          <w:snapToGrid w:val="0"/>
          <w:color w:val="000000"/>
          <w:sz w:val="32"/>
          <w:szCs w:val="32"/>
          <w:highlight w:val="none"/>
          <w:lang w:eastAsia="zh-CN"/>
        </w:rPr>
        <w:t>供电企业对用户提供的资料应当予以保密。</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rPr>
      </w:pPr>
      <w:r>
        <w:rPr>
          <w:rFonts w:hint="eastAsia" w:ascii="黑体" w:hAnsi="黑体" w:eastAsia="黑体" w:cs="黑体"/>
          <w:b w:val="0"/>
          <w:bCs w:val="0"/>
          <w:snapToGrid w:val="0"/>
          <w:color w:val="000000"/>
          <w:kern w:val="0"/>
          <w:sz w:val="32"/>
          <w:szCs w:val="32"/>
          <w:highlight w:val="none"/>
          <w:lang w:val="en-US" w:eastAsia="zh-CN" w:bidi="ar-SA"/>
        </w:rPr>
        <w:t>第二十五条</w:t>
      </w:r>
      <w:r>
        <w:rPr>
          <w:rFonts w:hint="eastAsia" w:ascii="仿宋_GB2312" w:hAnsi="仿宋_GB2312" w:eastAsia="仿宋_GB2312" w:cs="仿宋_GB2312"/>
          <w:b w:val="0"/>
          <w:bCs w:val="0"/>
          <w:snapToGrid w:val="0"/>
          <w:color w:val="000000"/>
          <w:sz w:val="32"/>
          <w:szCs w:val="32"/>
          <w:highlight w:val="none"/>
          <w:lang w:val="en-US" w:eastAsia="zh-CN"/>
        </w:rPr>
        <w:t xml:space="preserve"> </w:t>
      </w:r>
      <w:r>
        <w:rPr>
          <w:rFonts w:hint="eastAsia" w:ascii="仿宋_GB2312" w:hAnsi="仿宋_GB2312" w:eastAsia="仿宋_GB2312" w:cs="仿宋_GB2312"/>
          <w:b w:val="0"/>
          <w:bCs w:val="0"/>
          <w:snapToGrid w:val="0"/>
          <w:color w:val="000000"/>
          <w:kern w:val="0"/>
          <w:sz w:val="32"/>
          <w:szCs w:val="32"/>
          <w:highlight w:val="none"/>
          <w:lang w:eastAsia="zh-CN"/>
        </w:rPr>
        <w:t>供电企业</w:t>
      </w:r>
      <w:r>
        <w:rPr>
          <w:rFonts w:hint="eastAsia" w:ascii="仿宋_GB2312" w:hAnsi="仿宋_GB2312" w:eastAsia="仿宋_GB2312" w:cs="仿宋_GB2312"/>
          <w:b w:val="0"/>
          <w:bCs w:val="0"/>
          <w:snapToGrid w:val="0"/>
          <w:color w:val="000000"/>
          <w:kern w:val="0"/>
          <w:sz w:val="32"/>
          <w:szCs w:val="32"/>
          <w:highlight w:val="none"/>
        </w:rPr>
        <w:t>和</w:t>
      </w:r>
      <w:r>
        <w:rPr>
          <w:rFonts w:hint="eastAsia" w:ascii="仿宋_GB2312" w:hAnsi="仿宋_GB2312" w:eastAsia="仿宋_GB2312" w:cs="仿宋_GB2312"/>
          <w:b w:val="0"/>
          <w:bCs w:val="0"/>
          <w:snapToGrid w:val="0"/>
          <w:color w:val="000000"/>
          <w:kern w:val="0"/>
          <w:sz w:val="32"/>
          <w:szCs w:val="32"/>
          <w:highlight w:val="none"/>
          <w:lang w:eastAsia="zh-CN"/>
        </w:rPr>
        <w:t>重要</w:t>
      </w:r>
      <w:r>
        <w:rPr>
          <w:rFonts w:hint="eastAsia" w:ascii="仿宋_GB2312" w:hAnsi="仿宋_GB2312" w:eastAsia="仿宋_GB2312" w:cs="仿宋_GB2312"/>
          <w:b w:val="0"/>
          <w:bCs w:val="0"/>
          <w:snapToGrid w:val="0"/>
          <w:color w:val="000000"/>
          <w:kern w:val="0"/>
          <w:sz w:val="32"/>
          <w:szCs w:val="32"/>
          <w:highlight w:val="none"/>
        </w:rPr>
        <w:t>电力用户违反本办法造成安全事故的，应按照</w:t>
      </w:r>
      <w:r>
        <w:rPr>
          <w:rFonts w:hint="eastAsia" w:ascii="仿宋_GB2312" w:hAnsi="仿宋_GB2312" w:eastAsia="仿宋_GB2312" w:cs="仿宋_GB2312"/>
          <w:b w:val="0"/>
          <w:bCs w:val="0"/>
          <w:snapToGrid w:val="0"/>
          <w:color w:val="000000"/>
          <w:kern w:val="0"/>
          <w:sz w:val="32"/>
          <w:szCs w:val="32"/>
          <w:highlight w:val="none"/>
          <w:lang w:eastAsia="zh-CN"/>
        </w:rPr>
        <w:t>国家</w:t>
      </w:r>
      <w:r>
        <w:rPr>
          <w:rFonts w:hint="eastAsia" w:ascii="仿宋_GB2312" w:hAnsi="仿宋_GB2312" w:eastAsia="仿宋_GB2312" w:cs="仿宋_GB2312"/>
          <w:b w:val="0"/>
          <w:bCs w:val="0"/>
          <w:snapToGrid w:val="0"/>
          <w:color w:val="000000"/>
          <w:kern w:val="0"/>
          <w:sz w:val="32"/>
          <w:szCs w:val="32"/>
          <w:highlight w:val="none"/>
        </w:rPr>
        <w:t>相关法律、法规、规章的规定追究责任。</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黑体" w:hAnsi="黑体" w:eastAsia="黑体" w:cs="黑体"/>
          <w:b w:val="0"/>
          <w:bCs w:val="0"/>
          <w:snapToGrid w:val="0"/>
          <w:color w:val="000000"/>
          <w:kern w:val="0"/>
          <w:sz w:val="32"/>
          <w:szCs w:val="32"/>
          <w:highlight w:val="none"/>
          <w:lang w:val="en-US" w:eastAsia="zh-CN" w:bidi="ar-SA"/>
        </w:rPr>
        <w:t>第二十六条</w:t>
      </w:r>
      <w:r>
        <w:rPr>
          <w:rFonts w:hint="eastAsia" w:ascii="仿宋_GB2312" w:hAnsi="仿宋_GB2312" w:eastAsia="仿宋_GB2312" w:cs="仿宋_GB2312"/>
          <w:b w:val="0"/>
          <w:bCs w:val="0"/>
          <w:snapToGrid w:val="0"/>
          <w:color w:val="000000"/>
          <w:kern w:val="0"/>
          <w:sz w:val="32"/>
          <w:szCs w:val="32"/>
          <w:highlight w:val="none"/>
          <w:lang w:val="en-US" w:eastAsia="zh-CN"/>
        </w:rPr>
        <w:t xml:space="preserve"> </w:t>
      </w:r>
      <w:r>
        <w:rPr>
          <w:rFonts w:hint="eastAsia" w:ascii="仿宋_GB2312" w:hAnsi="仿宋_GB2312" w:eastAsia="仿宋_GB2312" w:cs="仿宋_GB2312"/>
          <w:b w:val="0"/>
          <w:bCs w:val="0"/>
          <w:snapToGrid w:val="0"/>
          <w:color w:val="000000"/>
          <w:kern w:val="0"/>
          <w:sz w:val="32"/>
          <w:szCs w:val="32"/>
          <w:highlight w:val="none"/>
          <w:lang w:val="en-US" w:eastAsia="zh-CN" w:bidi="ar"/>
        </w:rPr>
        <w:t>本办法自印发之日起施行。如相关法律法规及政策发生调整变化，</w:t>
      </w:r>
      <w:r>
        <w:rPr>
          <w:rFonts w:hint="eastAsia" w:ascii="仿宋_GB2312" w:hAnsi="仿宋_GB2312" w:eastAsia="仿宋_GB2312" w:cs="仿宋_GB2312"/>
          <w:b w:val="0"/>
          <w:bCs w:val="0"/>
          <w:snapToGrid w:val="0"/>
          <w:color w:val="000000"/>
          <w:kern w:val="0"/>
          <w:sz w:val="32"/>
          <w:szCs w:val="32"/>
          <w:highlight w:val="none"/>
          <w:lang w:val="en-US" w:eastAsia="zh-CN" w:bidi="ar-SA"/>
        </w:rPr>
        <w:t>有新规定的，从其规定。</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kern w:val="0"/>
          <w:sz w:val="32"/>
          <w:szCs w:val="32"/>
          <w:highlight w:val="none"/>
          <w:lang w:val="en-US" w:eastAsia="zh-CN" w:bidi="ar-SA"/>
        </w:rPr>
        <w:t>规范性引用文件</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kern w:val="0"/>
          <w:sz w:val="32"/>
          <w:szCs w:val="32"/>
          <w:highlight w:val="none"/>
          <w:lang w:val="en-US" w:eastAsia="zh-CN" w:bidi="ar-SA"/>
        </w:rPr>
        <w:t>1.《重要电力用户供电电源及自备应急电源配置技术规范》（GBT 29328-2018）</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kern w:val="0"/>
          <w:sz w:val="32"/>
          <w:szCs w:val="32"/>
          <w:highlight w:val="none"/>
          <w:lang w:val="en-US" w:eastAsia="zh-CN" w:bidi="ar-SA"/>
        </w:rPr>
        <w:t>2.《国网辽宁省电力有限公司营销部关于规范开展重要客户认定工作的指导意见》（辽电营销部〔2020〕16号）</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kern w:val="0"/>
          <w:sz w:val="32"/>
          <w:szCs w:val="32"/>
          <w:highlight w:val="none"/>
          <w:lang w:val="en-US" w:eastAsia="zh-CN" w:bidi="ar-SA"/>
        </w:rPr>
        <w:t>3.《辽阳市重要电力用户用电安全管理办法》（辽市政办发〔2022〕13号）</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kern w:val="0"/>
          <w:sz w:val="32"/>
          <w:szCs w:val="32"/>
          <w:highlight w:val="none"/>
          <w:lang w:val="en-US" w:eastAsia="zh-CN" w:bidi="ar-SA"/>
        </w:rPr>
        <w:t>附件：1.重要电力用户范围表</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r>
        <w:rPr>
          <w:rFonts w:hint="eastAsia" w:ascii="仿宋_GB2312" w:hAnsi="仿宋_GB2312" w:eastAsia="仿宋_GB2312" w:cs="仿宋_GB2312"/>
          <w:b w:val="0"/>
          <w:bCs w:val="0"/>
          <w:snapToGrid w:val="0"/>
          <w:color w:val="000000"/>
          <w:kern w:val="0"/>
          <w:sz w:val="32"/>
          <w:szCs w:val="32"/>
          <w:highlight w:val="none"/>
          <w:lang w:val="en-US" w:eastAsia="zh-CN" w:bidi="ar-SA"/>
        </w:rPr>
        <w:t xml:space="preserve">      2.术语定义</w:t>
      </w: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pacing w:after="0" w:afterLines="0" w:line="560" w:lineRule="exact"/>
        <w:ind w:left="0" w:leftChars="0" w:firstLine="0" w:firstLineChars="0"/>
        <w:outlineLvl w:val="9"/>
        <w:rPr>
          <w:rFonts w:hint="eastAsia" w:ascii="仿宋_GB2312" w:hAnsi="仿宋_GB2312" w:eastAsia="仿宋_GB2312" w:cs="仿宋_GB2312"/>
          <w:b w:val="0"/>
          <w:bCs w:val="0"/>
          <w:snapToGrid w:val="0"/>
          <w:color w:val="000000"/>
          <w:kern w:val="0"/>
          <w:sz w:val="32"/>
          <w:szCs w:val="32"/>
          <w:highlight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r>
        <w:rPr>
          <w:rFonts w:hint="eastAsia" w:ascii="仿宋_GB2312" w:hAnsi="仿宋_GB2312" w:eastAsia="仿宋_GB2312" w:cs="仿宋_GB2312"/>
          <w:b w:val="0"/>
          <w:bCs w:val="0"/>
          <w:snapToGrid w:val="0"/>
          <w:color w:val="000000"/>
          <w:kern w:val="0"/>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方正小标宋简体" w:hAnsi="方正小标宋简体" w:eastAsia="方正小标宋简体" w:cs="方正小标宋简体"/>
          <w:b w:val="0"/>
          <w:bCs w:val="0"/>
          <w:color w:val="000000"/>
          <w:sz w:val="44"/>
          <w:szCs w:val="44"/>
          <w:highlight w:val="none"/>
          <w:lang w:eastAsia="zh-CN"/>
        </w:rPr>
      </w:pPr>
      <w:r>
        <w:rPr>
          <w:rFonts w:hint="eastAsia" w:ascii="方正小标宋简体" w:hAnsi="方正小标宋简体" w:eastAsia="方正小标宋简体" w:cs="方正小标宋简体"/>
          <w:b w:val="0"/>
          <w:bCs w:val="0"/>
          <w:color w:val="000000"/>
          <w:sz w:val="44"/>
          <w:szCs w:val="44"/>
          <w:highlight w:val="none"/>
        </w:rPr>
        <w:t>重要电力用户范围</w:t>
      </w:r>
      <w:r>
        <w:rPr>
          <w:rFonts w:hint="eastAsia" w:ascii="方正小标宋简体" w:hAnsi="方正小标宋简体" w:eastAsia="方正小标宋简体" w:cs="方正小标宋简体"/>
          <w:b w:val="0"/>
          <w:bCs w:val="0"/>
          <w:color w:val="000000"/>
          <w:sz w:val="44"/>
          <w:szCs w:val="44"/>
          <w:highlight w:val="none"/>
          <w:lang w:eastAsia="zh-CN"/>
        </w:rPr>
        <w:t>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00"/>
        <w:gridCol w:w="1314"/>
        <w:gridCol w:w="2457"/>
        <w:gridCol w:w="3625"/>
        <w:gridCol w:w="818"/>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0" w:hRule="atLeast"/>
          <w:jc w:val="center"/>
        </w:trPr>
        <w:tc>
          <w:tcPr>
            <w:tcW w:w="2314"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both"/>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b w:val="0"/>
                <w:bCs w:val="0"/>
                <w:color w:val="000000"/>
                <w:sz w:val="15"/>
                <w:szCs w:val="15"/>
                <w:highlight w:val="none"/>
                <w:vertAlign w:val="baseline"/>
                <w:lang w:eastAsia="zh-CN"/>
              </w:rPr>
              <w:t>重要电力用户类别</w:t>
            </w:r>
          </w:p>
        </w:tc>
        <w:tc>
          <w:tcPr>
            <w:tcW w:w="2457" w:type="dxa"/>
            <w:noWrap w:val="0"/>
            <w:vAlign w:val="center"/>
          </w:tcPr>
          <w:p>
            <w:pPr>
              <w:pStyle w:val="11"/>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color w:val="000000"/>
                <w:sz w:val="15"/>
                <w:szCs w:val="15"/>
                <w:highlight w:val="none"/>
              </w:rPr>
              <w:t>重要电力用户范围</w:t>
            </w:r>
          </w:p>
        </w:tc>
        <w:tc>
          <w:tcPr>
            <w:tcW w:w="3625" w:type="dxa"/>
            <w:noWrap w:val="0"/>
            <w:vAlign w:val="center"/>
          </w:tcPr>
          <w:p>
            <w:pPr>
              <w:pStyle w:val="11"/>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color w:val="000000"/>
                <w:sz w:val="15"/>
                <w:szCs w:val="15"/>
                <w:highlight w:val="none"/>
                <w:lang w:val="en-US" w:eastAsia="zh-CN"/>
              </w:rPr>
              <w:t>断电影响</w:t>
            </w:r>
          </w:p>
        </w:tc>
        <w:tc>
          <w:tcPr>
            <w:tcW w:w="818" w:type="dxa"/>
            <w:noWrap w:val="0"/>
            <w:vAlign w:val="center"/>
          </w:tcPr>
          <w:p>
            <w:pPr>
              <w:pStyle w:val="11"/>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color w:val="000000"/>
                <w:sz w:val="15"/>
                <w:szCs w:val="15"/>
                <w:highlight w:val="none"/>
                <w:lang w:val="en-US" w:eastAsia="zh-CN"/>
              </w:rPr>
              <w:t>重要等级</w:t>
            </w:r>
          </w:p>
        </w:tc>
        <w:tc>
          <w:tcPr>
            <w:tcW w:w="1851" w:type="dxa"/>
            <w:noWrap w:val="0"/>
            <w:vAlign w:val="center"/>
          </w:tcPr>
          <w:p>
            <w:pPr>
              <w:pStyle w:val="11"/>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color w:val="000000"/>
                <w:sz w:val="15"/>
                <w:szCs w:val="15"/>
                <w:highlight w:val="none"/>
                <w:lang w:val="en-US" w:eastAsia="zh-CN"/>
              </w:rPr>
              <w:t>行业安全生产管理部门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0"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b w:val="0"/>
                <w:bCs w:val="0"/>
                <w:color w:val="000000"/>
                <w:sz w:val="15"/>
                <w:szCs w:val="15"/>
                <w:highlight w:val="none"/>
                <w:vertAlign w:val="baseline"/>
                <w:lang w:eastAsia="zh-CN"/>
              </w:rPr>
              <w:t>工</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b w:val="0"/>
                <w:bCs w:val="0"/>
                <w:color w:val="000000"/>
                <w:sz w:val="15"/>
                <w:szCs w:val="15"/>
                <w:highlight w:val="none"/>
                <w:vertAlign w:val="baseline"/>
                <w:lang w:eastAsia="zh-CN"/>
              </w:rPr>
              <w:t>业</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b w:val="0"/>
                <w:bCs w:val="0"/>
                <w:color w:val="000000"/>
                <w:sz w:val="15"/>
                <w:szCs w:val="15"/>
                <w:highlight w:val="none"/>
                <w:vertAlign w:val="baseline"/>
                <w:lang w:eastAsia="zh-CN"/>
              </w:rPr>
              <w:t>类</w:t>
            </w:r>
          </w:p>
        </w:tc>
        <w:tc>
          <w:tcPr>
            <w:tcW w:w="1314"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石化</w:t>
            </w:r>
          </w:p>
        </w:tc>
        <w:tc>
          <w:tcPr>
            <w:tcW w:w="2457"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cs="宋体"/>
                <w:color w:val="000000"/>
                <w:kern w:val="2"/>
                <w:sz w:val="15"/>
                <w:szCs w:val="15"/>
                <w:highlight w:val="none"/>
                <w:u w:val="none"/>
                <w:shd w:val="clear" w:color="auto" w:fill="auto"/>
                <w:lang w:val="zh-TW" w:eastAsia="zh-CN" w:bidi="zh-TW"/>
              </w:rPr>
              <w:t>石油开采以及</w:t>
            </w:r>
            <w:r>
              <w:rPr>
                <w:rFonts w:hint="eastAsia" w:ascii="宋体" w:hAnsi="宋体" w:eastAsia="宋体" w:cs="宋体"/>
                <w:color w:val="000000"/>
                <w:kern w:val="2"/>
                <w:sz w:val="15"/>
                <w:szCs w:val="15"/>
                <w:highlight w:val="none"/>
                <w:u w:val="none"/>
                <w:shd w:val="clear" w:color="auto" w:fill="auto"/>
                <w:lang w:val="zh-TW" w:eastAsia="zh-TW" w:bidi="zh-TW"/>
              </w:rPr>
              <w:t>以石油为原料的化工企业</w:t>
            </w:r>
          </w:p>
        </w:tc>
        <w:tc>
          <w:tcPr>
            <w:tcW w:w="3625"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TW" w:bidi="zh-TW"/>
              </w:rPr>
            </w:pPr>
            <w:r>
              <w:rPr>
                <w:rFonts w:hint="eastAsia" w:ascii="宋体" w:hAnsi="宋体" w:eastAsia="宋体" w:cs="宋体"/>
                <w:color w:val="000000"/>
                <w:kern w:val="2"/>
                <w:sz w:val="15"/>
                <w:szCs w:val="15"/>
                <w:highlight w:val="none"/>
                <w:u w:val="none"/>
                <w:shd w:val="clear" w:color="auto" w:fill="auto"/>
                <w:lang w:val="zh-TW" w:eastAsia="zh-TW" w:bidi="zh-TW"/>
              </w:rPr>
              <w:t>可能引发人身伤亡、中毒、爆炸或</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TW" w:bidi="zh-TW"/>
              </w:rPr>
            </w:pPr>
            <w:r>
              <w:rPr>
                <w:rFonts w:hint="eastAsia" w:ascii="宋体" w:hAnsi="宋体" w:eastAsia="宋体" w:cs="宋体"/>
                <w:color w:val="000000"/>
                <w:kern w:val="2"/>
                <w:sz w:val="15"/>
                <w:szCs w:val="15"/>
                <w:highlight w:val="none"/>
                <w:u w:val="none"/>
                <w:shd w:val="clear" w:color="auto" w:fill="auto"/>
                <w:lang w:val="zh-TW" w:eastAsia="zh-TW" w:bidi="zh-TW"/>
              </w:rPr>
              <w:t>火灾等重大安全事故、造成重大经</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济损失和严重环境污染</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一级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宋体" w:hAnsi="宋体" w:eastAsia="宋体" w:cs="宋体"/>
                <w:color w:val="000000"/>
                <w:kern w:val="2"/>
                <w:sz w:val="15"/>
                <w:szCs w:val="15"/>
                <w:highlight w:val="none"/>
                <w:u w:val="none"/>
                <w:shd w:val="clear" w:color="auto" w:fill="auto"/>
                <w:lang w:val="zh-TW" w:eastAsia="zh-CN" w:bidi="zh-TW"/>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精细化工</w:t>
            </w:r>
          </w:p>
        </w:tc>
        <w:tc>
          <w:tcPr>
            <w:tcW w:w="2457"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生产精细化学品的化工企业</w:t>
            </w:r>
          </w:p>
        </w:tc>
        <w:tc>
          <w:tcPr>
            <w:tcW w:w="3625"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TW" w:bidi="zh-TW"/>
              </w:rPr>
            </w:pPr>
            <w:r>
              <w:rPr>
                <w:rFonts w:hint="eastAsia" w:ascii="宋体" w:hAnsi="宋体" w:eastAsia="宋体" w:cs="宋体"/>
                <w:color w:val="000000"/>
                <w:kern w:val="2"/>
                <w:sz w:val="15"/>
                <w:szCs w:val="15"/>
                <w:highlight w:val="none"/>
                <w:u w:val="none"/>
                <w:shd w:val="clear" w:color="auto" w:fill="auto"/>
                <w:lang w:val="zh-TW" w:eastAsia="zh-TW" w:bidi="zh-TW"/>
              </w:rPr>
              <w:t>可能引发人身伤亡、中毒、爆炸或</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TW" w:bidi="zh-TW"/>
              </w:rPr>
            </w:pPr>
            <w:r>
              <w:rPr>
                <w:rFonts w:hint="eastAsia" w:ascii="宋体" w:hAnsi="宋体" w:eastAsia="宋体" w:cs="宋体"/>
                <w:color w:val="000000"/>
                <w:kern w:val="2"/>
                <w:sz w:val="15"/>
                <w:szCs w:val="15"/>
                <w:highlight w:val="none"/>
                <w:u w:val="none"/>
                <w:shd w:val="clear" w:color="auto" w:fill="auto"/>
                <w:lang w:val="zh-TW" w:eastAsia="zh-TW" w:bidi="zh-TW"/>
              </w:rPr>
              <w:t>火灾等重大安全事故、造成重大经</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济损失和严重环境污染</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一级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宋体" w:hAnsi="宋体" w:eastAsia="宋体" w:cs="宋体"/>
                <w:color w:val="000000"/>
                <w:kern w:val="2"/>
                <w:sz w:val="15"/>
                <w:szCs w:val="15"/>
                <w:highlight w:val="none"/>
                <w:u w:val="none"/>
                <w:shd w:val="clear" w:color="auto" w:fill="auto"/>
                <w:lang w:val="zh-TW" w:eastAsia="zh-CN" w:bidi="zh-TW"/>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11"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vMerge w:val="restart"/>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冶金</w:t>
            </w:r>
          </w:p>
        </w:tc>
        <w:tc>
          <w:tcPr>
            <w:tcW w:w="2457" w:type="dxa"/>
            <w:vMerge w:val="restart"/>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黑色金属和有色金属的冶炼和加工企业</w:t>
            </w:r>
          </w:p>
        </w:tc>
        <w:tc>
          <w:tcPr>
            <w:tcW w:w="3625"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TW" w:bidi="zh-TW"/>
              </w:rPr>
            </w:pPr>
            <w:r>
              <w:rPr>
                <w:rFonts w:hint="eastAsia" w:ascii="宋体" w:hAnsi="宋体" w:eastAsia="宋体" w:cs="宋体"/>
                <w:color w:val="000000"/>
                <w:kern w:val="2"/>
                <w:sz w:val="15"/>
                <w:szCs w:val="15"/>
                <w:highlight w:val="none"/>
                <w:u w:val="none"/>
                <w:shd w:val="clear" w:color="auto" w:fill="auto"/>
                <w:lang w:val="zh-TW" w:eastAsia="zh-TW" w:bidi="zh-TW"/>
              </w:rPr>
              <w:t>可能引发人身伤亡、爆炸或火灾等</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重大安全事故</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一级</w:t>
            </w:r>
          </w:p>
        </w:tc>
        <w:tc>
          <w:tcPr>
            <w:tcW w:w="1851"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宋体" w:hAnsi="宋体" w:eastAsia="宋体" w:cs="宋体"/>
                <w:color w:val="000000"/>
                <w:kern w:val="2"/>
                <w:sz w:val="15"/>
                <w:szCs w:val="15"/>
                <w:highlight w:val="none"/>
                <w:u w:val="none"/>
                <w:shd w:val="clear" w:color="auto" w:fill="auto"/>
                <w:lang w:val="zh-TW" w:eastAsia="zh-CN" w:bidi="zh-TW"/>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9"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vMerge w:val="continue"/>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TW" w:bidi="zh-TW"/>
              </w:rPr>
            </w:pPr>
          </w:p>
        </w:tc>
        <w:tc>
          <w:tcPr>
            <w:tcW w:w="2457" w:type="dxa"/>
            <w:vMerge w:val="continue"/>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TW" w:bidi="zh-TW"/>
              </w:rPr>
            </w:pPr>
          </w:p>
        </w:tc>
        <w:tc>
          <w:tcPr>
            <w:tcW w:w="3625"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可能造成大的经济损</w:t>
            </w:r>
            <w:r>
              <w:rPr>
                <w:rFonts w:hint="eastAsia" w:ascii="宋体" w:hAnsi="宋体" w:eastAsia="宋体" w:cs="宋体"/>
                <w:color w:val="000000"/>
                <w:kern w:val="2"/>
                <w:sz w:val="15"/>
                <w:szCs w:val="15"/>
                <w:highlight w:val="none"/>
                <w:u w:val="none"/>
                <w:shd w:val="clear" w:color="auto" w:fill="auto"/>
                <w:lang w:val="zh-TW" w:eastAsia="zh-CN" w:bidi="zh-TW"/>
              </w:rPr>
              <w:t>失</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二级</w:t>
            </w:r>
          </w:p>
        </w:tc>
        <w:tc>
          <w:tcPr>
            <w:tcW w:w="1851"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21"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cs="宋体"/>
                <w:b/>
                <w:bCs/>
                <w:color w:val="000000"/>
                <w:kern w:val="2"/>
                <w:sz w:val="15"/>
                <w:szCs w:val="15"/>
                <w:highlight w:val="none"/>
                <w:u w:val="none"/>
                <w:shd w:val="clear" w:color="auto" w:fill="auto"/>
                <w:lang w:val="zh-TW" w:eastAsia="zh-CN" w:bidi="zh-TW"/>
              </w:rPr>
              <w:t>农副食品加工</w:t>
            </w:r>
          </w:p>
        </w:tc>
        <w:tc>
          <w:tcPr>
            <w:tcW w:w="2457"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cs="宋体"/>
                <w:color w:val="000000"/>
                <w:kern w:val="2"/>
                <w:sz w:val="15"/>
                <w:szCs w:val="15"/>
                <w:highlight w:val="none"/>
                <w:u w:val="none"/>
                <w:shd w:val="clear" w:color="auto" w:fill="auto"/>
                <w:lang w:val="zh-TW" w:eastAsia="zh-CN" w:bidi="zh-TW"/>
              </w:rPr>
              <w:t>国家级农副食品加工储备</w:t>
            </w:r>
          </w:p>
        </w:tc>
        <w:tc>
          <w:tcPr>
            <w:tcW w:w="3625"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TW"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可能造成大的经济损失和社会影响</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cs="宋体"/>
                <w:color w:val="000000"/>
                <w:kern w:val="2"/>
                <w:sz w:val="15"/>
                <w:szCs w:val="15"/>
                <w:highlight w:val="none"/>
                <w:u w:val="none"/>
                <w:shd w:val="clear" w:color="auto" w:fill="auto"/>
                <w:lang w:val="zh-TW" w:eastAsia="zh-CN" w:bidi="zh-TW"/>
              </w:rPr>
              <w:t>二级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cs="宋体"/>
                <w:color w:val="000000"/>
                <w:kern w:val="2"/>
                <w:sz w:val="15"/>
                <w:szCs w:val="15"/>
                <w:highlight w:val="none"/>
                <w:u w:val="none"/>
                <w:shd w:val="clear" w:color="auto" w:fill="auto"/>
                <w:lang w:val="zh-TW" w:eastAsia="zh-CN" w:bidi="zh-TW"/>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21"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b w:val="0"/>
                <w:bCs w:val="0"/>
                <w:color w:val="000000"/>
                <w:sz w:val="15"/>
                <w:szCs w:val="15"/>
                <w:highlight w:val="none"/>
                <w:vertAlign w:val="baseline"/>
                <w:lang w:eastAsia="zh-CN"/>
              </w:rPr>
              <w:t>社</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b w:val="0"/>
                <w:bCs w:val="0"/>
                <w:color w:val="000000"/>
                <w:sz w:val="15"/>
                <w:szCs w:val="15"/>
                <w:highlight w:val="none"/>
                <w:vertAlign w:val="baseline"/>
                <w:lang w:eastAsia="zh-CN"/>
              </w:rPr>
              <w:t>会</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黑体" w:hAnsi="黑体" w:eastAsia="黑体" w:cs="黑体"/>
                <w:b w:val="0"/>
                <w:bCs w:val="0"/>
                <w:color w:val="000000"/>
                <w:sz w:val="15"/>
                <w:szCs w:val="15"/>
                <w:highlight w:val="none"/>
                <w:vertAlign w:val="baseline"/>
                <w:lang w:eastAsia="zh-CN"/>
              </w:rPr>
              <w:t>类</w:t>
            </w:r>
          </w:p>
        </w:tc>
        <w:tc>
          <w:tcPr>
            <w:tcW w:w="1314"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TW" w:bidi="zh-TW"/>
              </w:rPr>
            </w:pPr>
            <w:r>
              <w:rPr>
                <w:rFonts w:hint="eastAsia" w:ascii="宋体" w:hAnsi="宋体" w:eastAsia="宋体" w:cs="宋体"/>
                <w:b/>
                <w:bCs/>
                <w:color w:val="000000"/>
                <w:kern w:val="2"/>
                <w:sz w:val="15"/>
                <w:szCs w:val="15"/>
                <w:highlight w:val="none"/>
                <w:u w:val="none"/>
                <w:shd w:val="clear" w:color="auto" w:fill="auto"/>
                <w:lang w:val="zh-TW" w:eastAsia="zh-TW" w:bidi="zh-TW"/>
              </w:rPr>
              <w:t>党政司法</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机关</w:t>
            </w:r>
            <w:r>
              <w:rPr>
                <w:rFonts w:hint="eastAsia" w:cs="宋体"/>
                <w:b/>
                <w:bCs/>
                <w:color w:val="000000"/>
                <w:kern w:val="2"/>
                <w:sz w:val="15"/>
                <w:szCs w:val="15"/>
                <w:highlight w:val="none"/>
                <w:u w:val="none"/>
                <w:shd w:val="clear" w:color="auto" w:fill="auto"/>
                <w:lang w:val="zh-TW" w:eastAsia="zh-CN" w:bidi="zh-TW"/>
              </w:rPr>
              <w:t>、国防</w:t>
            </w:r>
          </w:p>
        </w:tc>
        <w:tc>
          <w:tcPr>
            <w:tcW w:w="2457"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地市级党政</w:t>
            </w:r>
            <w:r>
              <w:rPr>
                <w:rFonts w:hint="eastAsia" w:cs="宋体"/>
                <w:color w:val="000000"/>
                <w:kern w:val="2"/>
                <w:sz w:val="15"/>
                <w:szCs w:val="15"/>
                <w:highlight w:val="none"/>
                <w:u w:val="none"/>
                <w:shd w:val="clear" w:color="auto" w:fill="auto"/>
                <w:lang w:val="zh-TW" w:eastAsia="zh-CN" w:bidi="zh-TW"/>
              </w:rPr>
              <w:t>司法</w:t>
            </w:r>
            <w:r>
              <w:rPr>
                <w:rFonts w:hint="eastAsia" w:ascii="宋体" w:hAnsi="宋体" w:eastAsia="宋体" w:cs="宋体"/>
                <w:color w:val="000000"/>
                <w:kern w:val="2"/>
                <w:sz w:val="15"/>
                <w:szCs w:val="15"/>
                <w:highlight w:val="none"/>
                <w:u w:val="none"/>
                <w:shd w:val="clear" w:color="auto" w:fill="auto"/>
                <w:lang w:val="zh-TW" w:eastAsia="zh-TW" w:bidi="zh-TW"/>
              </w:rPr>
              <w:t>机关</w:t>
            </w:r>
            <w:r>
              <w:rPr>
                <w:rFonts w:hint="eastAsia" w:cs="宋体"/>
                <w:color w:val="000000"/>
                <w:kern w:val="2"/>
                <w:sz w:val="15"/>
                <w:szCs w:val="15"/>
                <w:highlight w:val="none"/>
                <w:u w:val="none"/>
                <w:shd w:val="clear" w:color="auto" w:fill="auto"/>
                <w:lang w:val="zh-TW" w:eastAsia="zh-CN" w:bidi="zh-TW"/>
              </w:rPr>
              <w:t>、国防、</w:t>
            </w:r>
            <w:r>
              <w:rPr>
                <w:rFonts w:hint="eastAsia" w:ascii="宋体" w:hAnsi="宋体" w:eastAsia="宋体" w:cs="宋体"/>
                <w:color w:val="000000"/>
                <w:kern w:val="2"/>
                <w:sz w:val="15"/>
                <w:szCs w:val="15"/>
                <w:highlight w:val="none"/>
                <w:u w:val="none"/>
                <w:shd w:val="clear" w:color="auto" w:fill="auto"/>
                <w:lang w:val="zh-TW" w:eastAsia="zh-TW" w:bidi="zh-TW"/>
              </w:rPr>
              <w:t>交通指挥中心、公安监控指挥中心等重要应急指挥中心</w:t>
            </w:r>
          </w:p>
        </w:tc>
        <w:tc>
          <w:tcPr>
            <w:tcW w:w="3625"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可能造成大的政治影响和社会影响</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二级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宋体" w:hAnsi="宋体" w:eastAsia="宋体" w:cs="宋体"/>
                <w:color w:val="000000"/>
                <w:kern w:val="2"/>
                <w:sz w:val="15"/>
                <w:szCs w:val="15"/>
                <w:highlight w:val="none"/>
                <w:u w:val="none"/>
                <w:shd w:val="clear" w:color="auto" w:fill="auto"/>
                <w:lang w:val="zh-TW" w:eastAsia="zh-CN" w:bidi="zh-TW"/>
              </w:rPr>
              <w:t>市应急局</w:t>
            </w:r>
            <w:r>
              <w:rPr>
                <w:rFonts w:hint="eastAsia" w:ascii="宋体" w:hAnsi="宋体" w:cs="宋体"/>
                <w:color w:val="000000"/>
                <w:kern w:val="2"/>
                <w:sz w:val="15"/>
                <w:szCs w:val="15"/>
                <w:highlight w:val="none"/>
                <w:u w:val="none"/>
                <w:shd w:val="clear" w:color="auto" w:fill="auto"/>
                <w:lang w:val="zh-TW" w:eastAsia="zh-CN" w:bidi="zh-TW"/>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76"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通信</w:t>
            </w:r>
          </w:p>
        </w:tc>
        <w:tc>
          <w:tcPr>
            <w:tcW w:w="2457"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cs="宋体"/>
                <w:color w:val="000000"/>
                <w:kern w:val="2"/>
                <w:sz w:val="15"/>
                <w:szCs w:val="15"/>
                <w:highlight w:val="none"/>
                <w:u w:val="none"/>
                <w:shd w:val="clear" w:color="auto" w:fill="auto"/>
                <w:lang w:val="zh-TW" w:eastAsia="zh-CN" w:bidi="zh-TW"/>
              </w:rPr>
              <w:t>地市级通讯运营商</w:t>
            </w:r>
          </w:p>
        </w:tc>
        <w:tc>
          <w:tcPr>
            <w:tcW w:w="3625"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可能造成大的社会影</w:t>
            </w:r>
            <w:r>
              <w:rPr>
                <w:rFonts w:hint="eastAsia" w:ascii="宋体" w:hAnsi="宋体" w:eastAsia="宋体" w:cs="宋体"/>
                <w:color w:val="000000"/>
                <w:kern w:val="2"/>
                <w:sz w:val="15"/>
                <w:szCs w:val="15"/>
                <w:highlight w:val="none"/>
                <w:u w:val="none"/>
                <w:shd w:val="clear" w:color="auto" w:fill="auto"/>
                <w:lang w:val="zh-TW" w:eastAsia="zh-CN" w:bidi="zh-TW"/>
              </w:rPr>
              <w:t>响</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二级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市</w:t>
            </w:r>
            <w:r>
              <w:rPr>
                <w:rFonts w:hint="eastAsia" w:ascii="宋体" w:hAnsi="宋体" w:cs="宋体"/>
                <w:color w:val="000000"/>
                <w:kern w:val="2"/>
                <w:sz w:val="15"/>
                <w:szCs w:val="15"/>
                <w:highlight w:val="none"/>
                <w:u w:val="none"/>
                <w:shd w:val="clear" w:color="auto" w:fill="auto"/>
                <w:lang w:val="zh-TW" w:eastAsia="zh-CN" w:bidi="zh-TW"/>
              </w:rPr>
              <w:t>通信</w:t>
            </w:r>
            <w:r>
              <w:rPr>
                <w:rFonts w:hint="eastAsia" w:ascii="宋体" w:hAnsi="宋体" w:eastAsia="宋体" w:cs="宋体"/>
                <w:color w:val="000000"/>
                <w:kern w:val="2"/>
                <w:sz w:val="15"/>
                <w:szCs w:val="15"/>
                <w:highlight w:val="none"/>
                <w:u w:val="none"/>
                <w:shd w:val="clear" w:color="auto" w:fill="auto"/>
                <w:lang w:val="zh-TW" w:eastAsia="zh-CN" w:bidi="zh-TW"/>
              </w:rPr>
              <w:t>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0"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新闻媒体</w:t>
            </w:r>
          </w:p>
        </w:tc>
        <w:tc>
          <w:tcPr>
            <w:tcW w:w="2457"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cs="宋体"/>
                <w:color w:val="000000"/>
                <w:kern w:val="2"/>
                <w:sz w:val="15"/>
                <w:szCs w:val="15"/>
                <w:highlight w:val="none"/>
                <w:u w:val="none"/>
                <w:shd w:val="clear" w:color="auto" w:fill="auto"/>
                <w:lang w:val="zh-TW" w:eastAsia="zh-CN" w:bidi="zh-TW"/>
              </w:rPr>
              <w:t>地市级</w:t>
            </w:r>
            <w:r>
              <w:rPr>
                <w:rFonts w:hint="eastAsia" w:ascii="宋体" w:hAnsi="宋体" w:eastAsia="宋体" w:cs="宋体"/>
                <w:color w:val="000000"/>
                <w:kern w:val="2"/>
                <w:sz w:val="15"/>
                <w:szCs w:val="15"/>
                <w:highlight w:val="none"/>
                <w:u w:val="none"/>
                <w:shd w:val="clear" w:color="auto" w:fill="auto"/>
                <w:lang w:val="zh-TW" w:eastAsia="zh-TW" w:bidi="zh-TW"/>
              </w:rPr>
              <w:t>广播电视机构及广播电台、电视台、等</w:t>
            </w:r>
          </w:p>
        </w:tc>
        <w:tc>
          <w:tcPr>
            <w:tcW w:w="3625"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可能造成大的政治影响和社会影</w:t>
            </w:r>
            <w:r>
              <w:rPr>
                <w:rFonts w:hint="eastAsia" w:ascii="宋体" w:hAnsi="宋体" w:eastAsia="宋体" w:cs="宋体"/>
                <w:color w:val="000000"/>
                <w:kern w:val="2"/>
                <w:sz w:val="15"/>
                <w:szCs w:val="15"/>
                <w:highlight w:val="none"/>
                <w:u w:val="none"/>
                <w:shd w:val="clear" w:color="auto" w:fill="auto"/>
                <w:lang w:val="zh-TW" w:eastAsia="zh-CN" w:bidi="zh-TW"/>
              </w:rPr>
              <w:t>响</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二级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市文化旅游广电局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0"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数据中心</w:t>
            </w:r>
          </w:p>
        </w:tc>
        <w:tc>
          <w:tcPr>
            <w:tcW w:w="2457"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cs="宋体"/>
                <w:color w:val="000000"/>
                <w:kern w:val="2"/>
                <w:sz w:val="15"/>
                <w:szCs w:val="15"/>
                <w:highlight w:val="none"/>
                <w:u w:val="none"/>
                <w:shd w:val="clear" w:color="auto" w:fill="auto"/>
                <w:lang w:val="zh-TW" w:eastAsia="zh-CN" w:bidi="zh-TW"/>
              </w:rPr>
              <w:t>地市级大数据</w:t>
            </w:r>
          </w:p>
        </w:tc>
        <w:tc>
          <w:tcPr>
            <w:tcW w:w="3625"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可能造成大的经济损失和社会影响</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二级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供水、供热</w:t>
            </w:r>
          </w:p>
        </w:tc>
        <w:tc>
          <w:tcPr>
            <w:tcW w:w="2457"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供水面积大的大、中型水厂（用水泵进行取水）、重要的加压站以及大型供热厂</w:t>
            </w:r>
          </w:p>
        </w:tc>
        <w:tc>
          <w:tcPr>
            <w:tcW w:w="3625"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可能造成社会公共秩序混</w:t>
            </w:r>
            <w:r>
              <w:rPr>
                <w:rFonts w:hint="eastAsia" w:ascii="宋体" w:hAnsi="宋体" w:eastAsia="宋体" w:cs="宋体"/>
                <w:color w:val="000000"/>
                <w:kern w:val="2"/>
                <w:sz w:val="15"/>
                <w:szCs w:val="15"/>
                <w:highlight w:val="none"/>
                <w:u w:val="none"/>
                <w:shd w:val="clear" w:color="auto" w:fill="auto"/>
                <w:lang w:val="zh-TW" w:eastAsia="zh-CN" w:bidi="zh-TW"/>
              </w:rPr>
              <w:t>乱</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二级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8"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供气</w:t>
            </w:r>
          </w:p>
        </w:tc>
        <w:tc>
          <w:tcPr>
            <w:tcW w:w="2457"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天然气城市门站、燃气储配站、调压站（升压站、降压站）等</w:t>
            </w:r>
          </w:p>
        </w:tc>
        <w:tc>
          <w:tcPr>
            <w:tcW w:w="3625"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可能造成安全事故和环境</w:t>
            </w:r>
            <w:r>
              <w:rPr>
                <w:rFonts w:hint="eastAsia" w:ascii="宋体" w:hAnsi="宋体" w:eastAsia="宋体" w:cs="宋体"/>
                <w:color w:val="000000"/>
                <w:kern w:val="2"/>
                <w:sz w:val="15"/>
                <w:szCs w:val="15"/>
                <w:highlight w:val="none"/>
                <w:u w:val="none"/>
                <w:shd w:val="clear" w:color="auto" w:fill="auto"/>
                <w:lang w:val="zh-TW" w:eastAsia="zh-CN" w:bidi="zh-TW"/>
              </w:rPr>
              <w:t>污染</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二级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市发改委</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天然气运输</w:t>
            </w:r>
          </w:p>
        </w:tc>
        <w:tc>
          <w:tcPr>
            <w:tcW w:w="2457"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天然气输气干线、输气支线、矿场集气支线、矿场集气干线、配气管线、普通计量站等</w:t>
            </w:r>
          </w:p>
        </w:tc>
        <w:tc>
          <w:tcPr>
            <w:tcW w:w="3625"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可能造成安全事故和环境</w:t>
            </w:r>
            <w:r>
              <w:rPr>
                <w:rFonts w:hint="eastAsia" w:ascii="宋体" w:hAnsi="宋体" w:eastAsia="宋体" w:cs="宋体"/>
                <w:color w:val="000000"/>
                <w:kern w:val="2"/>
                <w:sz w:val="15"/>
                <w:szCs w:val="15"/>
                <w:highlight w:val="none"/>
                <w:u w:val="none"/>
                <w:shd w:val="clear" w:color="auto" w:fill="auto"/>
                <w:lang w:val="zh-TW" w:eastAsia="zh-CN" w:bidi="zh-TW"/>
              </w:rPr>
              <w:t>污染</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二级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市发改委</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宋体" w:hAnsi="宋体" w:eastAsia="宋体" w:cs="宋体"/>
                <w:color w:val="000000"/>
                <w:kern w:val="2"/>
                <w:sz w:val="15"/>
                <w:szCs w:val="15"/>
                <w:highlight w:val="none"/>
                <w:u w:val="none"/>
                <w:shd w:val="clear" w:color="auto" w:fill="auto"/>
                <w:lang w:val="zh-TW" w:eastAsia="zh-CN" w:bidi="zh-TW"/>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TW" w:bidi="zh-TW"/>
              </w:rPr>
              <w:t>石油运输</w:t>
            </w:r>
          </w:p>
        </w:tc>
        <w:tc>
          <w:tcPr>
            <w:tcW w:w="2457"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石油输送首站、末站、减压站和压力、热力不可逾越的中间（热）泵站、其他各类输油站等</w:t>
            </w:r>
          </w:p>
        </w:tc>
        <w:tc>
          <w:tcPr>
            <w:tcW w:w="3625"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可能造成安全事故和环境</w:t>
            </w:r>
            <w:r>
              <w:rPr>
                <w:rFonts w:hint="eastAsia" w:ascii="宋体" w:hAnsi="宋体" w:eastAsia="宋体" w:cs="宋体"/>
                <w:color w:val="000000"/>
                <w:kern w:val="2"/>
                <w:sz w:val="15"/>
                <w:szCs w:val="15"/>
                <w:highlight w:val="none"/>
                <w:u w:val="none"/>
                <w:shd w:val="clear" w:color="auto" w:fill="auto"/>
                <w:lang w:val="zh-TW" w:eastAsia="zh-CN" w:bidi="zh-TW"/>
              </w:rPr>
              <w:t>污染</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二级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市发改委</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宋体" w:hAnsi="宋体" w:eastAsia="宋体" w:cs="宋体"/>
                <w:color w:val="000000"/>
                <w:kern w:val="2"/>
                <w:sz w:val="15"/>
                <w:szCs w:val="15"/>
                <w:highlight w:val="none"/>
                <w:u w:val="none"/>
                <w:shd w:val="clear" w:color="auto" w:fill="auto"/>
                <w:lang w:val="zh-TW" w:eastAsia="zh-CN" w:bidi="zh-TW"/>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34"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CN" w:bidi="zh-TW"/>
              </w:rPr>
              <w:t>交通运输</w:t>
            </w:r>
          </w:p>
        </w:tc>
        <w:tc>
          <w:tcPr>
            <w:tcW w:w="2457"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铁路牵引站、国家级铁路干线枢纽站</w:t>
            </w:r>
          </w:p>
        </w:tc>
        <w:tc>
          <w:tcPr>
            <w:tcW w:w="3625"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可能造成安全事故和大的社会影响</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CN" w:bidi="zh-TW"/>
              </w:rPr>
              <w:t>一级</w:t>
            </w:r>
          </w:p>
        </w:tc>
        <w:tc>
          <w:tcPr>
            <w:tcW w:w="1851"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宋体" w:hAnsi="宋体" w:eastAsia="宋体" w:cs="宋体"/>
                <w:color w:val="000000"/>
                <w:kern w:val="2"/>
                <w:sz w:val="15"/>
                <w:szCs w:val="15"/>
                <w:highlight w:val="none"/>
                <w:u w:val="none"/>
                <w:shd w:val="clear" w:color="auto" w:fill="auto"/>
                <w:lang w:val="zh-TW" w:eastAsia="zh-CN" w:bidi="zh-TW"/>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8"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TW" w:bidi="zh-TW"/>
              </w:rPr>
            </w:pPr>
          </w:p>
        </w:tc>
        <w:tc>
          <w:tcPr>
            <w:tcW w:w="2457"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铁路次级枢纽站、铁路特等客运站；</w:t>
            </w:r>
          </w:p>
        </w:tc>
        <w:tc>
          <w:tcPr>
            <w:tcW w:w="3625"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二级</w:t>
            </w:r>
          </w:p>
        </w:tc>
        <w:tc>
          <w:tcPr>
            <w:tcW w:w="1851"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76"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p>
        </w:tc>
        <w:tc>
          <w:tcPr>
            <w:tcW w:w="1314"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b/>
                <w:bCs/>
                <w:color w:val="000000"/>
                <w:kern w:val="2"/>
                <w:sz w:val="15"/>
                <w:szCs w:val="15"/>
                <w:highlight w:val="none"/>
                <w:u w:val="none"/>
                <w:shd w:val="clear" w:color="auto" w:fill="auto"/>
                <w:lang w:val="zh-TW" w:eastAsia="zh-CN" w:bidi="zh-TW"/>
              </w:rPr>
            </w:pPr>
            <w:r>
              <w:rPr>
                <w:rFonts w:hint="eastAsia" w:ascii="宋体" w:hAnsi="宋体" w:eastAsia="宋体" w:cs="宋体"/>
                <w:b/>
                <w:bCs/>
                <w:color w:val="000000"/>
                <w:kern w:val="2"/>
                <w:sz w:val="15"/>
                <w:szCs w:val="15"/>
                <w:highlight w:val="none"/>
                <w:u w:val="none"/>
                <w:shd w:val="clear" w:color="auto" w:fill="auto"/>
                <w:lang w:val="zh-TW" w:eastAsia="zh-CN" w:bidi="zh-TW"/>
              </w:rPr>
              <w:t>医疗卫生</w:t>
            </w:r>
          </w:p>
        </w:tc>
        <w:tc>
          <w:tcPr>
            <w:tcW w:w="2457"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三级（甲等）</w:t>
            </w:r>
            <w:r>
              <w:rPr>
                <w:rFonts w:hint="eastAsia" w:ascii="宋体" w:hAnsi="宋体" w:eastAsia="宋体" w:cs="宋体"/>
                <w:color w:val="000000"/>
                <w:kern w:val="2"/>
                <w:sz w:val="15"/>
                <w:szCs w:val="15"/>
                <w:highlight w:val="none"/>
                <w:u w:val="none"/>
                <w:shd w:val="clear" w:color="auto" w:fill="auto"/>
                <w:lang w:val="zh-TW" w:eastAsia="zh-CN" w:bidi="zh-TW"/>
              </w:rPr>
              <w:t>医院</w:t>
            </w:r>
          </w:p>
        </w:tc>
        <w:tc>
          <w:tcPr>
            <w:tcW w:w="3625"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color w:val="000000"/>
                <w:kern w:val="2"/>
                <w:sz w:val="15"/>
                <w:szCs w:val="15"/>
                <w:highlight w:val="none"/>
                <w:u w:val="none"/>
                <w:shd w:val="clear" w:color="auto" w:fill="auto"/>
                <w:lang w:val="zh-TW" w:eastAsia="zh-TW" w:bidi="zh-TW"/>
              </w:rPr>
            </w:pPr>
            <w:r>
              <w:rPr>
                <w:rFonts w:hint="eastAsia" w:ascii="宋体" w:hAnsi="宋体" w:eastAsia="宋体" w:cs="宋体"/>
                <w:color w:val="000000"/>
                <w:kern w:val="2"/>
                <w:sz w:val="15"/>
                <w:szCs w:val="15"/>
                <w:highlight w:val="none"/>
                <w:u w:val="none"/>
                <w:shd w:val="clear" w:color="auto" w:fill="auto"/>
                <w:lang w:val="zh-TW" w:eastAsia="zh-TW" w:bidi="zh-TW"/>
              </w:rPr>
              <w:t>可能引发人身伤亡、造成社会影响</w:t>
            </w:r>
          </w:p>
          <w:p>
            <w:pPr>
              <w:keepNext w:val="0"/>
              <w:keepLines w:val="0"/>
              <w:pageBreakBefore w:val="0"/>
              <w:widowControl w:val="0"/>
              <w:kinsoku/>
              <w:wordWrap/>
              <w:overflowPunct/>
              <w:topLinePunct w:val="0"/>
              <w:autoSpaceDE/>
              <w:autoSpaceDN/>
              <w:bidi w:val="0"/>
              <w:adjustRightInd/>
              <w:spacing w:line="560" w:lineRule="exact"/>
              <w:ind w:left="0" w:leftChars="0"/>
              <w:jc w:val="center"/>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和公共秩序混乱</w:t>
            </w:r>
          </w:p>
        </w:tc>
        <w:tc>
          <w:tcPr>
            <w:tcW w:w="818"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val="0"/>
              <w:spacing w:line="560" w:lineRule="exact"/>
              <w:ind w:left="0" w:leftChars="0"/>
              <w:jc w:val="center"/>
              <w:textAlignment w:val="auto"/>
              <w:outlineLvl w:val="9"/>
              <w:rPr>
                <w:rFonts w:hint="eastAsia" w:ascii="宋体" w:hAnsi="宋体" w:eastAsia="宋体" w:cs="宋体"/>
                <w:color w:val="000000"/>
                <w:kern w:val="2"/>
                <w:sz w:val="15"/>
                <w:szCs w:val="15"/>
                <w:highlight w:val="none"/>
                <w:u w:val="none"/>
                <w:shd w:val="clear" w:color="auto" w:fill="auto"/>
                <w:lang w:val="zh-TW"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二级</w:t>
            </w:r>
          </w:p>
        </w:tc>
        <w:tc>
          <w:tcPr>
            <w:tcW w:w="1851"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宋体" w:hAnsi="宋体" w:eastAsia="宋体" w:cs="宋体"/>
                <w:color w:val="000000"/>
                <w:kern w:val="2"/>
                <w:sz w:val="15"/>
                <w:szCs w:val="15"/>
                <w:highlight w:val="none"/>
                <w:u w:val="none"/>
                <w:shd w:val="clear" w:color="auto" w:fill="auto"/>
                <w:lang w:val="zh-TW" w:eastAsia="zh-CN" w:bidi="zh-TW"/>
              </w:rPr>
              <w:t>市</w:t>
            </w:r>
            <w:r>
              <w:rPr>
                <w:rFonts w:hint="eastAsia" w:ascii="宋体" w:hAnsi="宋体" w:cs="宋体"/>
                <w:color w:val="000000"/>
                <w:kern w:val="2"/>
                <w:sz w:val="15"/>
                <w:szCs w:val="15"/>
                <w:highlight w:val="none"/>
                <w:u w:val="none"/>
                <w:shd w:val="clear" w:color="auto" w:fill="auto"/>
                <w:lang w:val="zh-TW" w:eastAsia="zh-CN" w:bidi="zh-TW"/>
              </w:rPr>
              <w:t>卫健</w:t>
            </w:r>
            <w:r>
              <w:rPr>
                <w:rFonts w:hint="eastAsia" w:ascii="宋体" w:hAnsi="宋体" w:eastAsia="宋体" w:cs="宋体"/>
                <w:color w:val="000000"/>
                <w:kern w:val="2"/>
                <w:sz w:val="15"/>
                <w:szCs w:val="15"/>
                <w:highlight w:val="none"/>
                <w:u w:val="none"/>
                <w:shd w:val="clear" w:color="auto" w:fill="auto"/>
                <w:lang w:val="zh-TW" w:eastAsia="zh-CN" w:bidi="zh-TW"/>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7" w:hRule="atLeast"/>
          <w:jc w:val="center"/>
        </w:trPr>
        <w:tc>
          <w:tcPr>
            <w:tcW w:w="11065" w:type="dxa"/>
            <w:gridSpan w:val="6"/>
            <w:noWrap w:val="0"/>
            <w:vAlign w:val="top"/>
          </w:tcPr>
          <w:p>
            <w:pPr>
              <w:pStyle w:val="11"/>
              <w:keepNext w:val="0"/>
              <w:keepLines w:val="0"/>
              <w:pageBreakBefore w:val="0"/>
              <w:widowControl w:val="0"/>
              <w:kinsoku/>
              <w:wordWrap/>
              <w:overflowPunct/>
              <w:topLinePunct w:val="0"/>
              <w:autoSpaceDE/>
              <w:autoSpaceDN/>
              <w:bidi w:val="0"/>
              <w:adjustRightInd/>
              <w:snapToGrid w:val="0"/>
              <w:spacing w:line="560" w:lineRule="exact"/>
              <w:ind w:left="0" w:leftChars="0" w:firstLine="480"/>
              <w:jc w:val="left"/>
              <w:textAlignment w:val="auto"/>
              <w:outlineLvl w:val="9"/>
              <w:rPr>
                <w:rFonts w:hint="default" w:ascii="宋体" w:hAnsi="宋体" w:eastAsia="宋体" w:cs="宋体"/>
                <w:color w:val="000000"/>
                <w:kern w:val="2"/>
                <w:sz w:val="15"/>
                <w:szCs w:val="15"/>
                <w:highlight w:val="none"/>
                <w:u w:val="none"/>
                <w:shd w:val="clear" w:color="auto" w:fill="auto"/>
                <w:lang w:val="en-US" w:eastAsia="zh-CN" w:bidi="zh-TW"/>
              </w:rPr>
            </w:pPr>
            <w:r>
              <w:rPr>
                <w:rFonts w:hint="eastAsia" w:ascii="宋体" w:hAnsi="宋体" w:eastAsia="宋体" w:cs="宋体"/>
                <w:color w:val="000000"/>
                <w:kern w:val="2"/>
                <w:sz w:val="15"/>
                <w:szCs w:val="15"/>
                <w:highlight w:val="none"/>
                <w:u w:val="none"/>
                <w:shd w:val="clear" w:color="auto" w:fill="auto"/>
                <w:lang w:val="zh-TW" w:eastAsia="zh-TW" w:bidi="zh-TW"/>
              </w:rPr>
              <w:t>注</w:t>
            </w:r>
            <w:r>
              <w:rPr>
                <w:rFonts w:hint="eastAsia" w:ascii="宋体" w:hAnsi="宋体" w:eastAsia="宋体" w:cs="宋体"/>
                <w:color w:val="000000"/>
                <w:kern w:val="2"/>
                <w:sz w:val="15"/>
                <w:szCs w:val="15"/>
                <w:highlight w:val="none"/>
                <w:u w:val="none"/>
                <w:shd w:val="clear" w:color="auto" w:fill="auto"/>
                <w:lang w:val="en-US" w:eastAsia="zh-CN" w:bidi="zh-TW"/>
              </w:rPr>
              <w:t>1</w:t>
            </w:r>
            <w:r>
              <w:rPr>
                <w:rFonts w:hint="eastAsia" w:ascii="宋体" w:hAnsi="宋体" w:eastAsia="宋体" w:cs="宋体"/>
                <w:color w:val="000000"/>
                <w:kern w:val="2"/>
                <w:sz w:val="15"/>
                <w:szCs w:val="15"/>
                <w:highlight w:val="none"/>
                <w:u w:val="none"/>
                <w:shd w:val="clear" w:color="auto" w:fill="auto"/>
                <w:lang w:val="zh-TW" w:eastAsia="zh-CN" w:bidi="zh-TW"/>
              </w:rPr>
              <w:t>：此表依据《重要电力用户供电电源及自备应急电源配置技术规范》（GB/T29328-2018）整理。</w:t>
            </w:r>
          </w:p>
          <w:p>
            <w:pPr>
              <w:pStyle w:val="11"/>
              <w:keepNext w:val="0"/>
              <w:keepLines w:val="0"/>
              <w:pageBreakBefore w:val="0"/>
              <w:widowControl w:val="0"/>
              <w:kinsoku/>
              <w:wordWrap/>
              <w:overflowPunct/>
              <w:topLinePunct w:val="0"/>
              <w:autoSpaceDE/>
              <w:autoSpaceDN/>
              <w:bidi w:val="0"/>
              <w:adjustRightInd/>
              <w:snapToGrid w:val="0"/>
              <w:spacing w:line="560" w:lineRule="exact"/>
              <w:ind w:left="0" w:leftChars="0" w:firstLine="480"/>
              <w:jc w:val="left"/>
              <w:textAlignment w:val="auto"/>
              <w:outlineLvl w:val="9"/>
              <w:rPr>
                <w:rFonts w:hint="eastAsia" w:ascii="宋体" w:hAnsi="宋体" w:eastAsia="宋体" w:cs="宋体"/>
                <w:color w:val="000000"/>
                <w:kern w:val="2"/>
                <w:sz w:val="15"/>
                <w:szCs w:val="15"/>
                <w:highlight w:val="none"/>
                <w:u w:val="none"/>
                <w:shd w:val="clear" w:color="auto" w:fill="auto"/>
                <w:lang w:val="zh-TW" w:eastAsia="zh-TW" w:bidi="zh-TW"/>
              </w:rPr>
            </w:pPr>
            <w:r>
              <w:rPr>
                <w:rFonts w:hint="eastAsia" w:ascii="宋体" w:hAnsi="宋体" w:eastAsia="宋体" w:cs="宋体"/>
                <w:color w:val="000000"/>
                <w:kern w:val="2"/>
                <w:sz w:val="15"/>
                <w:szCs w:val="15"/>
                <w:highlight w:val="none"/>
                <w:u w:val="none"/>
                <w:shd w:val="clear" w:color="auto" w:fill="auto"/>
                <w:lang w:val="zh-TW" w:eastAsia="zh-TW" w:bidi="zh-TW"/>
              </w:rPr>
              <w:t>注</w:t>
            </w:r>
            <w:r>
              <w:rPr>
                <w:rFonts w:hint="eastAsia" w:ascii="宋体" w:hAnsi="宋体" w:eastAsia="宋体" w:cs="宋体"/>
                <w:color w:val="000000"/>
                <w:kern w:val="2"/>
                <w:sz w:val="15"/>
                <w:szCs w:val="15"/>
                <w:highlight w:val="none"/>
                <w:u w:val="none"/>
                <w:shd w:val="clear" w:color="auto" w:fill="auto"/>
                <w:lang w:val="en-US" w:eastAsia="zh-CN" w:bidi="zh-TW"/>
              </w:rPr>
              <w:t>2</w:t>
            </w:r>
            <w:r>
              <w:rPr>
                <w:rFonts w:hint="eastAsia" w:ascii="宋体" w:hAnsi="宋体" w:eastAsia="宋体" w:cs="宋体"/>
                <w:color w:val="000000"/>
                <w:kern w:val="2"/>
                <w:sz w:val="15"/>
                <w:szCs w:val="15"/>
                <w:highlight w:val="none"/>
                <w:u w:val="none"/>
                <w:shd w:val="clear" w:color="auto" w:fill="auto"/>
                <w:lang w:val="zh-TW" w:eastAsia="zh-CN" w:bidi="zh-TW"/>
              </w:rPr>
              <w:t>：</w:t>
            </w:r>
            <w:r>
              <w:rPr>
                <w:rFonts w:hint="eastAsia" w:ascii="宋体" w:hAnsi="宋体" w:eastAsia="宋体" w:cs="宋体"/>
                <w:color w:val="000000"/>
                <w:kern w:val="2"/>
                <w:sz w:val="15"/>
                <w:szCs w:val="15"/>
                <w:highlight w:val="none"/>
                <w:u w:val="none"/>
                <w:shd w:val="clear" w:color="auto" w:fill="auto"/>
                <w:lang w:val="zh-TW" w:eastAsia="zh-TW" w:bidi="zh-TW"/>
              </w:rPr>
              <w:t>本范围未含盖全部行业，其他行业可参考执行。</w:t>
            </w:r>
          </w:p>
          <w:p>
            <w:pPr>
              <w:pStyle w:val="11"/>
              <w:keepNext w:val="0"/>
              <w:keepLines w:val="0"/>
              <w:pageBreakBefore w:val="0"/>
              <w:widowControl w:val="0"/>
              <w:kinsoku/>
              <w:wordWrap/>
              <w:overflowPunct/>
              <w:topLinePunct w:val="0"/>
              <w:autoSpaceDE/>
              <w:autoSpaceDN/>
              <w:bidi w:val="0"/>
              <w:adjustRightInd/>
              <w:snapToGrid w:val="0"/>
              <w:spacing w:line="560" w:lineRule="exact"/>
              <w:ind w:left="0" w:leftChars="0" w:firstLine="480"/>
              <w:jc w:val="left"/>
              <w:textAlignment w:val="auto"/>
              <w:outlineLvl w:val="9"/>
              <w:rPr>
                <w:rFonts w:hint="eastAsia" w:ascii="黑体" w:hAnsi="黑体" w:eastAsia="黑体" w:cs="黑体"/>
                <w:b w:val="0"/>
                <w:bCs w:val="0"/>
                <w:color w:val="000000"/>
                <w:sz w:val="15"/>
                <w:szCs w:val="15"/>
                <w:highlight w:val="none"/>
                <w:vertAlign w:val="baseline"/>
                <w:lang w:eastAsia="zh-CN"/>
              </w:rPr>
            </w:pPr>
            <w:r>
              <w:rPr>
                <w:rFonts w:hint="eastAsia" w:ascii="宋体" w:hAnsi="宋体" w:eastAsia="宋体" w:cs="宋体"/>
                <w:color w:val="000000"/>
                <w:kern w:val="2"/>
                <w:sz w:val="15"/>
                <w:szCs w:val="15"/>
                <w:highlight w:val="none"/>
                <w:u w:val="none"/>
                <w:shd w:val="clear" w:color="auto" w:fill="auto"/>
                <w:lang w:val="zh-TW" w:eastAsia="zh-TW" w:bidi="zh-TW"/>
              </w:rPr>
              <w:t>注</w:t>
            </w:r>
            <w:r>
              <w:rPr>
                <w:rFonts w:hint="eastAsia" w:ascii="宋体" w:hAnsi="宋体" w:eastAsia="宋体" w:cs="宋体"/>
                <w:color w:val="000000"/>
                <w:kern w:val="2"/>
                <w:sz w:val="15"/>
                <w:szCs w:val="15"/>
                <w:highlight w:val="none"/>
                <w:u w:val="none"/>
                <w:shd w:val="clear" w:color="auto" w:fill="auto"/>
                <w:lang w:val="en-US" w:eastAsia="zh-CN" w:bidi="zh-TW"/>
              </w:rPr>
              <w:t>3</w:t>
            </w:r>
            <w:r>
              <w:rPr>
                <w:rFonts w:hint="eastAsia" w:ascii="宋体" w:hAnsi="宋体" w:eastAsia="宋体" w:cs="宋体"/>
                <w:color w:val="000000"/>
                <w:kern w:val="2"/>
                <w:sz w:val="15"/>
                <w:szCs w:val="15"/>
                <w:highlight w:val="none"/>
                <w:u w:val="none"/>
                <w:shd w:val="clear" w:color="auto" w:fill="auto"/>
                <w:lang w:val="zh-TW" w:eastAsia="zh-TW" w:bidi="zh-TW"/>
              </w:rPr>
              <w:t>：不同地区重要电力用户范围可参照各地区发展情况确定。</w:t>
            </w:r>
          </w:p>
        </w:tc>
      </w:tr>
    </w:tbl>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r>
        <w:rPr>
          <w:rFonts w:hint="eastAsia" w:ascii="仿宋_GB2312" w:hAnsi="仿宋_GB2312" w:eastAsia="仿宋_GB2312" w:cs="仿宋_GB2312"/>
          <w:b w:val="0"/>
          <w:bCs w:val="0"/>
          <w:snapToGrid w:val="0"/>
          <w:color w:val="000000"/>
          <w:kern w:val="0"/>
          <w:sz w:val="32"/>
          <w:szCs w:val="32"/>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保安负荷：</w:t>
      </w:r>
      <w:r>
        <w:rPr>
          <w:rFonts w:hint="eastAsia" w:ascii="方正仿宋_GBK" w:hAnsi="方正仿宋_GBK" w:eastAsia="方正仿宋_GBK" w:cs="方正仿宋_GBK"/>
          <w:color w:val="000000"/>
          <w:sz w:val="32"/>
          <w:szCs w:val="32"/>
          <w:highlight w:val="none"/>
          <w:lang w:val="en-US" w:eastAsia="zh-CN"/>
        </w:rPr>
        <w:t>用于保障用电场所人身与财产安全所需的电力负荷，断电后会造成下列后果之一：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1.直接引发人身伤亡的；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2.使有毒、有害物溢出，造成环境大面积污染的；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3.将引起爆炸或火灾的；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4.将引起较大范围社会秩序混乱或在政治上产生严重影响的。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5.将造成重大生产设备损坏或引起重大直接经济损失的。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主供电源：</w:t>
      </w:r>
      <w:r>
        <w:rPr>
          <w:rFonts w:hint="eastAsia" w:ascii="方正仿宋_GBK" w:hAnsi="方正仿宋_GBK" w:eastAsia="方正仿宋_GBK" w:cs="方正仿宋_GBK"/>
          <w:color w:val="000000"/>
          <w:sz w:val="32"/>
          <w:szCs w:val="32"/>
          <w:highlight w:val="none"/>
          <w:lang w:val="en-US" w:eastAsia="zh-CN"/>
        </w:rPr>
        <w:t>在正常情况下，能有效为全部负荷提供电力的电源。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备用电源：</w:t>
      </w:r>
      <w:r>
        <w:rPr>
          <w:rFonts w:hint="eastAsia" w:ascii="方正仿宋_GBK" w:hAnsi="方正仿宋_GBK" w:eastAsia="方正仿宋_GBK" w:cs="方正仿宋_GBK"/>
          <w:color w:val="000000"/>
          <w:sz w:val="32"/>
          <w:szCs w:val="32"/>
          <w:highlight w:val="none"/>
          <w:lang w:val="en-US" w:eastAsia="zh-CN"/>
        </w:rPr>
        <w:t>在主供电源发生故障或断电时，能有效为全部负荷或保安负荷提供电力的电源。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自备应急电源：</w:t>
      </w:r>
      <w:r>
        <w:rPr>
          <w:rFonts w:hint="eastAsia" w:ascii="方正仿宋_GBK" w:hAnsi="方正仿宋_GBK" w:eastAsia="方正仿宋_GBK" w:cs="方正仿宋_GBK"/>
          <w:color w:val="000000"/>
          <w:sz w:val="32"/>
          <w:szCs w:val="32"/>
          <w:highlight w:val="none"/>
          <w:lang w:val="en-US" w:eastAsia="zh-CN"/>
        </w:rPr>
        <w:t>在主供和备用电源全部发生中断的情况下，由客户自行配置的，能为客户保安负荷可靠供电的独立电源。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双回路：</w:t>
      </w:r>
      <w:r>
        <w:rPr>
          <w:rFonts w:hint="eastAsia" w:ascii="方正仿宋_GBK" w:hAnsi="方正仿宋_GBK" w:eastAsia="方正仿宋_GBK" w:cs="方正仿宋_GBK"/>
          <w:color w:val="000000"/>
          <w:sz w:val="32"/>
          <w:szCs w:val="32"/>
          <w:highlight w:val="none"/>
          <w:lang w:val="en-US" w:eastAsia="zh-CN"/>
        </w:rPr>
        <w:t>为同一客户负荷供电的两回供电线路，两回供电线路可以来自同一变电站的同一母线段。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双电源：</w:t>
      </w:r>
      <w:r>
        <w:rPr>
          <w:rFonts w:hint="eastAsia" w:ascii="方正仿宋_GBK" w:hAnsi="方正仿宋_GBK" w:eastAsia="方正仿宋_GBK" w:cs="方正仿宋_GBK"/>
          <w:color w:val="000000"/>
          <w:sz w:val="32"/>
          <w:szCs w:val="32"/>
          <w:highlight w:val="none"/>
          <w:lang w:val="en-US" w:eastAsia="zh-CN"/>
        </w:rPr>
        <w:t>为同一客户负荷供电的两回供电线路，两回供电线路可以分别来自两个不同变电站，或来自不同电源进线的同一变电站内两段母线。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多电源：</w:t>
      </w:r>
      <w:r>
        <w:rPr>
          <w:rFonts w:hint="eastAsia" w:ascii="方正仿宋_GBK" w:hAnsi="方正仿宋_GBK" w:eastAsia="方正仿宋_GBK" w:cs="方正仿宋_GBK"/>
          <w:color w:val="000000"/>
          <w:sz w:val="32"/>
          <w:szCs w:val="32"/>
          <w:highlight w:val="none"/>
          <w:lang w:val="en-US" w:eastAsia="zh-CN"/>
        </w:rPr>
        <w:t>为同一客户负荷供电的两回以上供电线路，至少有两回供电线路分别来自两个不同变电站。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非电保安措施：</w:t>
      </w:r>
      <w:r>
        <w:rPr>
          <w:rFonts w:hint="eastAsia" w:ascii="方正仿宋_GBK" w:hAnsi="方正仿宋_GBK" w:eastAsia="方正仿宋_GBK" w:cs="方正仿宋_GBK"/>
          <w:color w:val="000000"/>
          <w:sz w:val="32"/>
          <w:szCs w:val="32"/>
          <w:highlight w:val="none"/>
          <w:lang w:val="en-US" w:eastAsia="zh-CN"/>
        </w:rPr>
        <w:t>为保证安全，客户所采取的非电性质的应急手段和方法。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EPS：</w:t>
      </w:r>
      <w:r>
        <w:rPr>
          <w:rFonts w:hint="eastAsia" w:ascii="方正仿宋_GBK" w:hAnsi="方正仿宋_GBK" w:eastAsia="方正仿宋_GBK" w:cs="方正仿宋_GBK"/>
          <w:color w:val="000000"/>
          <w:sz w:val="32"/>
          <w:szCs w:val="32"/>
          <w:highlight w:val="none"/>
          <w:lang w:val="en-US" w:eastAsia="zh-CN"/>
        </w:rPr>
        <w:t>应急电源。</w:t>
      </w:r>
    </w:p>
    <w:p>
      <w:pPr>
        <w:pStyle w:val="4"/>
        <w:keepNext w:val="0"/>
        <w:keepLines w:val="0"/>
        <w:pageBreakBefore w:val="0"/>
        <w:widowControl w:val="0"/>
        <w:numPr>
          <w:ilvl w:val="0"/>
          <w:numId w:val="0"/>
        </w:numPr>
        <w:kinsoku/>
        <w:wordWrap/>
        <w:overflowPunct/>
        <w:topLinePunct w:val="0"/>
        <w:autoSpaceDE/>
        <w:autoSpaceDN/>
        <w:bidi w:val="0"/>
        <w:adjustRightInd/>
        <w:spacing w:after="0" w:afterLines="0" w:line="560" w:lineRule="exact"/>
        <w:ind w:left="0" w:leftChars="0"/>
        <w:outlineLvl w:val="9"/>
        <w:rPr>
          <w:rFonts w:hint="eastAsia" w:ascii="仿宋_GB2312" w:hAnsi="仿宋_GB2312" w:eastAsia="仿宋_GB2312" w:cs="仿宋_GB2312"/>
          <w:b w:val="0"/>
          <w:bCs w:val="0"/>
          <w:snapToGrid w:val="0"/>
          <w:color w:val="000000"/>
          <w:kern w:val="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UPS：</w:t>
      </w:r>
      <w:r>
        <w:rPr>
          <w:rFonts w:hint="eastAsia" w:ascii="方正仿宋_GBK" w:hAnsi="方正仿宋_GBK" w:eastAsia="方正仿宋_GBK" w:cs="方正仿宋_GBK"/>
          <w:color w:val="000000"/>
          <w:sz w:val="32"/>
          <w:szCs w:val="32"/>
          <w:highlight w:val="none"/>
          <w:lang w:val="en-US" w:eastAsia="zh-CN"/>
        </w:rPr>
        <w:t>不间断电源。</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18143B"/>
    <w:rsid w:val="057E709F"/>
    <w:rsid w:val="0A04150F"/>
    <w:rsid w:val="0A237BD1"/>
    <w:rsid w:val="0A347760"/>
    <w:rsid w:val="0BD554C0"/>
    <w:rsid w:val="0BE20EB4"/>
    <w:rsid w:val="0CE73EC1"/>
    <w:rsid w:val="0D6D499C"/>
    <w:rsid w:val="11E155BC"/>
    <w:rsid w:val="13196974"/>
    <w:rsid w:val="16E36993"/>
    <w:rsid w:val="18261EB2"/>
    <w:rsid w:val="18FF153C"/>
    <w:rsid w:val="19811E3C"/>
    <w:rsid w:val="1CF70538"/>
    <w:rsid w:val="1FF450BD"/>
    <w:rsid w:val="202B6605"/>
    <w:rsid w:val="20C97068"/>
    <w:rsid w:val="229800A2"/>
    <w:rsid w:val="234C71C3"/>
    <w:rsid w:val="24812A65"/>
    <w:rsid w:val="248B0A82"/>
    <w:rsid w:val="27E12005"/>
    <w:rsid w:val="28484A7D"/>
    <w:rsid w:val="284C30A5"/>
    <w:rsid w:val="2E8C72F1"/>
    <w:rsid w:val="2EA54486"/>
    <w:rsid w:val="30AE0816"/>
    <w:rsid w:val="31A26136"/>
    <w:rsid w:val="33872FE5"/>
    <w:rsid w:val="360E2115"/>
    <w:rsid w:val="36372D69"/>
    <w:rsid w:val="39181147"/>
    <w:rsid w:val="39F66BB2"/>
    <w:rsid w:val="3CF64DED"/>
    <w:rsid w:val="3D77589A"/>
    <w:rsid w:val="3E197ECE"/>
    <w:rsid w:val="414B5C1F"/>
    <w:rsid w:val="486E41FC"/>
    <w:rsid w:val="4BB668C0"/>
    <w:rsid w:val="516076A1"/>
    <w:rsid w:val="532E5101"/>
    <w:rsid w:val="55302DBB"/>
    <w:rsid w:val="587860BE"/>
    <w:rsid w:val="589B6777"/>
    <w:rsid w:val="58D05456"/>
    <w:rsid w:val="58E11C1C"/>
    <w:rsid w:val="5A7F007C"/>
    <w:rsid w:val="5D092950"/>
    <w:rsid w:val="5EAE6705"/>
    <w:rsid w:val="5F031A73"/>
    <w:rsid w:val="636F1E2C"/>
    <w:rsid w:val="64A540AF"/>
    <w:rsid w:val="64FC738B"/>
    <w:rsid w:val="68600074"/>
    <w:rsid w:val="6DBC7189"/>
    <w:rsid w:val="716E2D52"/>
    <w:rsid w:val="739C6736"/>
    <w:rsid w:val="73E72415"/>
    <w:rsid w:val="75701310"/>
    <w:rsid w:val="77681A99"/>
    <w:rsid w:val="77F01C5F"/>
    <w:rsid w:val="788B596E"/>
    <w:rsid w:val="79080BF7"/>
    <w:rsid w:val="797856A5"/>
    <w:rsid w:val="7C5321F2"/>
    <w:rsid w:val="7C771056"/>
    <w:rsid w:val="7DF2735F"/>
    <w:rsid w:val="7F506C86"/>
    <w:rsid w:val="FFD7FE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qFormat/>
    <w:uiPriority w:val="0"/>
    <w:pPr>
      <w:spacing w:after="120"/>
    </w:pPr>
    <w:rPr>
      <w:kern w:val="2"/>
      <w:sz w:val="21"/>
      <w:szCs w:val="20"/>
      <w:lang w:bidi="ar-SA"/>
    </w:rPr>
  </w:style>
  <w:style w:type="paragraph" w:styleId="4">
    <w:name w:val="Body Text Indent"/>
    <w:basedOn w:val="1"/>
    <w:unhideWhenUsed/>
    <w:qFormat/>
    <w:uiPriority w:val="99"/>
    <w:pPr>
      <w:spacing w:after="120" w:afterLines="0" w:afterAutospacing="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Other|1"/>
    <w:basedOn w:val="1"/>
    <w:qFormat/>
    <w:uiPriority w:val="0"/>
    <w:pPr>
      <w:widowControl w:val="0"/>
      <w:shd w:val="clear" w:color="auto" w:fill="auto"/>
      <w:spacing w:line="283" w:lineRule="auto"/>
    </w:pPr>
    <w:rPr>
      <w:rFonts w:ascii="宋体" w:hAnsi="宋体" w:eastAsia="宋体" w:cs="宋体"/>
      <w:color w:val="4C4C4C"/>
      <w:sz w:val="16"/>
      <w:szCs w:val="1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16</Pages>
  <Words>7150</Words>
  <Characters>7205</Characters>
  <Lines>0</Lines>
  <Paragraphs>0</Paragraphs>
  <TotalTime>7</TotalTime>
  <ScaleCrop>false</ScaleCrop>
  <LinksUpToDate>false</LinksUpToDate>
  <CharactersWithSpaces>7238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亮兄亮弟</cp:lastModifiedBy>
  <cp:lastPrinted>2023-02-28T08:26:28Z</cp:lastPrinted>
  <dcterms:modified xsi:type="dcterms:W3CDTF">2023-03-23T05:56:08Z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5CABD9B819FA4C938C3FF88B8AD488DD</vt:lpwstr>
  </property>
</Properties>
</file>