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2023年预算绩效工作开展情况说明</w:t>
      </w:r>
      <w:bookmarkEnd w:id="0"/>
    </w:p>
    <w:p>
      <w:pPr>
        <w:pStyle w:val="5"/>
        <w:spacing w:line="560" w:lineRule="exact"/>
        <w:ind w:firstLine="643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spacing w:line="560" w:lineRule="exact"/>
        <w:ind w:firstLine="64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2023年双台子区本级部门预算绩效目标编制和公开工作，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关于全面实施预算绩效管理的有关要求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和部署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以实施全面预算绩效管理为主线，以财政资金绩效管理目标为导向，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牢固树立预算绩效管理理念，建立健全绩效信息化管理体系，全方位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推进预算和绩效管理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，做到“花钱必问效，无效必问责”，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财政资金使用的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安全性、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有效性和合法性。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一、实现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预算绩效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目标全过程信息化管理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继续依托预算绩效管理一体化平台，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对一般公共预算、政府性基金预算、国有资本经营预算实施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了全过程信息化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管理。一般公共预算中，除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项目、不公开项目和偿债类项目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均纳入绩效管理范围。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2023年区本级部门项目（政策）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支出82729.97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绩效管理；区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个一级预算部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门、56</w:t>
      </w:r>
      <w:r>
        <w:rPr>
          <w:rFonts w:hint="eastAsia" w:ascii="仿宋_GB2312" w:hAnsi="仿宋_GB2312" w:eastAsia="仿宋_GB2312" w:cs="仿宋_GB2312"/>
          <w:sz w:val="32"/>
          <w:szCs w:val="32"/>
        </w:rPr>
        <w:t>个二级预算单位编制了20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部门整体绩效目标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（涉密除外）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二、推进绩效目标与部门预算编制同步运行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编制预算的</w:t>
      </w:r>
      <w:r>
        <w:rPr>
          <w:rFonts w:hint="eastAsia" w:ascii="仿宋_GB2312" w:eastAsia="仿宋_GB2312" w:cs="仿宋_GB2312"/>
          <w:bCs/>
          <w:sz w:val="32"/>
          <w:szCs w:val="32"/>
        </w:rPr>
        <w:t>各部门各单位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均</w:t>
      </w:r>
      <w:r>
        <w:rPr>
          <w:rFonts w:hint="eastAsia" w:ascii="仿宋_GB2312" w:eastAsia="仿宋_GB2312" w:cs="仿宋_GB2312"/>
          <w:bCs/>
          <w:sz w:val="32"/>
          <w:szCs w:val="32"/>
        </w:rPr>
        <w:t>编制整体绩效目标，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通过部门和单位整体绩效来评估实施效果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特定目标类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  <w:t>和其他运转类项目均编制绩效目标。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以部门和单位为主体，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将</w:t>
      </w:r>
      <w:r>
        <w:rPr>
          <w:rFonts w:hint="eastAsia" w:ascii="仿宋_GB2312" w:eastAsia="仿宋_GB2312" w:cs="仿宋_GB2312"/>
          <w:bCs/>
          <w:sz w:val="32"/>
          <w:szCs w:val="32"/>
        </w:rPr>
        <w:t>所有申报预算的项目都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提前纳入项目库，超过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500万元的预算项目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进行事前绩效评估</w:t>
      </w:r>
      <w:r>
        <w:rPr>
          <w:rFonts w:hint="eastAsia" w:asci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绩效目标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实施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规范化、标准化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/>
        </w:rPr>
        <w:t>实现绩效目标与部门预算同步编报、审核、批复、公开。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三、规范预算绩效目标操作流程</w:t>
      </w:r>
    </w:p>
    <w:p>
      <w:pPr>
        <w:pStyle w:val="5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全方位，全过程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绩效目标管理为核心，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全面规范操作流程，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围绕部门和单位职责、产出和效果等合理设置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部门整体绩效目标和项目（政策）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绩效目标，并将绩效目标管理贯穿到预算管理全过程，绩效目标作为预算安排的前置条件和项目实施、跟踪监控、评价的重要依据。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ZTA5YzYzMjM2ZDMwN2FkMDFiYzk1ZjBlMTRmZGIifQ=="/>
  </w:docVars>
  <w:rsids>
    <w:rsidRoot w:val="161E5C48"/>
    <w:rsid w:val="161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2023-02-16T01:45:00Z</dcterms:created>
  <dc:creator>lenovo</dc:creator>
  <cp:lastModifiedBy>lenovo</cp:lastModifiedBy>
  <dcterms:modified xsi:type="dcterms:W3CDTF">2023-02-16T01:56:22Z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7ACDE51F7BE1496B977DFC89CFDB83E1</vt:lpwstr>
  </property>
</Properties>
</file>