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宋体" w:hAnsi="宋体" w:eastAsia="宋体"/>
          <w:b/>
          <w:sz w:val="44"/>
          <w:szCs w:val="44"/>
          <w:lang w:val="en-US"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u w:val="single"/>
        </w:rPr>
      </w:pPr>
      <w:r>
        <w:rPr>
          <w:rFonts w:hint="eastAsia" w:ascii="方正小标宋_GBK" w:hAnsi="方正小标宋_GBK" w:eastAsia="方正小标宋_GBK" w:cs="方正小标宋_GBK"/>
          <w:b w:val="0"/>
          <w:bCs/>
          <w:sz w:val="44"/>
          <w:szCs w:val="44"/>
        </w:rPr>
        <w:t>盘锦市</w:t>
      </w:r>
      <w:r>
        <w:rPr>
          <w:rFonts w:hint="eastAsia" w:ascii="方正小标宋_GBK" w:hAnsi="方正小标宋_GBK" w:eastAsia="方正小标宋_GBK" w:cs="方正小标宋_GBK"/>
          <w:b w:val="0"/>
          <w:bCs/>
          <w:sz w:val="44"/>
          <w:szCs w:val="44"/>
          <w:lang w:eastAsia="zh-CN"/>
        </w:rPr>
        <w:t>兴隆台区司法局202</w:t>
      </w:r>
      <w:r>
        <w:rPr>
          <w:rFonts w:hint="eastAsia" w:ascii="方正小标宋_GBK" w:hAnsi="方正小标宋_GBK" w:eastAsia="方正小标宋_GBK" w:cs="方正小标宋_GBK"/>
          <w:b w:val="0"/>
          <w:bCs/>
          <w:sz w:val="44"/>
          <w:szCs w:val="44"/>
          <w:lang w:val="en-US" w:eastAsia="zh-CN"/>
        </w:rPr>
        <w:t>3</w:t>
      </w:r>
      <w:r>
        <w:rPr>
          <w:rFonts w:hint="eastAsia" w:ascii="方正小标宋_GBK" w:hAnsi="方正小标宋_GBK" w:eastAsia="方正小标宋_GBK" w:cs="方正小标宋_GBK"/>
          <w:b w:val="0"/>
          <w:bCs/>
          <w:sz w:val="44"/>
          <w:szCs w:val="44"/>
        </w:rPr>
        <w:t>年度部门预算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b w:val="0"/>
          <w:bCs/>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目    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黑体" w:hAnsi="黑体" w:eastAsia="黑体" w:cs="黑体"/>
          <w:b w:val="0"/>
          <w:bCs/>
          <w:sz w:val="32"/>
          <w:szCs w:val="32"/>
          <w:u w:val="singl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b w:val="0"/>
          <w:bCs/>
          <w:sz w:val="32"/>
          <w:szCs w:val="32"/>
        </w:rPr>
      </w:pPr>
      <w:r>
        <w:rPr>
          <w:rFonts w:hint="eastAsia" w:ascii="黑体" w:hAnsi="黑体" w:eastAsia="黑体"/>
          <w:b w:val="0"/>
          <w:bCs/>
          <w:sz w:val="32"/>
          <w:szCs w:val="32"/>
        </w:rPr>
        <w:t>第一部分  盘锦市</w:t>
      </w:r>
      <w:r>
        <w:rPr>
          <w:rFonts w:hint="eastAsia" w:ascii="黑体" w:hAnsi="黑体" w:eastAsia="黑体"/>
          <w:b w:val="0"/>
          <w:bCs/>
          <w:sz w:val="32"/>
          <w:szCs w:val="32"/>
          <w:lang w:val="en-US" w:eastAsia="zh-CN"/>
        </w:rPr>
        <w:t>兴隆台区司法局</w:t>
      </w:r>
      <w:r>
        <w:rPr>
          <w:rFonts w:hint="eastAsia" w:ascii="黑体" w:hAnsi="黑体" w:eastAsia="黑体"/>
          <w:b w:val="0"/>
          <w:bCs/>
          <w:sz w:val="32"/>
          <w:szCs w:val="32"/>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b/>
          <w:sz w:val="32"/>
          <w:szCs w:val="32"/>
        </w:rPr>
      </w:pPr>
      <w:r>
        <w:rPr>
          <w:rFonts w:hint="eastAsia" w:ascii="黑体" w:hAnsi="黑体" w:eastAsia="黑体"/>
          <w:sz w:val="32"/>
          <w:szCs w:val="32"/>
        </w:rPr>
        <w:t>第二部分  盘锦市</w:t>
      </w:r>
      <w:r>
        <w:rPr>
          <w:rFonts w:hint="eastAsia" w:ascii="黑体" w:hAnsi="黑体" w:eastAsia="黑体"/>
          <w:sz w:val="32"/>
          <w:szCs w:val="32"/>
          <w:lang w:val="en-US" w:eastAsia="zh-CN"/>
        </w:rPr>
        <w:t>兴隆台区司法局</w:t>
      </w:r>
      <w:r>
        <w:rPr>
          <w:rFonts w:hint="eastAsia" w:ascii="黑体" w:hAnsi="黑体" w:eastAsia="黑体"/>
          <w:sz w:val="32"/>
          <w:szCs w:val="32"/>
          <w:lang w:eastAsia="zh-CN"/>
        </w:rPr>
        <w:t>202</w:t>
      </w:r>
      <w:r>
        <w:rPr>
          <w:rFonts w:hint="eastAsia" w:ascii="黑体" w:hAnsi="黑体" w:eastAsia="黑体"/>
          <w:sz w:val="32"/>
          <w:szCs w:val="32"/>
          <w:lang w:val="en-US" w:eastAsia="zh-CN"/>
        </w:rPr>
        <w:t>3</w:t>
      </w:r>
      <w:r>
        <w:rPr>
          <w:rFonts w:hint="eastAsia" w:ascii="黑体" w:hAnsi="黑体" w:eastAsia="黑体"/>
          <w:sz w:val="32"/>
          <w:szCs w:val="32"/>
        </w:rPr>
        <w:t>年度部门预算</w:t>
      </w:r>
      <w:r>
        <w:rPr>
          <w:rFonts w:hint="eastAsia" w:ascii="黑体" w:hAnsi="黑体" w:eastAsia="黑体"/>
          <w:sz w:val="32"/>
          <w:szCs w:val="32"/>
          <w:lang w:eastAsia="zh-CN"/>
        </w:rPr>
        <w:t>公开</w:t>
      </w:r>
      <w:r>
        <w:rPr>
          <w:rFonts w:hint="eastAsia" w:ascii="黑体" w:hAnsi="黑体" w:eastAsia="黑体"/>
          <w:sz w:val="32"/>
          <w:szCs w:val="32"/>
        </w:rPr>
        <w:t>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年度部门收支总体情况表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年度部门收入总体情况表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年度部门支出总体情况表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年度财政拨款收支总体情况表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年度一般公共预算支出情况表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年度一般公共预算基本支出情况表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年度一般公共预算“三公”经费支出情况表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年度政府性基金预算支出情况表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年度综合预算项目支出表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 w:hAnsi="仿宋" w:eastAsia="仿宋" w:cs="仿宋"/>
          <w:sz w:val="32"/>
          <w:szCs w:val="32"/>
          <w:lang w:val="en-US" w:eastAsia="zh-CN"/>
        </w:rPr>
        <w:t>2023年度</w:t>
      </w:r>
      <w:r>
        <w:rPr>
          <w:rFonts w:hint="eastAsia" w:ascii="仿宋" w:hAnsi="仿宋" w:eastAsia="仿宋" w:cs="仿宋"/>
          <w:sz w:val="32"/>
          <w:szCs w:val="32"/>
          <w:lang w:eastAsia="zh-CN"/>
        </w:rPr>
        <w:t>部门（单位）整体绩效目标表（</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年度部门预算项目（政策）绩效目标情况表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第三部分  盘锦市</w:t>
      </w:r>
      <w:r>
        <w:rPr>
          <w:rFonts w:hint="eastAsia" w:ascii="黑体" w:hAnsi="黑体" w:eastAsia="黑体"/>
          <w:sz w:val="32"/>
          <w:szCs w:val="32"/>
          <w:lang w:val="en-US" w:eastAsia="zh-CN"/>
        </w:rPr>
        <w:t>兴隆台区司法局2023</w:t>
      </w:r>
      <w:r>
        <w:rPr>
          <w:rFonts w:hint="eastAsia" w:ascii="黑体" w:hAnsi="黑体" w:eastAsia="黑体"/>
          <w:sz w:val="32"/>
          <w:szCs w:val="32"/>
        </w:rPr>
        <w:t>年度部门预算情况说明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一、收支</w:t>
      </w:r>
      <w:r>
        <w:rPr>
          <w:rFonts w:hint="eastAsia" w:ascii="仿宋_GB2312" w:hAnsi="仿宋_GB2312" w:eastAsia="仿宋_GB2312" w:cs="仿宋_GB2312"/>
          <w:sz w:val="32"/>
          <w:szCs w:val="32"/>
          <w:lang w:eastAsia="zh-CN"/>
        </w:rPr>
        <w:t>预算的总体</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b/>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u w:val="singl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第一部分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盘锦市</w:t>
      </w:r>
      <w:r>
        <w:rPr>
          <w:rFonts w:hint="eastAsia" w:ascii="方正小标宋_GBK" w:hAnsi="方正小标宋_GBK" w:eastAsia="方正小标宋_GBK" w:cs="方正小标宋_GBK"/>
          <w:b w:val="0"/>
          <w:bCs/>
          <w:sz w:val="44"/>
          <w:szCs w:val="44"/>
          <w:lang w:val="en-US" w:eastAsia="zh-CN"/>
        </w:rPr>
        <w:t>兴隆台区司法局部门</w:t>
      </w:r>
      <w:r>
        <w:rPr>
          <w:rFonts w:hint="eastAsia" w:ascii="方正小标宋_GBK" w:hAnsi="方正小标宋_GBK" w:eastAsia="方正小标宋_GBK" w:cs="方正小标宋_GBK"/>
          <w:b w:val="0"/>
          <w:bCs/>
          <w:sz w:val="44"/>
          <w:szCs w:val="44"/>
        </w:rPr>
        <w:t>概况</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方正小标宋_GBK" w:hAnsi="方正小标宋_GBK" w:eastAsia="方正小标宋_GBK" w:cs="方正小标宋_GBK"/>
          <w:b w:val="0"/>
          <w:bCs/>
          <w:sz w:val="44"/>
          <w:szCs w:val="44"/>
        </w:rPr>
      </w:pPr>
    </w:p>
    <w:p>
      <w:pPr>
        <w:widowControl/>
        <w:numPr>
          <w:ilvl w:val="0"/>
          <w:numId w:val="1"/>
        </w:numPr>
        <w:spacing w:line="620" w:lineRule="exact"/>
        <w:rPr>
          <w:rFonts w:hint="eastAsia" w:ascii="黑体" w:hAnsi="黑体" w:eastAsia="黑体"/>
          <w:color w:val="000000"/>
          <w:sz w:val="32"/>
        </w:rPr>
      </w:pPr>
      <w:r>
        <w:rPr>
          <w:rFonts w:hint="eastAsia" w:ascii="黑体" w:hAnsi="黑体" w:eastAsia="黑体"/>
          <w:color w:val="000000"/>
          <w:sz w:val="32"/>
        </w:rPr>
        <w:t>主要职责</w:t>
      </w:r>
    </w:p>
    <w:p>
      <w:pPr>
        <w:spacing w:line="600" w:lineRule="exact"/>
        <w:ind w:firstLine="480" w:firstLineChars="15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（一）承担全面依法治区重大问题的研究，协调有关方面提出全面依法治区中长期规划建议，负责有关重大决策问题部署督察工作。</w:t>
      </w:r>
    </w:p>
    <w:p>
      <w:pPr>
        <w:spacing w:line="600" w:lineRule="exact"/>
        <w:ind w:firstLine="480" w:firstLineChars="15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（二）负责区政府、区政府办公室发布的行政规范性文件合法性审查。负责各街道办事处、区直部门行政规范性文件的备案审查工作。组织开展行政规范性文件的清理工作。</w:t>
      </w:r>
    </w:p>
    <w:p>
      <w:pPr>
        <w:spacing w:line="600" w:lineRule="exact"/>
        <w:ind w:firstLine="480" w:firstLineChars="15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三）承办向区政府申请的行政复议案件工作，负责应诉案件办理工作。指导、监督全区行政复议、行政应诉和行政赔偿工作。研究行政复议和应诉工作中存在的普遍性问题，向区政府提出相关建议和意见，起草行政复议和应诉方面的有关制度。负责各街道办事处、区直部门行政复议决定的备案审查。</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四）承担统筹推进法治政府建设的责任。指导、监督区政府各部门、各街道办事处依法行政工作，组织开展法治政府建设理论研究和宣传工作，负责综合协调行政执法，指导、监督各街道办事处、区直各部门行政执法工作。</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五）承担统筹规划法治社会建设的责任，按照中央、省委、市委和区委的统一部署拟订全区法治宣传教育实施规划，组织实施全民普法工作，协助落实区政府领导干部学法制度。推动人民参与和促进法治建设，指导依法治理和法治创建工作，指导调解工作和人民陪审员、人民监督员选任管理工作，推进司法所建设。</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（六）负责社区矫正和刑满释放人员帮教安置工作。</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（七）负责拟订公共法律服务体系建设具体规划并组织实施，统筹和布局城乡、区域法律服务资源，指导、监督公共法律服务中心建设，协调、监督律师、法律援助、司法鉴定、公证和基层法律服务管理工作。</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（八）负责区政府法律顾问工作，对区政府作出的重大行政决策进行合法性审查，负责区政府法律事务咨询等工作。</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（九）负责本系统服装和警车管理工作，指导、监督本系统财务、装备、设施、场所等保障工作。</w:t>
      </w:r>
    </w:p>
    <w:p>
      <w:pPr>
        <w:spacing w:line="60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组织实施司法行政系统政治机关建设工作。负责司法行政系统信息化建设工作。指导司法行政系统基层党建和法律服务行业党建工作。规划、协调、指导法治人才队伍建设相关工作，指导、监督本系统队伍建设。管理各司法所干部。</w:t>
      </w:r>
    </w:p>
    <w:p>
      <w:pPr>
        <w:spacing w:line="600" w:lineRule="exact"/>
        <w:ind w:firstLine="480" w:firstLineChars="15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（十一）依照《安全生产法》和其他有关法律、法规的规定，部门职责范围内负责对行业、领域的安全生产工作实施监督管理。</w:t>
      </w:r>
    </w:p>
    <w:p>
      <w:pPr>
        <w:spacing w:line="600" w:lineRule="exact"/>
        <w:ind w:firstLine="320" w:firstLineChars="100"/>
        <w:rPr>
          <w:rFonts w:ascii="仿宋_GB2312" w:hAnsi="仿宋" w:eastAsia="仿宋_GB2312" w:cs="仿宋"/>
          <w:color w:val="000000"/>
          <w:sz w:val="32"/>
          <w:szCs w:val="32"/>
        </w:rPr>
      </w:pPr>
      <w:r>
        <w:rPr>
          <w:rFonts w:hint="eastAsia" w:ascii="仿宋_GB2312" w:hAnsi="仿宋" w:eastAsia="仿宋_GB2312" w:cs="仿宋"/>
          <w:color w:val="000000"/>
          <w:sz w:val="32"/>
          <w:szCs w:val="32"/>
        </w:rPr>
        <w:t>（十二）完成区委、区政府交办的其他任务。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left"/>
        <w:textAlignment w:val="auto"/>
        <w:outlineLvl w:val="9"/>
        <w:rPr>
          <w:rFonts w:ascii="黑体" w:eastAsia="黑体"/>
          <w:sz w:val="32"/>
          <w:szCs w:val="32"/>
        </w:rPr>
      </w:pPr>
      <w:r>
        <w:rPr>
          <w:rFonts w:ascii="黑体" w:eastAsia="黑体"/>
          <w:sz w:val="32"/>
          <w:szCs w:val="32"/>
        </w:rPr>
        <w:t>机构设置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rPr>
      </w:pPr>
      <w:r>
        <w:rPr>
          <w:rFonts w:hint="eastAsia" w:ascii="黑体" w:eastAsia="黑体"/>
          <w:sz w:val="32"/>
          <w:szCs w:val="32"/>
        </w:rPr>
        <w:t xml:space="preserve">   </w:t>
      </w:r>
      <w:r>
        <w:rPr>
          <w:rFonts w:hint="eastAsia" w:ascii="仿宋_GB2312" w:hAnsi="仿宋_GB2312" w:eastAsia="仿宋_GB2312" w:cs="仿宋_GB2312"/>
          <w:sz w:val="32"/>
          <w:szCs w:val="32"/>
        </w:rPr>
        <w:t xml:space="preserve"> 根据本部门主要职责，内设机构如下：</w:t>
      </w:r>
    </w:p>
    <w:p>
      <w:pPr>
        <w:numPr>
          <w:numId w:val="0"/>
        </w:numPr>
        <w:ind w:firstLine="640" w:firstLineChars="200"/>
        <w:jc w:val="left"/>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设置11个基层司法所，为区司法局派出机构，司法所实行区司法局和街道办事处双重管理，以区司法局管理为主的管理体制。主要负责指导管理和组织实施本辖区的司法行政各项业务工作。名称</w:t>
      </w:r>
      <w:r>
        <w:rPr>
          <w:rFonts w:hint="eastAsia" w:ascii="仿宋" w:hAnsi="仿宋" w:eastAsia="仿宋" w:cs="仿宋"/>
          <w:color w:val="000000"/>
          <w:sz w:val="32"/>
          <w:szCs w:val="32"/>
          <w:lang w:eastAsia="zh-CN"/>
        </w:rPr>
        <w:t>分别</w:t>
      </w:r>
      <w:r>
        <w:rPr>
          <w:rFonts w:hint="eastAsia" w:ascii="仿宋" w:hAnsi="仿宋" w:eastAsia="仿宋" w:cs="仿宋"/>
          <w:color w:val="000000"/>
          <w:sz w:val="32"/>
          <w:szCs w:val="32"/>
        </w:rPr>
        <w:t>为：1、兴隆台区司法局兴海司法所；2、兴隆台区司法局兴盛司法所；3、兴隆台区司法局振兴司法所；4、兴隆台区司法局兴隆司法所；5、兴隆台区司法局创新司法所；6、兴隆台区司法局渤海司法所；7、兴隆台区司法局新工司法所；8、兴隆台区司法局</w:t>
      </w:r>
      <w:r>
        <w:rPr>
          <w:rFonts w:hint="eastAsia" w:ascii="仿宋" w:hAnsi="仿宋" w:eastAsia="仿宋" w:cs="仿宋"/>
          <w:color w:val="000000"/>
          <w:sz w:val="32"/>
          <w:szCs w:val="32"/>
          <w:lang w:eastAsia="zh-CN"/>
        </w:rPr>
        <w:t>曙光</w:t>
      </w:r>
      <w:r>
        <w:rPr>
          <w:rFonts w:hint="eastAsia" w:ascii="仿宋" w:hAnsi="仿宋" w:eastAsia="仿宋" w:cs="仿宋"/>
          <w:color w:val="000000"/>
          <w:sz w:val="32"/>
          <w:szCs w:val="32"/>
        </w:rPr>
        <w:t>司法所；9、兴隆台区司法局欢喜</w:t>
      </w:r>
      <w:r>
        <w:rPr>
          <w:rFonts w:hint="eastAsia" w:ascii="仿宋" w:hAnsi="仿宋" w:eastAsia="仿宋" w:cs="仿宋"/>
          <w:color w:val="000000"/>
          <w:sz w:val="32"/>
          <w:szCs w:val="32"/>
          <w:lang w:eastAsia="zh-CN"/>
        </w:rPr>
        <w:t>岭</w:t>
      </w:r>
      <w:r>
        <w:rPr>
          <w:rFonts w:hint="eastAsia" w:ascii="仿宋" w:hAnsi="仿宋" w:eastAsia="仿宋" w:cs="仿宋"/>
          <w:color w:val="000000"/>
          <w:sz w:val="32"/>
          <w:szCs w:val="32"/>
        </w:rPr>
        <w:t>司法所；10、兴隆台区司法局</w:t>
      </w:r>
      <w:r>
        <w:rPr>
          <w:rFonts w:hint="eastAsia" w:ascii="仿宋" w:hAnsi="仿宋" w:eastAsia="仿宋" w:cs="仿宋"/>
          <w:color w:val="000000"/>
          <w:sz w:val="32"/>
          <w:szCs w:val="32"/>
          <w:lang w:eastAsia="zh-CN"/>
        </w:rPr>
        <w:t>沈采</w:t>
      </w:r>
      <w:r>
        <w:rPr>
          <w:rFonts w:hint="eastAsia" w:ascii="仿宋" w:hAnsi="仿宋" w:eastAsia="仿宋" w:cs="仿宋"/>
          <w:color w:val="000000"/>
          <w:sz w:val="32"/>
          <w:szCs w:val="32"/>
        </w:rPr>
        <w:t>司法所；11、兴隆台区司法局惠宾司法所</w:t>
      </w:r>
      <w:r>
        <w:rPr>
          <w:rFonts w:hint="eastAsia" w:ascii="仿宋" w:hAnsi="仿宋" w:eastAsia="仿宋" w:cs="仿宋"/>
          <w:color w:val="000000"/>
          <w:sz w:val="32"/>
          <w:szCs w:val="32"/>
          <w:lang w:eastAsia="zh-CN"/>
        </w:rPr>
        <w:t>。</w:t>
      </w:r>
    </w:p>
    <w:p>
      <w:pPr>
        <w:numPr>
          <w:numId w:val="0"/>
        </w:numPr>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2.下设副科级事业单位，</w:t>
      </w:r>
      <w:bookmarkStart w:id="0" w:name="_GoBack"/>
      <w:bookmarkEnd w:id="0"/>
      <w:r>
        <w:rPr>
          <w:rFonts w:hint="eastAsia" w:ascii="仿宋" w:hAnsi="仿宋" w:eastAsia="仿宋" w:cs="仿宋"/>
          <w:color w:val="000000"/>
          <w:sz w:val="32"/>
          <w:szCs w:val="32"/>
          <w:lang w:val="en-US" w:eastAsia="zh-CN"/>
        </w:rPr>
        <w:t>盘锦市兴隆台区法律援助中心。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eastAsia="黑体"/>
          <w:sz w:val="32"/>
          <w:szCs w:val="32"/>
        </w:rPr>
      </w:pPr>
      <w:r>
        <w:rPr>
          <w:rFonts w:hint="eastAsia" w:ascii="黑体" w:eastAsia="黑体"/>
          <w:sz w:val="32"/>
          <w:szCs w:val="32"/>
        </w:rPr>
        <w:t>三、部门预算单位构成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 xml:space="preserve">纳入盘锦市兴隆台区司法局2023年度部门预算编制范围的二级预算单位包括： </w:t>
      </w:r>
    </w:p>
    <w:p>
      <w:pPr>
        <w:numPr>
          <w:numId w:val="0"/>
        </w:numPr>
        <w:ind w:firstLine="640" w:firstLineChars="200"/>
        <w:jc w:val="left"/>
        <w:rPr>
          <w:rFonts w:hint="eastAsia" w:ascii="仿宋" w:hAnsi="仿宋" w:eastAsia="仿宋" w:cs="仿宋"/>
          <w:color w:val="000000"/>
          <w:sz w:val="32"/>
          <w:szCs w:val="32"/>
          <w:lang w:val="en-US" w:eastAsia="zh-CN"/>
        </w:rPr>
      </w:pPr>
      <w:r>
        <w:rPr>
          <w:rFonts w:hint="eastAsia" w:ascii="仿宋_GB2312" w:hAnsi="仿宋_GB2312" w:eastAsia="仿宋_GB2312" w:cs="仿宋_GB2312"/>
          <w:sz w:val="32"/>
          <w:lang w:val="en-US" w:eastAsia="zh-CN"/>
        </w:rPr>
        <w:t>1.</w:t>
      </w:r>
      <w:r>
        <w:rPr>
          <w:rFonts w:hint="eastAsia" w:ascii="仿宋" w:hAnsi="仿宋" w:eastAsia="仿宋" w:cs="仿宋"/>
          <w:color w:val="000000"/>
          <w:sz w:val="32"/>
          <w:szCs w:val="32"/>
          <w:lang w:val="en-US" w:eastAsia="zh-CN"/>
        </w:rPr>
        <w:t>盘锦市兴隆台区法律援助中心。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第二部分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w:t>
      </w:r>
      <w:r>
        <w:rPr>
          <w:rFonts w:hint="eastAsia" w:ascii="方正小标宋_GBK" w:hAnsi="方正小标宋_GBK" w:eastAsia="方正小标宋_GBK" w:cs="方正小标宋_GBK"/>
          <w:b w:val="0"/>
          <w:bCs/>
          <w:sz w:val="44"/>
          <w:szCs w:val="44"/>
          <w:lang w:eastAsia="zh-CN"/>
        </w:rPr>
        <w:t>市</w:t>
      </w:r>
      <w:r>
        <w:rPr>
          <w:rFonts w:hint="eastAsia" w:ascii="方正小标宋_GBK" w:hAnsi="方正小标宋_GBK" w:eastAsia="方正小标宋_GBK" w:cs="方正小标宋_GBK"/>
          <w:b w:val="0"/>
          <w:bCs/>
          <w:sz w:val="44"/>
          <w:szCs w:val="44"/>
          <w:lang w:val="en-US" w:eastAsia="zh-CN"/>
        </w:rPr>
        <w:t>兴隆台区司法局</w:t>
      </w: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3</w:t>
      </w:r>
      <w:r>
        <w:rPr>
          <w:rFonts w:hint="eastAsia" w:ascii="方正小标宋_GBK" w:hAnsi="方正小标宋_GBK" w:eastAsia="方正小标宋_GBK" w:cs="方正小标宋_GBK"/>
          <w:b w:val="0"/>
          <w:bCs/>
          <w:sz w:val="44"/>
          <w:szCs w:val="44"/>
        </w:rPr>
        <w:t>年度部门预算公开表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eastAsia="zh-CN"/>
        </w:rPr>
        <w:t>（该部分内容详见附件）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第三部分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盘锦市</w:t>
      </w:r>
      <w:r>
        <w:rPr>
          <w:rFonts w:hint="eastAsia" w:ascii="方正小标宋_GBK" w:hAnsi="方正小标宋_GBK" w:eastAsia="方正小标宋_GBK" w:cs="方正小标宋_GBK"/>
          <w:b w:val="0"/>
          <w:bCs/>
          <w:sz w:val="44"/>
          <w:szCs w:val="44"/>
          <w:lang w:val="en-US" w:eastAsia="zh-CN"/>
        </w:rPr>
        <w:t>兴隆台区司法局</w:t>
      </w: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3</w:t>
      </w:r>
      <w:r>
        <w:rPr>
          <w:rFonts w:hint="eastAsia" w:ascii="方正小标宋_GBK" w:hAnsi="方正小标宋_GBK" w:eastAsia="方正小标宋_GBK" w:cs="方正小标宋_GBK"/>
          <w:b w:val="0"/>
          <w:bCs/>
          <w:sz w:val="44"/>
          <w:szCs w:val="44"/>
        </w:rPr>
        <w:t>年度部门预算情况说明</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9"/>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收支</w:t>
      </w:r>
      <w:r>
        <w:rPr>
          <w:rFonts w:hint="eastAsia" w:ascii="黑体" w:hAnsi="黑体" w:eastAsia="黑体"/>
          <w:sz w:val="32"/>
          <w:szCs w:val="32"/>
        </w:rPr>
        <w:t>预算</w:t>
      </w:r>
      <w:r>
        <w:rPr>
          <w:rFonts w:hint="eastAsia" w:ascii="黑体" w:hAnsi="黑体" w:eastAsia="黑体"/>
          <w:sz w:val="32"/>
          <w:szCs w:val="32"/>
          <w:lang w:eastAsia="zh-CN"/>
        </w:rPr>
        <w:t>的</w:t>
      </w:r>
      <w:r>
        <w:rPr>
          <w:rFonts w:hint="eastAsia" w:ascii="黑体" w:hAnsi="黑体" w:eastAsia="黑体"/>
          <w:sz w:val="32"/>
          <w:szCs w:val="32"/>
        </w:rPr>
        <w:t>总体</w:t>
      </w:r>
      <w:r>
        <w:rPr>
          <w:rFonts w:hint="eastAsia" w:ascii="黑体" w:hAnsi="黑体" w:eastAsia="黑体"/>
          <w:sz w:val="32"/>
          <w:szCs w:val="32"/>
          <w:lang w:eastAsia="zh-CN"/>
        </w:rPr>
        <w:t>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 w:hAnsi="仿宋" w:eastAsia="仿宋" w:cs="仿宋"/>
          <w:sz w:val="32"/>
        </w:rPr>
      </w:pPr>
      <w:r>
        <w:rPr>
          <w:rFonts w:hint="eastAsia" w:ascii="仿宋" w:hAnsi="仿宋" w:eastAsia="仿宋" w:cs="仿宋"/>
          <w:sz w:val="32"/>
          <w:lang w:eastAsia="zh-CN"/>
        </w:rPr>
        <w:t>按照综合预算的原则，</w:t>
      </w:r>
      <w:r>
        <w:rPr>
          <w:rFonts w:hint="eastAsia" w:ascii="仿宋" w:hAnsi="仿宋" w:eastAsia="仿宋" w:cs="仿宋"/>
          <w:sz w:val="32"/>
          <w:lang w:val="en-US" w:eastAsia="zh-CN"/>
        </w:rPr>
        <w:t>2023年盘锦市兴隆台区司法局所有收入和支出均纳入部门预算管理。其中</w:t>
      </w:r>
      <w:r>
        <w:rPr>
          <w:rFonts w:hint="eastAsia" w:ascii="仿宋" w:hAnsi="仿宋" w:eastAsia="仿宋" w:cs="仿宋"/>
          <w:sz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24" w:firstLineChars="195"/>
        <w:textAlignment w:val="auto"/>
        <w:outlineLvl w:val="9"/>
        <w:rPr>
          <w:rFonts w:hint="eastAsia" w:ascii="楷体" w:hAnsi="楷体" w:eastAsia="楷体" w:cs="楷体"/>
          <w:sz w:val="32"/>
          <w:lang w:eastAsia="zh-CN"/>
        </w:rPr>
      </w:pPr>
      <w:r>
        <w:rPr>
          <w:rFonts w:hint="eastAsia" w:ascii="楷体" w:hAnsi="楷体" w:eastAsia="楷体" w:cs="楷体"/>
          <w:sz w:val="32"/>
        </w:rPr>
        <w:t>收入预算</w:t>
      </w:r>
      <w:r>
        <w:rPr>
          <w:rFonts w:hint="eastAsia" w:ascii="楷体" w:hAnsi="楷体" w:eastAsia="楷体" w:cs="楷体"/>
          <w:sz w:val="32"/>
          <w:lang w:val="en-US" w:eastAsia="zh-CN"/>
        </w:rPr>
        <w:t>815.18</w:t>
      </w:r>
      <w:r>
        <w:rPr>
          <w:rFonts w:hint="eastAsia" w:ascii="楷体" w:hAnsi="楷体" w:eastAsia="楷体" w:cs="楷体"/>
          <w:sz w:val="32"/>
        </w:rPr>
        <w:t>万元</w:t>
      </w:r>
      <w:r>
        <w:rPr>
          <w:rFonts w:hint="eastAsia" w:ascii="楷体" w:hAnsi="楷体" w:eastAsia="楷体" w:cs="楷体"/>
          <w:sz w:val="32"/>
          <w:lang w:eastAsia="zh-CN"/>
        </w:rPr>
        <w:t>，包括：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1.一般公共预算收入815.18万元；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2.政府性基金预算收入0万元；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3.国有资本经营预算收入0万元；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4.财政专户管理资金收入0万元；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5.事业收入0万元；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6.事业单位经营收入0万元；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7.上级补助收入0万元；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8.附属单位上缴收入0万元；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9.其他收入0万元；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10.上年结转0万元。</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楷体" w:hAnsi="楷体" w:eastAsia="楷体" w:cs="楷体"/>
          <w:sz w:val="32"/>
          <w:lang w:eastAsia="zh-CN"/>
        </w:rPr>
      </w:pPr>
      <w:r>
        <w:rPr>
          <w:rFonts w:hint="eastAsia" w:ascii="楷体" w:hAnsi="楷体" w:eastAsia="楷体" w:cs="楷体"/>
          <w:sz w:val="32"/>
          <w:lang w:eastAsia="zh-CN"/>
        </w:rPr>
        <w:t>（二）支出预算815.18</w:t>
      </w:r>
      <w:r>
        <w:rPr>
          <w:rFonts w:hint="eastAsia" w:ascii="楷体" w:hAnsi="楷体" w:eastAsia="楷体" w:cs="楷体"/>
          <w:sz w:val="32"/>
        </w:rPr>
        <w:t>万元</w:t>
      </w:r>
      <w:r>
        <w:rPr>
          <w:rFonts w:hint="eastAsia" w:ascii="楷体" w:hAnsi="楷体" w:eastAsia="楷体" w:cs="楷体"/>
          <w:sz w:val="32"/>
          <w:lang w:eastAsia="zh-CN"/>
        </w:rPr>
        <w:t>，包括：</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1.基本支出605.98万元；</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2.项目支出209.2万元。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支出预算</w:t>
      </w:r>
      <w:r>
        <w:rPr>
          <w:rFonts w:hint="eastAsia" w:ascii="仿宋_GB2312" w:hAnsi="仿宋_GB2312" w:eastAsia="仿宋_GB2312" w:cs="仿宋_GB2312"/>
          <w:sz w:val="32"/>
          <w:lang w:val="en-US" w:eastAsia="zh-CN"/>
        </w:rPr>
        <w:t>中，政府采购支出0万元，债务支出0万元，政府购买服务支出0万元。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 w:hAnsi="仿宋" w:eastAsia="仿宋" w:cs="仿宋"/>
          <w:sz w:val="32"/>
        </w:rPr>
      </w:pPr>
      <w:r>
        <w:rPr>
          <w:rFonts w:hint="eastAsia" w:ascii="仿宋_GB2312" w:hAnsi="仿宋_GB2312" w:eastAsia="仿宋_GB2312" w:cs="仿宋_GB2312"/>
          <w:sz w:val="32"/>
          <w:lang w:val="en-US" w:eastAsia="zh-CN"/>
        </w:rPr>
        <w:t>2023年预算同</w:t>
      </w:r>
      <w:r>
        <w:rPr>
          <w:rFonts w:hint="eastAsia" w:ascii="仿宋_GB2312" w:hAnsi="仿宋_GB2312" w:eastAsia="仿宋_GB2312" w:cs="仿宋_GB2312"/>
          <w:sz w:val="32"/>
          <w:lang w:eastAsia="zh-CN"/>
        </w:rPr>
        <w:t>上</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比较</w:t>
      </w:r>
      <w:r>
        <w:rPr>
          <w:rFonts w:hint="eastAsia" w:ascii="仿宋_GB2312" w:hAnsi="仿宋_GB2312" w:eastAsia="仿宋_GB2312" w:cs="仿宋_GB2312"/>
          <w:sz w:val="32"/>
        </w:rPr>
        <w:t>，收入</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273.4</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上升</w:t>
      </w:r>
      <w:r>
        <w:rPr>
          <w:rFonts w:hint="eastAsia" w:ascii="仿宋_GB2312" w:hAnsi="仿宋_GB2312" w:eastAsia="仿宋_GB2312" w:cs="仿宋_GB2312"/>
          <w:sz w:val="32"/>
          <w:lang w:val="en-US" w:eastAsia="zh-CN"/>
        </w:rPr>
        <w:t>33.5</w:t>
      </w:r>
      <w:r>
        <w:rPr>
          <w:rFonts w:hint="eastAsia" w:ascii="仿宋_GB2312" w:hAnsi="仿宋_GB2312" w:eastAsia="仿宋_GB2312" w:cs="仿宋_GB2312"/>
          <w:sz w:val="32"/>
        </w:rPr>
        <w:t>%；支出</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273.4</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上升</w:t>
      </w:r>
      <w:r>
        <w:rPr>
          <w:rFonts w:hint="eastAsia" w:ascii="仿宋_GB2312" w:hAnsi="仿宋_GB2312" w:eastAsia="仿宋_GB2312" w:cs="仿宋_GB2312"/>
          <w:sz w:val="32"/>
          <w:lang w:val="en-US" w:eastAsia="zh-CN"/>
        </w:rPr>
        <w:t>33.5</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增减变化的主要</w:t>
      </w:r>
      <w:r>
        <w:rPr>
          <w:rFonts w:hint="eastAsia" w:ascii="仿宋_GB2312" w:hAnsi="仿宋_GB2312" w:eastAsia="仿宋_GB2312" w:cs="仿宋_GB2312"/>
          <w:sz w:val="32"/>
        </w:rPr>
        <w:t>原因是</w:t>
      </w:r>
      <w:r>
        <w:rPr>
          <w:rFonts w:hint="eastAsia" w:ascii="仿宋_GB2312" w:hAnsi="仿宋_GB2312" w:eastAsia="仿宋_GB2312" w:cs="仿宋_GB2312"/>
          <w:sz w:val="32"/>
          <w:lang w:val="en-US" w:eastAsia="zh-CN"/>
        </w:rPr>
        <w:t>项目经费增加</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9"/>
        <w:rPr>
          <w:rFonts w:hint="eastAsia" w:ascii="黑体" w:hAnsi="黑体" w:eastAsia="黑体"/>
          <w:sz w:val="32"/>
          <w:szCs w:val="32"/>
        </w:rPr>
      </w:pPr>
      <w:r>
        <w:rPr>
          <w:rFonts w:hint="eastAsia" w:ascii="黑体" w:hAnsi="黑体" w:eastAsia="黑体"/>
          <w:sz w:val="32"/>
          <w:szCs w:val="32"/>
        </w:rPr>
        <w:t>二、“三公”经费预算安排使用情况说明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年度“三公”经费预算支出</w:t>
      </w:r>
      <w:r>
        <w:rPr>
          <w:rFonts w:hint="eastAsia" w:ascii="仿宋_GB2312" w:hAnsi="仿宋_GB2312" w:eastAsia="仿宋_GB2312" w:cs="仿宋_GB2312"/>
          <w:sz w:val="32"/>
          <w:lang w:eastAsia="zh-CN"/>
        </w:rPr>
        <w:t>安排</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rPr>
        <w:t>其中</w:t>
      </w:r>
      <w:r>
        <w:rPr>
          <w:rFonts w:hint="eastAsia" w:ascii="仿宋_GB2312" w:hAnsi="仿宋_GB2312" w:eastAsia="仿宋_GB2312" w:cs="仿宋_GB2312"/>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因公出国（境）费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公务接待费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公务用车购置及运行费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w:t>
      </w:r>
      <w:r>
        <w:rPr>
          <w:rFonts w:hint="eastAsia" w:ascii="仿宋_GB2312" w:hAnsi="仿宋_GB2312" w:eastAsia="仿宋_GB2312" w:cs="仿宋_GB2312"/>
          <w:sz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三、机关运行经费预算安排使用情况说明</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年机关运行经费预算安排</w:t>
      </w:r>
      <w:r>
        <w:rPr>
          <w:rFonts w:hint="eastAsia" w:ascii="仿宋_GB2312" w:hAnsi="仿宋_GB2312" w:eastAsia="仿宋_GB2312" w:cs="仿宋_GB2312"/>
          <w:sz w:val="32"/>
          <w:lang w:val="en-US" w:eastAsia="zh-CN"/>
        </w:rPr>
        <w:t>46.22</w:t>
      </w:r>
      <w:r>
        <w:rPr>
          <w:rFonts w:hint="eastAsia" w:ascii="仿宋_GB2312" w:hAnsi="仿宋_GB2312" w:eastAsia="仿宋_GB2312" w:cs="仿宋_GB2312"/>
          <w:sz w:val="32"/>
        </w:rPr>
        <w:t>万元，比</w:t>
      </w:r>
      <w:r>
        <w:rPr>
          <w:rFonts w:hint="eastAsia" w:ascii="仿宋_GB2312" w:hAnsi="仿宋_GB2312" w:eastAsia="仿宋_GB2312" w:cs="仿宋_GB2312"/>
          <w:sz w:val="32"/>
          <w:lang w:eastAsia="zh-CN"/>
        </w:rPr>
        <w:t>上</w:t>
      </w:r>
      <w:r>
        <w:rPr>
          <w:rFonts w:hint="eastAsia" w:ascii="仿宋_GB2312" w:hAnsi="仿宋_GB2312" w:eastAsia="仿宋_GB2312" w:cs="仿宋_GB2312"/>
          <w:sz w:val="32"/>
        </w:rPr>
        <w:t>预算</w:t>
      </w:r>
      <w:r>
        <w:rPr>
          <w:rFonts w:hint="eastAsia" w:ascii="仿宋_GB2312" w:hAnsi="仿宋_GB2312" w:eastAsia="仿宋_GB2312" w:cs="仿宋_GB2312"/>
          <w:sz w:val="32"/>
          <w:lang w:eastAsia="zh-CN"/>
        </w:rPr>
        <w:t>增加</w:t>
      </w:r>
      <w:r>
        <w:rPr>
          <w:rFonts w:hint="eastAsia" w:ascii="仿宋_GB2312" w:hAnsi="仿宋_GB2312" w:eastAsia="仿宋_GB2312" w:cs="仿宋_GB2312"/>
          <w:sz w:val="32"/>
          <w:lang w:val="en-US" w:eastAsia="zh-CN"/>
        </w:rPr>
        <w:t>5.78</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上升</w:t>
      </w:r>
      <w:r>
        <w:rPr>
          <w:rFonts w:hint="eastAsia" w:ascii="仿宋_GB2312" w:hAnsi="仿宋_GB2312" w:eastAsia="仿宋_GB2312" w:cs="仿宋_GB2312"/>
          <w:sz w:val="32"/>
          <w:lang w:val="en-US" w:eastAsia="zh-CN"/>
        </w:rPr>
        <w:t>12.5</w:t>
      </w:r>
      <w:r>
        <w:rPr>
          <w:rFonts w:hint="eastAsia" w:ascii="仿宋_GB2312" w:hAnsi="仿宋_GB2312" w:eastAsia="仿宋_GB2312" w:cs="仿宋_GB2312"/>
          <w:sz w:val="32"/>
        </w:rPr>
        <w:t>%，主要原因是</w:t>
      </w:r>
      <w:r>
        <w:rPr>
          <w:rFonts w:hint="eastAsia" w:ascii="仿宋_GB2312" w:hAnsi="仿宋_GB2312" w:eastAsia="仿宋_GB2312" w:cs="仿宋_GB2312"/>
          <w:sz w:val="32"/>
          <w:lang w:eastAsia="zh-CN"/>
        </w:rPr>
        <w:t>办公费用增加。主要包括</w:t>
      </w:r>
      <w:r>
        <w:rPr>
          <w:rFonts w:hint="eastAsia" w:ascii="仿宋_GB2312" w:hAnsi="仿宋_GB2312" w:eastAsia="仿宋_GB2312" w:cs="仿宋_GB2312"/>
          <w:sz w:val="32"/>
        </w:rPr>
        <w:t>：办公费</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万元、印刷费</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万元、手续费</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万元、邮电费</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万元、差旅费</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万元、工会经费</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万元、会议费</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万元、培训费</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万元、福利费</w:t>
      </w:r>
      <w:r>
        <w:rPr>
          <w:rFonts w:hint="eastAsia" w:ascii="仿宋_GB2312" w:hAnsi="仿宋_GB2312" w:eastAsia="仿宋_GB2312" w:cs="仿宋_GB2312"/>
          <w:sz w:val="32"/>
          <w:lang w:val="en-US" w:eastAsia="zh-CN"/>
        </w:rPr>
        <w:t>**</w:t>
      </w:r>
      <w:r>
        <w:rPr>
          <w:rFonts w:hint="eastAsia" w:ascii="仿宋_GB2312" w:hAnsi="仿宋_GB2312" w:eastAsia="仿宋_GB2312" w:cs="仿宋_GB2312"/>
          <w:sz w:val="32"/>
        </w:rPr>
        <w:t>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四、政府采购安排情况说明</w:t>
      </w:r>
    </w:p>
    <w:p>
      <w:pPr>
        <w:keepNext w:val="0"/>
        <w:keepLines w:val="0"/>
        <w:pageBreakBefore w:val="0"/>
        <w:widowControl w:val="0"/>
        <w:kinsoku/>
        <w:wordWrap/>
        <w:overflowPunct/>
        <w:topLinePunct w:val="0"/>
        <w:autoSpaceDE/>
        <w:autoSpaceDN/>
        <w:bidi w:val="0"/>
        <w:adjustRightInd/>
        <w:snapToGrid/>
        <w:spacing w:line="600" w:lineRule="atLeast"/>
        <w:ind w:firstLine="624" w:firstLineChars="195"/>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w:t>
      </w:r>
      <w:r>
        <w:rPr>
          <w:rFonts w:hint="eastAsia" w:ascii="仿宋_GB2312" w:hAnsi="仿宋_GB2312" w:eastAsia="仿宋_GB2312" w:cs="仿宋_GB2312"/>
          <w:sz w:val="32"/>
          <w:lang w:eastAsia="zh-CN"/>
        </w:rPr>
        <w:t>安排</w:t>
      </w:r>
      <w:r>
        <w:rPr>
          <w:rFonts w:hint="eastAsia" w:ascii="仿宋_GB2312" w:hAnsi="仿宋_GB2312" w:eastAsia="仿宋_GB2312" w:cs="仿宋_GB2312"/>
          <w:sz w:val="32"/>
        </w:rPr>
        <w:t>政府采购预算</w:t>
      </w:r>
      <w:r>
        <w:rPr>
          <w:rFonts w:hint="eastAsia" w:ascii="仿宋" w:hAnsi="仿宋" w:eastAsia="仿宋" w:cs="仿宋"/>
          <w:sz w:val="32"/>
          <w:lang w:val="en-US" w:eastAsia="zh-CN"/>
        </w:rPr>
        <w:t>0</w:t>
      </w:r>
      <w:r>
        <w:rPr>
          <w:rFonts w:hint="eastAsia" w:ascii="仿宋" w:hAnsi="仿宋" w:eastAsia="仿宋" w:cs="仿宋"/>
          <w:sz w:val="32"/>
        </w:rPr>
        <w:t>万元，政府购买服务预算</w:t>
      </w:r>
      <w:r>
        <w:rPr>
          <w:rFonts w:hint="eastAsia" w:ascii="仿宋" w:hAnsi="仿宋" w:eastAsia="仿宋" w:cs="仿宋"/>
          <w:sz w:val="32"/>
          <w:lang w:val="en-US" w:eastAsia="zh-CN"/>
        </w:rPr>
        <w:t>0</w:t>
      </w:r>
      <w:r>
        <w:rPr>
          <w:rFonts w:hint="eastAsia" w:ascii="仿宋" w:hAnsi="仿宋" w:eastAsia="仿宋" w:cs="仿宋"/>
          <w:sz w:val="32"/>
        </w:rPr>
        <w:t>万元。</w:t>
      </w:r>
    </w:p>
    <w:tbl>
      <w:tblPr>
        <w:tblStyle w:val="4"/>
        <w:tblpPr w:leftFromText="180" w:rightFromText="180" w:vertAnchor="text" w:horzAnchor="page" w:tblpX="1579" w:tblpY="647"/>
        <w:tblOverlap w:val="never"/>
        <w:tblW w:w="8877" w:type="dxa"/>
        <w:tblInd w:w="0" w:type="dxa"/>
        <w:tblLayout w:type="autofit"/>
        <w:tblCellMar>
          <w:top w:w="0" w:type="dxa"/>
          <w:left w:w="108" w:type="dxa"/>
          <w:bottom w:w="0" w:type="dxa"/>
          <w:right w:w="108" w:type="dxa"/>
        </w:tblCellMar>
      </w:tblPr>
      <w:tblGrid>
        <w:gridCol w:w="730"/>
        <w:gridCol w:w="1416"/>
        <w:gridCol w:w="2559"/>
        <w:gridCol w:w="2940"/>
        <w:gridCol w:w="1232"/>
      </w:tblGrid>
      <w:tr>
        <w:tblPrEx>
          <w:tblCellMar>
            <w:top w:w="0" w:type="dxa"/>
            <w:left w:w="108" w:type="dxa"/>
            <w:bottom w:w="0" w:type="dxa"/>
            <w:right w:w="108" w:type="dxa"/>
          </w:tblCellMar>
        </w:tblPrEx>
        <w:trPr>
          <w:trHeight w:val="659"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支出类型</w:t>
            </w:r>
          </w:p>
        </w:tc>
        <w:tc>
          <w:tcPr>
            <w:tcW w:w="1416"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部门经济分类</w:t>
            </w:r>
          </w:p>
        </w:tc>
        <w:tc>
          <w:tcPr>
            <w:tcW w:w="255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采购项目</w:t>
            </w:r>
          </w:p>
        </w:tc>
        <w:tc>
          <w:tcPr>
            <w:tcW w:w="294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采购型号</w:t>
            </w:r>
          </w:p>
        </w:tc>
        <w:tc>
          <w:tcPr>
            <w:tcW w:w="123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报审金额</w:t>
            </w:r>
          </w:p>
        </w:tc>
      </w:tr>
      <w:tr>
        <w:tblPrEx>
          <w:tblCellMar>
            <w:top w:w="0" w:type="dxa"/>
            <w:left w:w="108" w:type="dxa"/>
            <w:bottom w:w="0" w:type="dxa"/>
            <w:right w:w="108" w:type="dxa"/>
          </w:tblCellMar>
        </w:tblPrEx>
        <w:trPr>
          <w:trHeight w:val="983"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一、基本支出</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7"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7"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7"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83"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二、项目支出</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457"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eastAsia="zh-CN"/>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457"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457"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57"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黑体" w:hAnsi="宋体" w:eastAsia="黑体" w:cs="黑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492" w:hRule="atLeast"/>
        </w:trPr>
        <w:tc>
          <w:tcPr>
            <w:tcW w:w="73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5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294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4"/>
                <w:szCs w:val="24"/>
                <w:u w:val="none"/>
              </w:rPr>
            </w:pPr>
          </w:p>
        </w:tc>
        <w:tc>
          <w:tcPr>
            <w:tcW w:w="1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五、国有资产占用情况说明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截至20</w:t>
      </w:r>
      <w:r>
        <w:rPr>
          <w:rFonts w:hint="eastAsia" w:ascii="仿宋_GB2312" w:hAnsi="仿宋_GB2312" w:eastAsia="仿宋_GB2312" w:cs="仿宋_GB2312"/>
          <w:sz w:val="32"/>
          <w:lang w:val="en-US" w:eastAsia="zh-CN"/>
        </w:rPr>
        <w:t>22</w:t>
      </w:r>
      <w:r>
        <w:rPr>
          <w:rFonts w:hint="eastAsia" w:ascii="仿宋_GB2312" w:hAnsi="仿宋_GB2312" w:eastAsia="仿宋_GB2312" w:cs="仿宋_GB2312"/>
          <w:sz w:val="32"/>
        </w:rPr>
        <w:t>年12月31日，盘锦市</w:t>
      </w:r>
      <w:r>
        <w:rPr>
          <w:rFonts w:hint="eastAsia" w:ascii="仿宋_GB2312" w:hAnsi="仿宋_GB2312" w:eastAsia="仿宋_GB2312" w:cs="仿宋_GB2312"/>
          <w:sz w:val="32"/>
          <w:lang w:val="en-US" w:eastAsia="zh-CN"/>
        </w:rPr>
        <w:t>兴隆台区司法局</w:t>
      </w:r>
      <w:r>
        <w:rPr>
          <w:rFonts w:hint="eastAsia" w:ascii="仿宋_GB2312" w:hAnsi="仿宋_GB2312" w:eastAsia="仿宋_GB2312" w:cs="仿宋_GB2312"/>
          <w:sz w:val="32"/>
        </w:rPr>
        <w:t>部门资产总额</w:t>
      </w:r>
      <w:r>
        <w:rPr>
          <w:rFonts w:hint="eastAsia" w:ascii="仿宋_GB2312" w:hAnsi="仿宋_GB2312" w:eastAsia="仿宋_GB2312" w:cs="仿宋_GB2312"/>
          <w:sz w:val="32"/>
          <w:lang w:val="en-US" w:eastAsia="zh-CN"/>
        </w:rPr>
        <w:t>341991.4</w:t>
      </w:r>
      <w:r>
        <w:rPr>
          <w:rFonts w:hint="eastAsia" w:ascii="仿宋_GB2312" w:hAnsi="仿宋_GB2312" w:eastAsia="仿宋_GB2312" w:cs="仿宋_GB2312"/>
          <w:sz w:val="32"/>
        </w:rPr>
        <w:t>元，其中，流动资产</w:t>
      </w:r>
      <w:r>
        <w:rPr>
          <w:rFonts w:hint="eastAsia" w:ascii="仿宋_GB2312" w:hAnsi="仿宋_GB2312" w:eastAsia="仿宋_GB2312" w:cs="仿宋_GB2312"/>
          <w:sz w:val="32"/>
          <w:lang w:val="en-US" w:eastAsia="zh-CN"/>
        </w:rPr>
        <w:t>60000</w:t>
      </w:r>
      <w:r>
        <w:rPr>
          <w:rFonts w:hint="eastAsia" w:ascii="仿宋_GB2312" w:hAnsi="仿宋_GB2312" w:eastAsia="仿宋_GB2312" w:cs="仿宋_GB2312"/>
          <w:sz w:val="32"/>
        </w:rPr>
        <w:t>元，固定资产</w:t>
      </w:r>
      <w:r>
        <w:rPr>
          <w:rFonts w:hint="eastAsia" w:ascii="仿宋_GB2312" w:hAnsi="仿宋_GB2312" w:eastAsia="仿宋_GB2312" w:cs="仿宋_GB2312"/>
          <w:sz w:val="32"/>
          <w:lang w:val="en-US" w:eastAsia="zh-CN"/>
        </w:rPr>
        <w:t>281991.4</w:t>
      </w:r>
      <w:r>
        <w:rPr>
          <w:rFonts w:hint="eastAsia" w:ascii="仿宋_GB2312" w:hAnsi="仿宋_GB2312" w:eastAsia="仿宋_GB2312" w:cs="仿宋_GB2312"/>
          <w:sz w:val="32"/>
        </w:rPr>
        <w:t>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rPr>
      </w:pPr>
      <w:r>
        <w:rPr>
          <w:rFonts w:hint="eastAsia" w:ascii="黑体" w:hAnsi="黑体" w:eastAsia="黑体" w:cs="黑体"/>
          <w:sz w:val="32"/>
        </w:rPr>
        <w:t>六、项目预算绩效目标情况说明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根据预算绩效管理要求，盘锦</w:t>
      </w:r>
      <w:r>
        <w:rPr>
          <w:rFonts w:hint="eastAsia" w:ascii="仿宋_GB2312" w:hAnsi="仿宋_GB2312" w:eastAsia="仿宋_GB2312" w:cs="仿宋_GB2312"/>
          <w:sz w:val="32"/>
          <w:lang w:val="en-US" w:eastAsia="zh-CN"/>
        </w:rPr>
        <w:t>兴隆台区司法</w:t>
      </w:r>
      <w:r>
        <w:rPr>
          <w:rFonts w:hint="eastAsia" w:ascii="仿宋_GB2312" w:hAnsi="仿宋_GB2312" w:eastAsia="仿宋_GB2312" w:cs="仿宋_GB2312"/>
          <w:sz w:val="32"/>
        </w:rPr>
        <w:t>局</w:t>
      </w: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年应编制绩效目标的项目共</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个，实际编制绩效目标的项目共</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个，涉及资金</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万元，编制绩效目标的项目覆盖率（实际编制绩效目标的项目/应编制绩效目标的项目）为100%。</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b/>
          <w:sz w:val="44"/>
          <w:szCs w:val="44"/>
        </w:rPr>
      </w:pPr>
      <w:r>
        <w:rPr>
          <w:rFonts w:hint="eastAsia" w:ascii="方正小标宋_GBK" w:hAnsi="方正小标宋_GBK" w:eastAsia="方正小标宋_GBK" w:cs="方正小标宋_GBK"/>
          <w:b w:val="0"/>
          <w:bCs/>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eastAsia="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 w:hAnsi="仿宋" w:eastAsia="仿宋"/>
          <w:b w:val="0"/>
          <w:bCs/>
          <w:sz w:val="32"/>
          <w:szCs w:val="32"/>
        </w:rPr>
        <w:t>　</w:t>
      </w:r>
      <w:r>
        <w:rPr>
          <w:rFonts w:hint="eastAsia" w:ascii="仿宋_GB2312" w:hAnsi="仿宋_GB2312" w:eastAsia="仿宋_GB2312" w:cs="仿宋_GB2312"/>
          <w:b w:val="0"/>
          <w:bCs/>
          <w:sz w:val="32"/>
          <w:szCs w:val="32"/>
        </w:rPr>
        <w:t>　1.财政拨款收入：指</w:t>
      </w:r>
      <w:r>
        <w:rPr>
          <w:rFonts w:hint="eastAsia" w:ascii="仿宋_GB2312" w:hAnsi="仿宋_GB2312" w:eastAsia="仿宋_GB2312" w:cs="仿宋_GB2312"/>
          <w:b w:val="0"/>
          <w:bCs/>
          <w:sz w:val="32"/>
          <w:szCs w:val="32"/>
          <w:lang w:eastAsia="zh-CN"/>
        </w:rPr>
        <w:t>市</w:t>
      </w:r>
      <w:r>
        <w:rPr>
          <w:rFonts w:hint="eastAsia" w:ascii="仿宋_GB2312" w:hAnsi="仿宋_GB2312" w:eastAsia="仿宋_GB2312" w:cs="仿宋_GB2312"/>
          <w:b w:val="0"/>
          <w:bCs/>
          <w:sz w:val="32"/>
          <w:szCs w:val="32"/>
        </w:rPr>
        <w:t>级财政当年拨付的资金。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2.基本支出：指保障机构正常运转、完成日常工作任务而发生的人员支出和公用支出。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3.项目支出：指在基本支出之外为完成特定行政任务和事业发展目标所发生的支出。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7.其他收入：指除上述“财政拨款收入”、“行政事业性收费收入”、“政府性基金收入”以外的收入。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9.社会保障和就业（类）行政事业单位离退休（款）归口管理的行政单位离退休（项）：反映实行归口管理的行政单位（包括实行公务员管理的事业单位）开支的离退休经费。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0</w:t>
      </w:r>
      <w:r>
        <w:rPr>
          <w:rFonts w:hint="eastAsia" w:ascii="仿宋_GB2312" w:hAnsi="仿宋_GB2312" w:eastAsia="仿宋_GB2312" w:cs="仿宋_GB2312"/>
          <w:b w:val="0"/>
          <w:bCs/>
          <w:sz w:val="32"/>
          <w:szCs w:val="32"/>
        </w:rPr>
        <w:t>.社会保障和就业（类）行政事业单位离退休（款）事业单位离退休（项）：反映实行归口管理的事业单位开支的离退休经费。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1</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卫生健康类（类）行政事业单位医疗（款）事业单位医疗（项）：反映财政部门安排的事业单位基本医疗保险缴费经费，未参加医疗保险的事业单位的公费医疗经费，按国家规定享受离休人员待遇人员的医疗经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.住房保障（类）住房改革（款）住房公积金（项）：反映行政事业单位按人力资源和社会保障部、财政部规定的基本工资和津贴补贴以及规定比例为职工缴纳的住房公积金。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val="0"/>
          <w:bCs/>
          <w:sz w:val="32"/>
          <w:szCs w:val="32"/>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1A0A8"/>
    <w:multiLevelType w:val="singleLevel"/>
    <w:tmpl w:val="88F1A0A8"/>
    <w:lvl w:ilvl="0" w:tentative="0">
      <w:start w:val="2"/>
      <w:numFmt w:val="chineseCounting"/>
      <w:suff w:val="nothing"/>
      <w:lvlText w:val="%1、"/>
      <w:lvlJc w:val="left"/>
      <w:rPr>
        <w:rFonts w:hint="eastAsia"/>
      </w:rPr>
    </w:lvl>
  </w:abstractNum>
  <w:abstractNum w:abstractNumId="1">
    <w:nsid w:val="0926DA53"/>
    <w:multiLevelType w:val="singleLevel"/>
    <w:tmpl w:val="0926DA53"/>
    <w:lvl w:ilvl="0" w:tentative="0">
      <w:start w:val="1"/>
      <w:numFmt w:val="chineseCounting"/>
      <w:suff w:val="nothing"/>
      <w:lvlText w:val="（%1）"/>
      <w:lvlJc w:val="left"/>
      <w:rPr>
        <w:rFonts w:hint="eastAsia"/>
      </w:rPr>
    </w:lvl>
  </w:abstractNum>
  <w:abstractNum w:abstractNumId="2">
    <w:nsid w:val="5D611DEB"/>
    <w:multiLevelType w:val="multilevel"/>
    <w:tmpl w:val="5D611DEB"/>
    <w:lvl w:ilvl="0" w:tentative="0">
      <w:start w:val="1"/>
      <w:numFmt w:val="japaneseCounting"/>
      <w:lvlText w:val="%1、"/>
      <w:lvlJc w:val="left"/>
      <w:pPr>
        <w:ind w:left="1460" w:hanging="720"/>
      </w:pPr>
      <w:rPr>
        <w:rFonts w:hint="default"/>
      </w:rPr>
    </w:lvl>
    <w:lvl w:ilvl="1" w:tentative="0">
      <w:start w:val="1"/>
      <w:numFmt w:val="lowerLetter"/>
      <w:lvlText w:val="%2)"/>
      <w:lvlJc w:val="left"/>
      <w:pPr>
        <w:ind w:left="1580" w:hanging="420"/>
      </w:pPr>
    </w:lvl>
    <w:lvl w:ilvl="2" w:tentative="0">
      <w:start w:val="1"/>
      <w:numFmt w:val="lowerRoman"/>
      <w:lvlText w:val="%3."/>
      <w:lvlJc w:val="right"/>
      <w:pPr>
        <w:ind w:left="2000" w:hanging="420"/>
      </w:pPr>
    </w:lvl>
    <w:lvl w:ilvl="3" w:tentative="0">
      <w:start w:val="1"/>
      <w:numFmt w:val="decimal"/>
      <w:lvlText w:val="%4."/>
      <w:lvlJc w:val="left"/>
      <w:pPr>
        <w:ind w:left="2420" w:hanging="420"/>
      </w:pPr>
    </w:lvl>
    <w:lvl w:ilvl="4" w:tentative="0">
      <w:start w:val="1"/>
      <w:numFmt w:val="lowerLetter"/>
      <w:lvlText w:val="%5)"/>
      <w:lvlJc w:val="left"/>
      <w:pPr>
        <w:ind w:left="2840" w:hanging="420"/>
      </w:pPr>
    </w:lvl>
    <w:lvl w:ilvl="5" w:tentative="0">
      <w:start w:val="1"/>
      <w:numFmt w:val="lowerRoman"/>
      <w:lvlText w:val="%6."/>
      <w:lvlJc w:val="right"/>
      <w:pPr>
        <w:ind w:left="3260" w:hanging="420"/>
      </w:pPr>
    </w:lvl>
    <w:lvl w:ilvl="6" w:tentative="0">
      <w:start w:val="1"/>
      <w:numFmt w:val="decimal"/>
      <w:lvlText w:val="%7."/>
      <w:lvlJc w:val="left"/>
      <w:pPr>
        <w:ind w:left="3680" w:hanging="420"/>
      </w:pPr>
    </w:lvl>
    <w:lvl w:ilvl="7" w:tentative="0">
      <w:start w:val="1"/>
      <w:numFmt w:val="lowerLetter"/>
      <w:lvlText w:val="%8)"/>
      <w:lvlJc w:val="left"/>
      <w:pPr>
        <w:ind w:left="4100" w:hanging="420"/>
      </w:pPr>
    </w:lvl>
    <w:lvl w:ilvl="8" w:tentative="0">
      <w:start w:val="1"/>
      <w:numFmt w:val="lowerRoman"/>
      <w:lvlText w:val="%9."/>
      <w:lvlJc w:val="right"/>
      <w:pPr>
        <w:ind w:left="45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jMjM2MzY1MGRhMmE3ODM4OTY2OGJmZGM4YjE4YzMifQ=="/>
  </w:docVars>
  <w:rsids>
    <w:rsidRoot w:val="704D5EC3"/>
    <w:rsid w:val="022257E5"/>
    <w:rsid w:val="261335C9"/>
    <w:rsid w:val="3E0E0C7E"/>
    <w:rsid w:val="3FAA7756"/>
    <w:rsid w:val="42051E29"/>
    <w:rsid w:val="594B1581"/>
    <w:rsid w:val="620728A0"/>
    <w:rsid w:val="704D5EC3"/>
    <w:rsid w:val="728C3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rPr>
      <w:sz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3506</Words>
  <Characters>3711</Characters>
  <Lines>0</Lines>
  <Paragraphs>0</Paragraphs>
  <TotalTime>4</TotalTime>
  <ScaleCrop>false</ScaleCrop>
  <LinksUpToDate>false</LinksUpToDate>
  <CharactersWithSpaces>3752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2023-02-14T01:30:00Z</dcterms:created>
  <dc:creator>WPS_1524491911</dc:creator>
  <cp:lastModifiedBy>WPS_1524491911</cp:lastModifiedBy>
  <dcterms:modified xsi:type="dcterms:W3CDTF">2023-02-14T07:01:43Z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98F41E90A7FA43EB9463EEE475711CD1</vt:lpwstr>
  </property>
</Properties>
</file>