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
          <w:sz w:val="32"/>
          <w:szCs w:val="32"/>
        </w:rPr>
      </w:pPr>
    </w:p>
    <w:p>
      <w:pPr>
        <w:spacing w:line="560" w:lineRule="exact"/>
        <w:rPr>
          <w:rFonts w:ascii="黑体" w:hAnsi="黑体" w:eastAsia="黑体" w:cs="仿宋"/>
          <w:sz w:val="32"/>
          <w:szCs w:val="32"/>
        </w:rPr>
      </w:pPr>
      <w:r>
        <w:rPr>
          <w:rFonts w:hint="eastAsia" w:ascii="黑体" w:hAnsi="黑体" w:eastAsia="黑体" w:cs="仿宋"/>
          <w:sz w:val="32"/>
          <w:szCs w:val="32"/>
        </w:rPr>
        <w:t>附件1</w:t>
      </w:r>
    </w:p>
    <w:p>
      <w:pPr>
        <w:keepNext w:val="0"/>
        <w:keepLines w:val="0"/>
        <w:pageBreakBefore w:val="0"/>
        <w:widowControl/>
        <w:kinsoku/>
        <w:wordWrap/>
        <w:overflowPunct/>
        <w:topLinePunct/>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pacing w:val="-9"/>
          <w:sz w:val="44"/>
          <w:szCs w:val="44"/>
        </w:rPr>
        <w:t>2019年盘锦市市场监管</w:t>
      </w:r>
      <w:r>
        <w:rPr>
          <w:rFonts w:hint="eastAsia" w:ascii="方正小标宋简体" w:hAnsi="方正小标宋简体" w:eastAsia="方正小标宋简体" w:cs="方正小标宋简体"/>
          <w:sz w:val="44"/>
          <w:szCs w:val="44"/>
        </w:rPr>
        <w:t>系统</w:t>
      </w:r>
    </w:p>
    <w:p>
      <w:pPr>
        <w:keepNext w:val="0"/>
        <w:keepLines w:val="0"/>
        <w:pageBreakBefore w:val="0"/>
        <w:widowControl/>
        <w:kinsoku/>
        <w:wordWrap/>
        <w:overflowPunct/>
        <w:topLinePunct/>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9"/>
          <w:sz w:val="44"/>
          <w:szCs w:val="44"/>
        </w:rPr>
        <w:t>“质量月”</w:t>
      </w:r>
      <w:r>
        <w:rPr>
          <w:rFonts w:hint="eastAsia" w:ascii="方正小标宋简体" w:hAnsi="方正小标宋简体" w:eastAsia="方正小标宋简体" w:cs="方正小标宋简体"/>
          <w:bCs/>
          <w:spacing w:val="-9"/>
          <w:sz w:val="44"/>
          <w:szCs w:val="44"/>
          <w:lang w:eastAsia="zh-CN"/>
        </w:rPr>
        <w:t>主要</w:t>
      </w:r>
      <w:r>
        <w:rPr>
          <w:rFonts w:hint="eastAsia" w:ascii="方正小标宋简体" w:hAnsi="方正小标宋简体" w:eastAsia="方正小标宋简体" w:cs="方正小标宋简体"/>
          <w:bCs/>
          <w:spacing w:val="-9"/>
          <w:sz w:val="44"/>
          <w:szCs w:val="44"/>
        </w:rPr>
        <w:t>活动</w:t>
      </w:r>
      <w:r>
        <w:rPr>
          <w:rFonts w:hint="eastAsia" w:ascii="方正小标宋简体" w:hAnsi="方正小标宋简体" w:eastAsia="方正小标宋简体" w:cs="方正小标宋简体"/>
          <w:bCs/>
          <w:sz w:val="44"/>
          <w:szCs w:val="44"/>
        </w:rPr>
        <w:t>安排</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55"/>
        <w:gridCol w:w="643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序号</w:t>
            </w:r>
          </w:p>
        </w:tc>
        <w:tc>
          <w:tcPr>
            <w:tcW w:w="85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活动类别</w:t>
            </w: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质量月活动内容</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黑体" w:hAnsi="黑体" w:eastAsia="黑体" w:cs="黑体"/>
                <w:b/>
                <w:kern w:val="0"/>
                <w:sz w:val="24"/>
                <w:szCs w:val="24"/>
              </w:rPr>
            </w:pPr>
            <w:r>
              <w:rPr>
                <w:rFonts w:hint="eastAsia" w:ascii="黑体" w:hAnsi="黑体" w:eastAsia="黑体" w:cs="黑体"/>
                <w:b/>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w:t>
            </w:r>
          </w:p>
        </w:tc>
        <w:tc>
          <w:tcPr>
            <w:tcW w:w="8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质量提升</w:t>
            </w: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组织各县区市场监管局及相关单位持续、深入开展质量提升行动，总结前期工作，交流提升工作经验。</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发挥质量强市领导小组作用，组织我市相关部门结合工作实际，有特色地开展“质量月”活动，把“质量月”活动办成推动质量工作，展示质量发展成果的平台。</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3</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 xml:space="preserve">充分发挥辽河油田、华锦集团、辽河石化等大型企业的主力军作用，开展岗位练兵、技术大比武、质量知识和技能竞赛、质量有奖答题、QC成果展演会等全方位、多角度的质量提升活动。 </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质量发展科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有关企业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4</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和各县区市场监管局联合组织开展卓越绩效先进管理方法推介活动，动员所辖区域内的企业学习市长质量奖获奖企业的质量管理经验。</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5</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走访全市大中型企业，宣传引导企业积极参与“百城千业万企对标达标工程”提升专项行动。</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标准化科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6</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提高机动车检测环保标准，要求全市17家机动车检测机构进行环保新标准变更。</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计量科（认证认可与检验检测监督管理科）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7</w:t>
            </w:r>
          </w:p>
        </w:tc>
        <w:tc>
          <w:tcPr>
            <w:tcW w:w="855"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color w:val="FF0000"/>
                <w:kern w:val="0"/>
                <w:sz w:val="24"/>
                <w:szCs w:val="24"/>
              </w:rPr>
            </w:pPr>
            <w:r>
              <w:rPr>
                <w:rFonts w:hint="eastAsia" w:ascii="仿宋" w:hAnsi="仿宋" w:eastAsia="仿宋" w:cs="仿宋"/>
                <w:bCs/>
                <w:kern w:val="0"/>
                <w:sz w:val="24"/>
                <w:szCs w:val="24"/>
              </w:rPr>
              <w:t>举办全市质量监管人员监管工作培训</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产品质量安全监督管理科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8</w:t>
            </w:r>
          </w:p>
        </w:tc>
        <w:tc>
          <w:tcPr>
            <w:tcW w:w="8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优化营商环境</w:t>
            </w: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出台行政执法监督制度，规范市场监管行政行为，提升办案机构依法行政能力，优化营商环境转变。</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9</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加大全程电子化登记的覆盖面,全力督促窗口单位推进全程电子化登记，实现市场主体登记“零见面”。</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登记注册科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10</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优化准入服务，压缩审批时限，对直接接触食品的材料等相关产品的生产许可证的核发实行告知承诺制，先发证后审核；实行“多证合一”；深入推进企业名称制度改革；推行全程电子化登记，真正实现不见面审批；推行企业注销便利化，简化注销流程和手续；压缩企业开办时限，对材料齐全、手续完备的即来即办。</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11</w:t>
            </w:r>
          </w:p>
        </w:tc>
        <w:tc>
          <w:tcPr>
            <w:tcW w:w="85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优化营商环境</w:t>
            </w:r>
          </w:p>
        </w:tc>
        <w:tc>
          <w:tcPr>
            <w:tcW w:w="643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充分发挥市小微企业名录建设领导小组作用，协调县、区市场管理局，通过辽宁小微企业名录系统，利用平台优势，及时公布扶持政策和企业扶持信息，为企业提供良好的信息服务平台。</w:t>
            </w:r>
          </w:p>
        </w:tc>
        <w:tc>
          <w:tcPr>
            <w:tcW w:w="19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中介机构监督管理科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12</w:t>
            </w:r>
          </w:p>
        </w:tc>
        <w:tc>
          <w:tcPr>
            <w:tcW w:w="855"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推行 “双随机、一公开”监管，增强市场主体信用意识和自我约束力，对违法者“利剑高悬”;切实减少对市场主体正常生产经营活动干预，对守法者“无事不扰”。</w:t>
            </w:r>
            <w:r>
              <w:rPr>
                <w:rFonts w:hint="eastAsia" w:ascii="仿宋" w:hAnsi="仿宋" w:eastAsia="仿宋" w:cs="仿宋"/>
                <w:bCs/>
                <w:kern w:val="0"/>
                <w:sz w:val="24"/>
                <w:szCs w:val="24"/>
                <w:lang w:eastAsia="zh-CN"/>
              </w:rPr>
              <w:t>全面推行</w:t>
            </w:r>
            <w:r>
              <w:rPr>
                <w:rFonts w:hint="eastAsia" w:ascii="仿宋" w:hAnsi="仿宋" w:eastAsia="仿宋" w:cs="仿宋"/>
                <w:bCs/>
                <w:kern w:val="0"/>
                <w:sz w:val="24"/>
                <w:szCs w:val="24"/>
              </w:rPr>
              <w:t>“双随机、一公开”监管、重点监管、信用监管、“互联网+监管”，确保放得开、接得住、管得好。</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信用监督管理科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13</w:t>
            </w:r>
          </w:p>
        </w:tc>
        <w:tc>
          <w:tcPr>
            <w:tcW w:w="8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监管执法</w:t>
            </w: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color w:val="FF0000"/>
                <w:kern w:val="0"/>
                <w:sz w:val="24"/>
                <w:szCs w:val="24"/>
              </w:rPr>
            </w:pPr>
            <w:r>
              <w:rPr>
                <w:rFonts w:hint="eastAsia" w:ascii="仿宋" w:hAnsi="仿宋" w:eastAsia="仿宋" w:cs="仿宋"/>
                <w:bCs/>
                <w:kern w:val="0"/>
                <w:sz w:val="24"/>
                <w:szCs w:val="24"/>
              </w:rPr>
              <w:t>配合市局相关科室开展有关质量问题的系列打假活动；及时办理与产品质量有关的投诉举报案件；加大对质量不合格产品违法案件的曝光力度。</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FF0000"/>
                <w:kern w:val="0"/>
                <w:sz w:val="24"/>
                <w:szCs w:val="24"/>
              </w:rPr>
            </w:pPr>
            <w:r>
              <w:rPr>
                <w:rFonts w:hint="eastAsia" w:ascii="仿宋" w:hAnsi="仿宋" w:eastAsia="仿宋" w:cs="仿宋"/>
                <w:bCs/>
                <w:kern w:val="0"/>
                <w:sz w:val="24"/>
                <w:szCs w:val="24"/>
              </w:rPr>
              <w:t>执法稽查科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14</w:t>
            </w:r>
          </w:p>
        </w:tc>
        <w:tc>
          <w:tcPr>
            <w:tcW w:w="8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组织县区确定4家重点工业产品生产许可证获证企业，邀请（聘请）第三方技术机构对获证企业进行隐患排查。提高企业产品质量安全及县区监管人员监管能力。</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产品质量安全监督管理科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15</w:t>
            </w:r>
          </w:p>
        </w:tc>
        <w:tc>
          <w:tcPr>
            <w:tcW w:w="8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根据省局《深入贯彻落实〈关于落实关于防范和制止借“不忘初心、牢记使命”主题</w:t>
            </w:r>
            <w:bookmarkStart w:id="0" w:name="_GoBack"/>
            <w:bookmarkEnd w:id="0"/>
            <w:r>
              <w:rPr>
                <w:rFonts w:hint="eastAsia" w:ascii="仿宋" w:hAnsi="仿宋" w:eastAsia="仿宋" w:cs="仿宋"/>
                <w:bCs/>
                <w:kern w:val="0"/>
                <w:sz w:val="24"/>
                <w:szCs w:val="24"/>
              </w:rPr>
              <w:t>活动搞不当营商活动的通知〉暨开展重点领域反不正当竞争执法行动实施方案》的要求，组织全市开展专项执法行动。</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价格监督管理和反不正当竞争科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16</w:t>
            </w:r>
          </w:p>
        </w:tc>
        <w:tc>
          <w:tcPr>
            <w:tcW w:w="8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按照“双随机”原则，组织开展供水、供电领域在收取服务性费用过程中落实相关优惠政策的价费专项整治工作。</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价格监督管理和反不正当竞争科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17</w:t>
            </w:r>
          </w:p>
        </w:tc>
        <w:tc>
          <w:tcPr>
            <w:tcW w:w="8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组织开展“中秋”“国庆节”节日市场价格专项检查，助力稳价工作。</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价格监督管理和反不正当竞争科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18</w:t>
            </w:r>
          </w:p>
        </w:tc>
        <w:tc>
          <w:tcPr>
            <w:tcW w:w="85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深入大米、河蟹生产企业和包装物印刷企业，强化地理标志保护产品专用标志的使用管理。加强知识产权保护，规范产品外包装，助力产业联盟发展。</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知识产权科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7"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19</w:t>
            </w:r>
          </w:p>
        </w:tc>
        <w:tc>
          <w:tcPr>
            <w:tcW w:w="855"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组织开展食品、保健食品、医疗等重点领域违法广告整治工作</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广告监督管理科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64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20</w:t>
            </w:r>
          </w:p>
        </w:tc>
        <w:tc>
          <w:tcPr>
            <w:tcW w:w="8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消费维权</w:t>
            </w:r>
          </w:p>
        </w:tc>
        <w:tc>
          <w:tcPr>
            <w:tcW w:w="643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联合市发展和改革委员会、市通信管理办公室、市公安局、市商务局、盘锦海关、市互联网信息办公室、市邮政管理局、市知识产权局开展盘锦市2019网络市场监管专项行动（网剑行动）。严厉打击网络市场突出问题，营造公平竞争的市场秩序，保护消费者和经营者合法权益，提升网络商品和服务质量，促进我市电子商务持续健康发展。</w:t>
            </w:r>
          </w:p>
        </w:tc>
        <w:tc>
          <w:tcPr>
            <w:tcW w:w="19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网络交易监督管理科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21</w:t>
            </w:r>
          </w:p>
        </w:tc>
        <w:tc>
          <w:tcPr>
            <w:tcW w:w="8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质量宣传</w:t>
            </w: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组织企业张贴“质量月”宣传画、悬挂“质量月”标语横幅，营造“质量月”活动良好氛围。 </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22</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在市局网站开设“质量月”活动专栏，展示“质量月”活动内容。在盘锦日报等媒体解读质量提升实施方案，宣传我市开展质量提升行动及“质量月”活动的好做法好经验。</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质量发展科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办公室(综合规划宣传科)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23</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开展“电梯安全宣传周”活动。</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特种设备安全监察科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24</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开展肉制品和白酒专项整治工作成果宣传。</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食品生产监督管理科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25</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color w:val="FF0000"/>
                <w:kern w:val="0"/>
                <w:sz w:val="24"/>
                <w:szCs w:val="24"/>
              </w:rPr>
            </w:pPr>
            <w:r>
              <w:rPr>
                <w:rFonts w:hint="eastAsia" w:ascii="仿宋" w:hAnsi="仿宋" w:eastAsia="仿宋" w:cs="仿宋"/>
                <w:bCs/>
                <w:kern w:val="0"/>
                <w:sz w:val="24"/>
                <w:szCs w:val="24"/>
              </w:rPr>
              <w:t>组织开展保健食品“五进”科普宣传活动，并将食品和农村食品安全纳入宣传活动内容。</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Cs/>
                <w:color w:val="FF0000"/>
                <w:kern w:val="0"/>
                <w:sz w:val="24"/>
                <w:szCs w:val="24"/>
              </w:rPr>
            </w:pPr>
            <w:r>
              <w:rPr>
                <w:rFonts w:hint="eastAsia" w:ascii="仿宋" w:hAnsi="仿宋" w:eastAsia="仿宋" w:cs="仿宋"/>
                <w:bCs/>
                <w:kern w:val="0"/>
                <w:sz w:val="24"/>
                <w:szCs w:val="24"/>
              </w:rPr>
              <w:t>食品经营管理科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26</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开展流通领域商品质量抽检工作，开展“消费品质量安全宣传”活动。</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反垄断与投诉举报科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27</w:t>
            </w:r>
          </w:p>
        </w:tc>
        <w:tc>
          <w:tcPr>
            <w:tcW w:w="855" w:type="dxa"/>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p>
        </w:tc>
        <w:tc>
          <w:tcPr>
            <w:tcW w:w="6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开展药品安全宣传月活动</w:t>
            </w:r>
          </w:p>
        </w:tc>
        <w:tc>
          <w:tcPr>
            <w:tcW w:w="1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药品化妆品监督管理科</w:t>
            </w:r>
          </w:p>
        </w:tc>
      </w:tr>
    </w:tbl>
    <w:p>
      <w:pPr>
        <w:rPr>
          <w:rFonts w:ascii="仿宋_GB2312"/>
          <w:bCs/>
          <w:szCs w:val="21"/>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rPr>
          <w:rFonts w:asciiTheme="minorHAnsi" w:hAnsiTheme="minorHAnsi" w:eastAsiaTheme="minorEastAsia" w:cstheme="minorBidi"/>
          <w:sz w:val="21"/>
          <w:szCs w:val="22"/>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2098" w:right="1474" w:bottom="1984" w:left="1587" w:header="851" w:footer="992" w:gutter="0"/>
      <w:pgNumType w:fmt="numberInDash" w:start="1"/>
      <w:cols w:space="0" w:num="1"/>
      <w:rtlGutter w:val="0"/>
      <w:docGrid w:type="linesAndChars" w:linePitch="289"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217379"/>
                          </w:sdtPr>
                          <w:sdtContent>
                            <w:p>
                              <w:pPr>
                                <w:pStyle w:val="3"/>
                                <w:jc w:val="right"/>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4 -</w:t>
                              </w:r>
                              <w:r>
                                <w:rPr>
                                  <w:rFonts w:hint="eastAsia" w:asciiTheme="majorEastAsia" w:hAnsiTheme="majorEastAsia" w:eastAsiaTheme="majorEastAsia" w:cstheme="majorEastAsia"/>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66217379"/>
                    </w:sdtPr>
                    <w:sdtContent>
                      <w:p>
                        <w:pPr>
                          <w:pStyle w:val="3"/>
                          <w:jc w:val="right"/>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4 -</w:t>
                        </w:r>
                        <w:r>
                          <w:rPr>
                            <w:rFonts w:hint="eastAsia" w:asciiTheme="majorEastAsia" w:hAnsiTheme="majorEastAsia" w:eastAsiaTheme="majorEastAsia" w:cstheme="majorEastAsia"/>
                            <w:sz w:val="28"/>
                            <w:szCs w:val="28"/>
                          </w:rPr>
                          <w:fldChar w:fldCharType="end"/>
                        </w: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1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5MzgyODg1NDhmNzE3YTk2YWJjZjQyZWExYjEzNmEifQ=="/>
  </w:docVars>
  <w:rsids>
    <w:rsidRoot w:val="0096358F"/>
    <w:rsid w:val="00032457"/>
    <w:rsid w:val="001F38E7"/>
    <w:rsid w:val="003C42D0"/>
    <w:rsid w:val="004235E6"/>
    <w:rsid w:val="00522840"/>
    <w:rsid w:val="00560397"/>
    <w:rsid w:val="007D7E56"/>
    <w:rsid w:val="008B0B3B"/>
    <w:rsid w:val="0096358F"/>
    <w:rsid w:val="00A67C75"/>
    <w:rsid w:val="00AC4BE2"/>
    <w:rsid w:val="00F863A5"/>
    <w:rsid w:val="105A2C9F"/>
    <w:rsid w:val="13C761FA"/>
    <w:rsid w:val="13E05812"/>
    <w:rsid w:val="18065A62"/>
    <w:rsid w:val="18777214"/>
    <w:rsid w:val="36A046D3"/>
    <w:rsid w:val="3A2E4F9E"/>
    <w:rsid w:val="3CAD5BFB"/>
    <w:rsid w:val="3FCD7AF7"/>
    <w:rsid w:val="407B6BC4"/>
    <w:rsid w:val="501D6B2B"/>
    <w:rsid w:val="5063609C"/>
    <w:rsid w:val="5647199B"/>
    <w:rsid w:val="6D136CB4"/>
    <w:rsid w:val="736973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1892</Words>
  <Characters>1918</Characters>
  <Lines>33</Lines>
  <Paragraphs>9</Paragraphs>
  <TotalTime>248</TotalTime>
  <ScaleCrop>false</ScaleCrop>
  <LinksUpToDate>false</LinksUpToDate>
  <CharactersWithSpaces>1921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2019-09-02T01:21:00Z</dcterms:created>
  <dc:creator>NTKO</dc:creator>
  <cp:lastModifiedBy>张琪</cp:lastModifiedBy>
  <cp:lastPrinted>2019-09-02T02:46:00Z</cp:lastPrinted>
  <dcterms:modified xsi:type="dcterms:W3CDTF">2023-02-13T06:12:31Z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3ECFA7DDC3224CB082ADBB6729A98419</vt:lpwstr>
  </property>
</Properties>
</file>