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40" w:lineRule="exact"/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w w:val="90"/>
          <w:sz w:val="44"/>
          <w:szCs w:val="44"/>
        </w:rPr>
      </w:pP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强化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绩效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目标</w:t>
      </w: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规范</w:t>
      </w:r>
      <w:r>
        <w:rPr>
          <w:rFonts w:hint="eastAsia" w:ascii="宋体" w:hAnsi="宋体" w:eastAsia="宋体" w:cs="宋体"/>
          <w:b/>
          <w:bCs/>
          <w:w w:val="90"/>
          <w:sz w:val="44"/>
          <w:szCs w:val="44"/>
        </w:rPr>
        <w:t>管理</w:t>
      </w:r>
    </w:p>
    <w:p>
      <w:pPr>
        <w:pStyle w:val="6"/>
        <w:spacing w:line="540" w:lineRule="exact"/>
        <w:ind w:left="0" w:leftChars="0" w:firstLine="0" w:firstLineChars="0"/>
        <w:jc w:val="center"/>
        <w:rPr>
          <w:rFonts w:hint="default" w:ascii="宋体" w:hAnsi="宋体" w:eastAsia="宋体" w:cs="宋体"/>
          <w:b/>
          <w:bCs/>
          <w:w w:val="9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w w:val="90"/>
          <w:sz w:val="44"/>
          <w:szCs w:val="44"/>
          <w:lang w:val="en-US" w:eastAsia="zh-CN"/>
        </w:rPr>
        <w:t>推动财政资金</w:t>
      </w:r>
      <w:r>
        <w:rPr>
          <w:rFonts w:hint="eastAsia" w:ascii="宋体" w:hAnsi="宋体" w:cs="宋体"/>
          <w:b/>
          <w:bCs/>
          <w:w w:val="90"/>
          <w:sz w:val="44"/>
          <w:szCs w:val="44"/>
          <w:lang w:val="en-US" w:eastAsia="zh-CN"/>
        </w:rPr>
        <w:t>提质增效</w:t>
      </w:r>
    </w:p>
    <w:p>
      <w:pPr>
        <w:pStyle w:val="6"/>
        <w:spacing w:line="540" w:lineRule="exact"/>
        <w:ind w:firstLine="643"/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6"/>
        <w:spacing w:line="560" w:lineRule="exact"/>
        <w:ind w:firstLine="643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2023年盘锦市市本级部门预算绩效目标编制和公开工作，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按照国家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关于全面实施预算绩效管理的有关要求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和部署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以实施全面预算绩效管理为主线，以财政资金绩效管理目标为导向，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牢固树立预算绩效管理理念，建立健全绩效信息化管理体系，全方位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推进预算和绩效管理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规范化、标准化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，做到“花钱必问效，无效必问责”，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财政资金使用的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安全性、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有效性和合法性。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一、实现</w:t>
      </w:r>
      <w:r>
        <w:rPr>
          <w:rFonts w:hint="eastAsia" w:ascii="黑体" w:hAnsi="黑体" w:eastAsia="黑体" w:cs="黑体"/>
          <w:color w:val="000000"/>
          <w:sz w:val="32"/>
          <w:szCs w:val="32"/>
        </w:rPr>
        <w:t>预算绩效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目标全过程信息化管理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继续依托预算绩效管理一体化平台，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对一般公共预算、政府性基金预算、国有资本经营预算实施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了全过程信息化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绩效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管理。一般公共预算中，除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财力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性转移支付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项目、不公开项目和偿债类项目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均纳入绩效管理范围。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2023年市本级部门项目（政策）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支出 146638.89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万元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纳入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绩效管理；</w:t>
      </w:r>
      <w:r>
        <w:rPr>
          <w:rFonts w:hint="eastAsia" w:ascii="仿宋_GB2312" w:hAnsi="仿宋_GB2312" w:eastAsia="仿宋_GB2312" w:cs="仿宋_GB2312"/>
          <w:sz w:val="32"/>
          <w:szCs w:val="32"/>
        </w:rPr>
        <w:t>市本级共有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</w:t>
      </w:r>
      <w:r>
        <w:rPr>
          <w:rFonts w:hint="eastAsia" w:ascii="仿宋_GB2312" w:hAnsi="仿宋_GB2312" w:eastAsia="仿宋_GB2312" w:cs="仿宋_GB2312"/>
          <w:sz w:val="32"/>
          <w:szCs w:val="32"/>
        </w:rPr>
        <w:t>个一级预算部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门、85</w:t>
      </w:r>
      <w:r>
        <w:rPr>
          <w:rFonts w:hint="eastAsia" w:ascii="仿宋_GB2312" w:hAnsi="仿宋_GB2312" w:eastAsia="仿宋_GB2312" w:cs="仿宋_GB2312"/>
          <w:sz w:val="32"/>
          <w:szCs w:val="32"/>
        </w:rPr>
        <w:t>个二级预算单位编制了20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部门整体绩效目标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（涉密除外）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二、推进绩效目标与部门预算编制同步运行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编制预算的</w:t>
      </w:r>
      <w:r>
        <w:rPr>
          <w:rFonts w:hint="eastAsia" w:ascii="仿宋_GB2312" w:eastAsia="仿宋_GB2312" w:cs="仿宋_GB2312"/>
          <w:bCs/>
          <w:sz w:val="32"/>
          <w:szCs w:val="32"/>
        </w:rPr>
        <w:t>各部门各单位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均</w:t>
      </w:r>
      <w:r>
        <w:rPr>
          <w:rFonts w:hint="eastAsia" w:ascii="仿宋_GB2312" w:eastAsia="仿宋_GB2312" w:cs="仿宋_GB2312"/>
          <w:bCs/>
          <w:sz w:val="32"/>
          <w:szCs w:val="32"/>
        </w:rPr>
        <w:t>编制整体绩效目标，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通过部门和单位整体绩效来评估实施效果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特定目标类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val="en-US" w:eastAsia="zh-CN"/>
        </w:rPr>
        <w:t>和其他运转类项目均编制绩效目标。</w:t>
      </w:r>
      <w:bookmarkStart w:id="0" w:name="_GoBack"/>
      <w:bookmarkEnd w:id="0"/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以部门和单位为主体，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将</w:t>
      </w:r>
      <w:r>
        <w:rPr>
          <w:rFonts w:hint="eastAsia" w:ascii="仿宋_GB2312" w:eastAsia="仿宋_GB2312" w:cs="仿宋_GB2312"/>
          <w:bCs/>
          <w:sz w:val="32"/>
          <w:szCs w:val="32"/>
        </w:rPr>
        <w:t>所有申报预算的项目都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提前纳入项目库，超过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500万元的预算项目</w:t>
      </w:r>
      <w:r>
        <w:rPr>
          <w:rFonts w:hint="eastAsia" w:ascii="仿宋_GB2312" w:eastAsia="仿宋_GB2312" w:cs="仿宋_GB2312"/>
          <w:bCs/>
          <w:sz w:val="32"/>
          <w:szCs w:val="32"/>
          <w:lang w:eastAsia="zh-CN"/>
        </w:rPr>
        <w:t>进行事前绩效评估</w:t>
      </w:r>
      <w:r>
        <w:rPr>
          <w:rFonts w:hint="eastAsia" w:ascii="仿宋_GB2312" w:eastAsia="仿宋_GB2312" w:cs="仿宋_GB2312"/>
          <w:bCs/>
          <w:sz w:val="32"/>
          <w:szCs w:val="32"/>
        </w:rPr>
        <w:t>，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对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绩效目标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实施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规范化、标准化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</w:rPr>
        <w:t>管理</w:t>
      </w:r>
      <w:r>
        <w:rPr>
          <w:rFonts w:hint="eastAsia" w:ascii="仿宋_GB2312" w:hAnsi="黑体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仿宋_GB2312"/>
          <w:bCs/>
          <w:sz w:val="32"/>
          <w:szCs w:val="32"/>
          <w:lang w:val="en-US" w:eastAsia="zh-CN"/>
        </w:rPr>
        <w:t>实现绩效目标与部门预算同步编报、审核、批复、公开。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三、规范预算绩效目标操作流程</w:t>
      </w:r>
    </w:p>
    <w:p>
      <w:pPr>
        <w:pStyle w:val="6"/>
        <w:numPr>
          <w:ilvl w:val="0"/>
          <w:numId w:val="0"/>
        </w:numPr>
        <w:spacing w:line="560" w:lineRule="exact"/>
        <w:ind w:firstLine="640" w:firstLineChars="200"/>
        <w:rPr>
          <w:rFonts w:hint="default" w:asci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全方位，全过程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绩效目标管理为核心，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全面规范操作流程，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围绕部门和单位职责、产出和效果等合理设置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部门整体绩效目标和项目（政策）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绩效目标，并将绩效目标管理贯穿到预算管理全过程，绩效目标作为预算安排的前置条件和项目实施、跟踪监控、评价的重要依据。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wZmE3NjY2MjQxODRhYmJhNTFmZDk0NWE0OTM2YzMifQ=="/>
  </w:docVars>
  <w:rsids>
    <w:rsidRoot w:val="00000000"/>
    <w:rsid w:val="04204EEC"/>
    <w:rsid w:val="049251C3"/>
    <w:rsid w:val="1692767F"/>
    <w:rsid w:val="17F81389"/>
    <w:rsid w:val="1B132036"/>
    <w:rsid w:val="1CDA1606"/>
    <w:rsid w:val="2164183D"/>
    <w:rsid w:val="2583791F"/>
    <w:rsid w:val="28CC0C79"/>
    <w:rsid w:val="28EA017F"/>
    <w:rsid w:val="2A125A07"/>
    <w:rsid w:val="2DC15C87"/>
    <w:rsid w:val="2DFD4BAB"/>
    <w:rsid w:val="2FFD411A"/>
    <w:rsid w:val="330F78A8"/>
    <w:rsid w:val="3B1F1B8E"/>
    <w:rsid w:val="3DC2196D"/>
    <w:rsid w:val="3DD75419"/>
    <w:rsid w:val="3E4800C5"/>
    <w:rsid w:val="437234EE"/>
    <w:rsid w:val="461F0F40"/>
    <w:rsid w:val="4E21448E"/>
    <w:rsid w:val="54EC37AE"/>
    <w:rsid w:val="58B959EF"/>
    <w:rsid w:val="5D667ED0"/>
    <w:rsid w:val="5DD32FD9"/>
    <w:rsid w:val="5E3B53AC"/>
    <w:rsid w:val="65700509"/>
    <w:rsid w:val="679B617A"/>
    <w:rsid w:val="720D226B"/>
    <w:rsid w:val="73EF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Desktop\file:\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2</Pages>
  <Words>661</Words>
  <Characters>685</Characters>
  <Paragraphs>17</Paragraphs>
  <TotalTime>14</TotalTime>
  <ScaleCrop>false</ScaleCrop>
  <LinksUpToDate>false</LinksUpToDate>
  <CharactersWithSpaces>686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2018-09-17T07:48:00Z</dcterms:created>
  <dc:creator>詹姆斯 胖梨</dc:creator>
  <cp:lastModifiedBy>Administrator</cp:lastModifiedBy>
  <cp:lastPrinted>2021-01-22T01:05:00Z</cp:lastPrinted>
  <dcterms:modified xsi:type="dcterms:W3CDTF">2023-01-28T02:58:20Z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7960C29E1422461C8D0FD2A7221EF535</vt:lpwstr>
  </property>
</Properties>
</file>