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42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7047230</wp:posOffset>
            </wp:positionV>
            <wp:extent cx="1554480" cy="1548130"/>
            <wp:effectExtent l="0" t="0" r="7620" b="13970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6501130</wp:posOffset>
            </wp:positionV>
            <wp:extent cx="1554480" cy="1548130"/>
            <wp:effectExtent l="0" t="0" r="7620" b="1397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6348730</wp:posOffset>
            </wp:positionV>
            <wp:extent cx="1554480" cy="1548130"/>
            <wp:effectExtent l="0" t="0" r="7620" b="13970"/>
            <wp:wrapNone/>
            <wp:docPr id="12" name="图片 1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新取消的证明事项清单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820"/>
        <w:gridCol w:w="2740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证明事项名称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证明用途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替代措施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取消时间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填表说明：1.填报20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年4月底之后取消的证明事项；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2.证明事项是指不需要申请人自行提供的证明，取消的统计口径不包括实行告知承诺制方式办理的；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0" w:hanging="1200" w:hangingChars="5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直部门只填写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本级新取消的证明事项；各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县、区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填写本地区新取消的证明事项；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4.替代措施包括：信息共享、网络核验、线下核查、合同凭证等，无替代措施的填“无”。</w:t>
      </w:r>
    </w:p>
    <w:p>
      <w:pPr>
        <w:spacing w:line="4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4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4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42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保留证明事项清单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33"/>
        <w:gridCol w:w="2150"/>
        <w:gridCol w:w="3567"/>
        <w:gridCol w:w="1400"/>
        <w:gridCol w:w="151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证明事项名称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设定依据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自行设定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办理方式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实施区域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79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/>
              </w:rPr>
              <w:t>1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收养人的年龄、婚姻、有无子女、职业、财产、健康、有无受过刑事处罚等状况的证明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华侨以及居住在香港、澳门、台湾地区的中国公民在内地收养子女登记</w:t>
            </w:r>
          </w:p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编码：210700030001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《</w:t>
            </w:r>
            <w:r>
              <w:rPr>
                <w:rFonts w:hint="eastAsia" w:ascii="仿宋_GB2312" w:eastAsia="仿宋_GB2312"/>
                <w:lang w:val="en-US"/>
              </w:rPr>
              <w:t>华侨以及</w:t>
            </w:r>
            <w:r>
              <w:rPr>
                <w:rFonts w:hint="eastAsia" w:ascii="仿宋_GB2312" w:hAnsi="仿宋_GB2312" w:eastAsia="仿宋_GB2312" w:cs="仿宋_GB2312"/>
              </w:rPr>
              <w:t>居住在香港、澳门、台湾地区的中国公民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办理</w:t>
            </w:r>
            <w:r>
              <w:rPr>
                <w:rFonts w:hint="eastAsia" w:ascii="仿宋_GB2312" w:hAnsi="仿宋_GB2312" w:eastAsia="仿宋_GB2312" w:cs="仿宋_GB2312"/>
              </w:rPr>
              <w:t>收养登记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的管辖以及所需出具证明材料的规定》（1999年5月25日民政部第16号令发布）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规章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/>
              </w:rPr>
              <w:t>纸质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9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/>
              </w:rPr>
              <w:t>2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当事人无配偶证明、无直系血亲和三代以内旁系血亲关系证明等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涉外、涉港澳台、涉华侨婚姻登记，编码：210700032000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《</w:t>
            </w:r>
            <w:r>
              <w:rPr>
                <w:rFonts w:hint="eastAsia" w:ascii="仿宋_GB2312" w:eastAsia="仿宋_GB2312"/>
                <w:lang w:val="en-US"/>
              </w:rPr>
              <w:t>婚姻登记条例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》（国务院中华人民共和国国务院令第387号）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/>
              </w:rPr>
              <w:t>法规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Tahoma" w:eastAsia="仿宋_GB2312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/>
              </w:rPr>
              <w:t>纸质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2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42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42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实行告知承诺制的证明事项清单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820"/>
        <w:gridCol w:w="3270"/>
        <w:gridCol w:w="1500"/>
        <w:gridCol w:w="1605"/>
        <w:gridCol w:w="15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证明事项名称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证明用途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实施区域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办理数量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核查比例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填表说明：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1.填写截至目前本部门、本区域所有使用告知承诺制办理的证明事项清单；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市直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部门只填写使用告知承诺制办理的证明事项；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县、区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填写本地区使用告知承诺制办理的证明事项，分区域实施的，在实施区域中注明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pPr>
        <w:spacing w:line="420" w:lineRule="exact"/>
        <w:jc w:val="both"/>
        <w:rPr>
          <w:rFonts w:hint="eastAsia"/>
          <w:lang w:val="en-US"/>
        </w:rPr>
        <w:sectPr>
          <w:footerReference r:id="rId5" w:type="default"/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sectPr>
      <w:footerReference r:id="rId6" w:type="default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MWU5YTdhZTU2NjhkMzljZjUzNjdkOGI0NzYxNzEifQ=="/>
  </w:docVars>
  <w:rsids>
    <w:rsidRoot w:val="00D31D50"/>
    <w:rsid w:val="00323B43"/>
    <w:rsid w:val="003D37D8"/>
    <w:rsid w:val="003D7779"/>
    <w:rsid w:val="00426133"/>
    <w:rsid w:val="004358AB"/>
    <w:rsid w:val="008B7726"/>
    <w:rsid w:val="00B6212B"/>
    <w:rsid w:val="00D31D50"/>
    <w:rsid w:val="177E7E8A"/>
    <w:rsid w:val="1BDC3381"/>
    <w:rsid w:val="1FA60981"/>
    <w:rsid w:val="260F4836"/>
    <w:rsid w:val="3AC41ED4"/>
    <w:rsid w:val="4AE01F58"/>
    <w:rsid w:val="4BA06130"/>
    <w:rsid w:val="57757F6B"/>
    <w:rsid w:val="64524F3C"/>
    <w:rsid w:val="65D81156"/>
    <w:rsid w:val="6FD37CF7"/>
    <w:rsid w:val="719B6DC9"/>
    <w:rsid w:val="73650651"/>
    <w:rsid w:val="74307AFD"/>
    <w:rsid w:val="750FEA10"/>
    <w:rsid w:val="7F4B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847</Words>
  <Characters>893</Characters>
  <Lines>1</Lines>
  <Paragraphs>1</Paragraphs>
  <TotalTime>5</TotalTime>
  <ScaleCrop>false</ScaleCrop>
  <LinksUpToDate>false</LinksUpToDate>
  <CharactersWithSpaces>1090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吃的</cp:lastModifiedBy>
  <cp:lastPrinted>2022-10-27T14:31:00Z</cp:lastPrinted>
  <dcterms:modified xsi:type="dcterms:W3CDTF">2022-12-08T08:47:01Z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3BF3778D18C645DBB1DCC22B732C997F</vt:lpwstr>
  </property>
</Properties>
</file>