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0"/>
        </w:tabs>
        <w:spacing w:line="360" w:lineRule="auto"/>
        <w:jc w:val="center"/>
        <w:rPr>
          <w:rFonts w:hint="eastAsia" w:ascii="仿宋_GB2312" w:hAnsi="Times New Roman" w:eastAsia="仿宋_GB2312"/>
          <w:b/>
          <w:sz w:val="44"/>
          <w:szCs w:val="44"/>
          <w:lang w:val="en-US" w:eastAsia="zh-CN"/>
        </w:rPr>
      </w:pPr>
      <w:r>
        <w:rPr>
          <w:rFonts w:hint="eastAsia" w:ascii="仿宋_GB2312" w:hAnsi="Times New Roman" w:eastAsia="仿宋_GB2312"/>
          <w:b/>
          <w:sz w:val="44"/>
          <w:szCs w:val="44"/>
          <w:lang w:val="en-US" w:eastAsia="zh-CN"/>
        </w:rPr>
        <w:t>2022年度</w:t>
      </w:r>
      <w:bookmarkStart w:id="0" w:name="_GoBack"/>
      <w:bookmarkEnd w:id="0"/>
      <w:r>
        <w:rPr>
          <w:rFonts w:hint="eastAsia" w:ascii="仿宋_GB2312" w:hAnsi="Times New Roman" w:eastAsia="仿宋_GB2312"/>
          <w:b/>
          <w:sz w:val="44"/>
          <w:szCs w:val="44"/>
          <w:lang w:val="en-US" w:eastAsia="zh-CN"/>
        </w:rPr>
        <w:t>兴隆台区项目管家工作进展情况</w:t>
      </w:r>
    </w:p>
    <w:p>
      <w:pPr>
        <w:tabs>
          <w:tab w:val="left" w:pos="780"/>
        </w:tabs>
        <w:spacing w:line="360" w:lineRule="auto"/>
        <w:jc w:val="center"/>
        <w:rPr>
          <w:rFonts w:hint="default" w:ascii="仿宋_GB2312" w:hAnsi="Times New Roman" w:eastAsia="仿宋_GB2312"/>
          <w:b/>
          <w:sz w:val="44"/>
          <w:szCs w:val="44"/>
          <w:lang w:val="en-US" w:eastAsia="zh-CN"/>
        </w:rPr>
      </w:pPr>
    </w:p>
    <w:p>
      <w:pPr>
        <w:tabs>
          <w:tab w:val="left" w:pos="780"/>
        </w:tabs>
        <w:spacing w:line="360" w:lineRule="auto"/>
        <w:ind w:firstLine="640" w:firstLineChars="200"/>
        <w:rPr>
          <w:rFonts w:hint="eastAsia" w:ascii="华文仿宋" w:hAnsi="华文仿宋" w:eastAsia="华文仿宋" w:cs="方正小标宋简体"/>
          <w:sz w:val="32"/>
          <w:szCs w:val="32"/>
          <w:lang w:val="en-US" w:eastAsia="zh-CN"/>
        </w:rPr>
      </w:pPr>
      <w:r>
        <w:rPr>
          <w:rFonts w:hint="eastAsia" w:ascii="华文仿宋" w:hAnsi="华文仿宋" w:eastAsia="华文仿宋" w:cs="方正小标宋简体"/>
          <w:sz w:val="32"/>
          <w:szCs w:val="32"/>
        </w:rPr>
        <w:t>根据省营商局《2022年项目管家服务企业工作方案》的通知，兴隆台区认真做好落实工作，</w:t>
      </w:r>
      <w:r>
        <w:rPr>
          <w:rFonts w:hint="eastAsia" w:ascii="华文仿宋" w:hAnsi="华文仿宋" w:eastAsia="华文仿宋" w:cs="方正小标宋简体"/>
          <w:sz w:val="32"/>
          <w:szCs w:val="32"/>
          <w:lang w:val="en-US" w:eastAsia="zh-CN"/>
        </w:rPr>
        <w:t>具体如下：</w:t>
      </w:r>
    </w:p>
    <w:p>
      <w:pPr>
        <w:tabs>
          <w:tab w:val="left" w:pos="780"/>
        </w:tabs>
        <w:spacing w:line="360" w:lineRule="auto"/>
        <w:ind w:firstLine="640" w:firstLineChars="200"/>
        <w:rPr>
          <w:rFonts w:hint="eastAsia" w:ascii="华文仿宋" w:hAnsi="华文仿宋" w:eastAsia="华文仿宋" w:cs="方正小标宋简体"/>
          <w:sz w:val="32"/>
          <w:szCs w:val="32"/>
        </w:rPr>
      </w:pPr>
      <w:r>
        <w:rPr>
          <w:rFonts w:hint="eastAsia" w:ascii="仿宋" w:hAnsi="仿宋" w:eastAsia="仿宋" w:cs="仿宋_GB2312"/>
          <w:sz w:val="32"/>
          <w:szCs w:val="32"/>
        </w:rPr>
        <w:t>截止</w:t>
      </w:r>
      <w:r>
        <w:rPr>
          <w:rFonts w:hint="eastAsia" w:ascii="仿宋" w:hAnsi="仿宋" w:eastAsia="仿宋" w:cs="仿宋_GB2312"/>
          <w:sz w:val="32"/>
          <w:szCs w:val="32"/>
          <w:lang w:val="en-US" w:eastAsia="zh-CN"/>
        </w:rPr>
        <w:t>目前</w:t>
      </w:r>
      <w:r>
        <w:rPr>
          <w:rFonts w:hint="eastAsia" w:ascii="仿宋" w:hAnsi="仿宋" w:eastAsia="仿宋" w:cs="仿宋_GB2312"/>
          <w:sz w:val="32"/>
          <w:szCs w:val="32"/>
        </w:rPr>
        <w:t>，</w:t>
      </w:r>
      <w:r>
        <w:rPr>
          <w:rFonts w:hint="eastAsia" w:ascii="华文仿宋" w:hAnsi="华文仿宋" w:eastAsia="华文仿宋" w:cs="方正小标宋简体"/>
          <w:sz w:val="32"/>
          <w:szCs w:val="32"/>
        </w:rPr>
        <w:t>为本区域内市场主体中小微企业配备“公共管家”588名，完成平台录入中小微企业32359户。积极服务企业，发挥项目管家精准服务企业作用。力求实现“全覆盖、以点带面”的服务体系。</w:t>
      </w:r>
    </w:p>
    <w:p>
      <w:pPr>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rPr>
        <w:t>项目管家制</w:t>
      </w:r>
      <w:r>
        <w:rPr>
          <w:rFonts w:hint="eastAsia" w:ascii="仿宋_GB2312" w:eastAsia="仿宋_GB2312"/>
          <w:sz w:val="32"/>
          <w:szCs w:val="32"/>
        </w:rPr>
        <w:t>度实施5000万元以上项目</w:t>
      </w:r>
      <w:r>
        <w:rPr>
          <w:rFonts w:hint="eastAsia" w:ascii="仿宋_GB2312" w:hAnsi="仿宋_GB2312" w:eastAsia="仿宋_GB2312" w:cs="仿宋_GB2312"/>
          <w:sz w:val="32"/>
          <w:szCs w:val="32"/>
        </w:rPr>
        <w:t>22项，其中新开工7项，复工15项。竣工项目 5 项。并配备了项目管家5名，全年项目管家采取现场调研、电话沟通、微信回访等多种方式为企业服务1</w:t>
      </w:r>
      <w:r>
        <w:rPr>
          <w:rFonts w:hint="eastAsia" w:ascii="仿宋_GB2312" w:hAnsi="仿宋_GB2312" w:eastAsia="仿宋_GB2312" w:cs="仿宋_GB2312"/>
          <w:sz w:val="32"/>
          <w:szCs w:val="32"/>
          <w:lang w:val="en-US" w:eastAsia="zh-CN"/>
        </w:rPr>
        <w:t>30余</w:t>
      </w:r>
      <w:r>
        <w:rPr>
          <w:rFonts w:hint="eastAsia" w:ascii="仿宋_GB2312" w:hAnsi="仿宋_GB2312" w:eastAsia="仿宋_GB2312" w:cs="仿宋_GB2312"/>
          <w:sz w:val="32"/>
          <w:szCs w:val="32"/>
        </w:rPr>
        <w:t>次。</w:t>
      </w:r>
    </w:p>
    <w:p>
      <w:pPr>
        <w:autoSpaceDE w:val="0"/>
        <w:ind w:firstLine="640" w:firstLineChars="200"/>
        <w:rPr>
          <w:rFonts w:ascii="仿宋" w:hAnsi="仿宋" w:eastAsia="仿宋" w:cs="仿宋_GB2312"/>
          <w:sz w:val="32"/>
          <w:szCs w:val="32"/>
        </w:rPr>
      </w:pPr>
      <w:r>
        <w:rPr>
          <w:rFonts w:hint="eastAsia" w:ascii="仿宋" w:hAnsi="仿宋" w:eastAsia="仿宋" w:cs="仿宋_GB2312"/>
          <w:sz w:val="32"/>
          <w:szCs w:val="32"/>
        </w:rPr>
        <w:t>兴隆台区工业企业项目管家共28家企业，由区工信局4位领导班子成员担任管家。项目管家每月与企业沟通一次，掌握企业生产运行情况及存在的问题，2022年以来，共服务企业2</w:t>
      </w:r>
      <w:r>
        <w:rPr>
          <w:rFonts w:hint="eastAsia" w:ascii="仿宋" w:hAnsi="仿宋" w:eastAsia="仿宋" w:cs="仿宋_GB2312"/>
          <w:sz w:val="32"/>
          <w:szCs w:val="32"/>
          <w:lang w:val="en-US" w:eastAsia="zh-CN"/>
        </w:rPr>
        <w:t>60余</w:t>
      </w:r>
      <w:r>
        <w:rPr>
          <w:rFonts w:hint="eastAsia" w:ascii="仿宋" w:hAnsi="仿宋" w:eastAsia="仿宋" w:cs="仿宋_GB2312"/>
          <w:sz w:val="32"/>
          <w:szCs w:val="32"/>
        </w:rPr>
        <w:t>次，帮助企业解决问题72件。</w:t>
      </w:r>
    </w:p>
    <w:p>
      <w:pPr>
        <w:autoSpaceDE w:val="0"/>
        <w:ind w:firstLine="640" w:firstLineChars="200"/>
        <w:rPr>
          <w:rFonts w:ascii="仿宋" w:hAnsi="仿宋" w:eastAsia="仿宋" w:cs="仿宋_GB2312"/>
          <w:sz w:val="32"/>
          <w:szCs w:val="32"/>
        </w:rPr>
      </w:pPr>
      <w:r>
        <w:rPr>
          <w:rFonts w:hint="eastAsia" w:ascii="仿宋" w:hAnsi="仿宋" w:eastAsia="仿宋" w:cs="仿宋_GB2312"/>
          <w:sz w:val="32"/>
          <w:szCs w:val="32"/>
        </w:rPr>
        <w:t>结合兴隆台区限额以上批零住餐企业实际情况，兴隆台区商务局目前共配备项目管家27人，按照“有求必应、无事不扰”的原则，各项目管家按时对所负责企业进行实地及电话调研。目前兴隆台区商务局限上商贸流通企业共84家通过进行现场走访、电话-回访，累积服务企业7</w:t>
      </w:r>
      <w:r>
        <w:rPr>
          <w:rFonts w:hint="eastAsia" w:ascii="仿宋" w:hAnsi="仿宋" w:eastAsia="仿宋" w:cs="仿宋_GB2312"/>
          <w:sz w:val="32"/>
          <w:szCs w:val="32"/>
          <w:lang w:val="en-US" w:eastAsia="zh-CN"/>
        </w:rPr>
        <w:t>50余</w:t>
      </w:r>
      <w:r>
        <w:rPr>
          <w:rFonts w:hint="eastAsia" w:ascii="仿宋" w:hAnsi="仿宋" w:eastAsia="仿宋" w:cs="仿宋_GB2312"/>
          <w:sz w:val="32"/>
          <w:szCs w:val="32"/>
        </w:rPr>
        <w:t>次，其中由姚红军局长，刘晓宝副局长带队对包括桔子广场、大厦、大商等在内的24家企业进行实地走访调研，由付强副局长带队对包括瀚新、新宇保利大酒店等在内的13家餐饮住宿企业进行实地走访调研。并联合市场局，应急局，消防等部门对兴隆大厦、大润发、桔子广场、新宇保利等在内大型商超的安全生产、疫情常态化防控工作进行联合督导检查，对其台账进行抽查，发现的问题要求其立即整改，并将相关问题做好统计与反馈。</w:t>
      </w:r>
    </w:p>
    <w:p>
      <w:pPr>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2022年度，兴隆台区营商环境建设局对我区项目管家工作开展情况进行抽查调研情况，通过电话回访和上门走访的形式先后抽查了60家余企业。企业对项目管家的了解和政策宣讲工作表示认可，也对未来下一步工作提出了具体的意见建议。我局将把企业反馈的问题第一时间转发到具体部门责任人，继续积极推进兴隆台区项目管家工作。</w:t>
      </w:r>
    </w:p>
    <w:p>
      <w:pPr>
        <w:tabs>
          <w:tab w:val="left" w:pos="780"/>
        </w:tabs>
        <w:spacing w:line="360" w:lineRule="auto"/>
        <w:ind w:firstLine="643" w:firstLineChars="200"/>
        <w:rPr>
          <w:rFonts w:ascii="仿宋" w:hAnsi="仿宋" w:eastAsia="仿宋"/>
          <w:b/>
          <w:sz w:val="32"/>
          <w:szCs w:val="32"/>
        </w:rPr>
      </w:pPr>
      <w:r>
        <w:rPr>
          <w:rFonts w:hint="eastAsia" w:ascii="仿宋" w:hAnsi="仿宋" w:eastAsia="仿宋"/>
          <w:b/>
          <w:sz w:val="32"/>
          <w:szCs w:val="32"/>
        </w:rPr>
        <w:t>工作举措</w:t>
      </w:r>
    </w:p>
    <w:p>
      <w:pPr>
        <w:autoSpaceDE w:val="0"/>
        <w:ind w:firstLine="640" w:firstLineChars="200"/>
        <w:rPr>
          <w:rFonts w:ascii="仿宋" w:hAnsi="仿宋" w:eastAsia="仿宋" w:cs="仿宋_GB2312"/>
          <w:sz w:val="32"/>
          <w:szCs w:val="32"/>
        </w:rPr>
      </w:pPr>
      <w:r>
        <w:rPr>
          <w:rFonts w:hint="eastAsia" w:ascii="黑体" w:hAnsi="黑体" w:eastAsia="黑体"/>
          <w:sz w:val="32"/>
          <w:szCs w:val="32"/>
        </w:rPr>
        <w:t>1.</w:t>
      </w:r>
      <w:r>
        <w:rPr>
          <w:rFonts w:hint="eastAsia" w:ascii="黑体" w:hAnsi="黑体" w:eastAsia="黑体" w:cs="仿宋_GB2312"/>
          <w:sz w:val="32"/>
          <w:szCs w:val="32"/>
        </w:rPr>
        <w:t xml:space="preserve"> 认真将服务企业落实到实处。</w:t>
      </w:r>
      <w:r>
        <w:rPr>
          <w:rFonts w:hint="eastAsia" w:ascii="仿宋" w:hAnsi="仿宋" w:eastAsia="仿宋" w:cs="仿宋_GB2312"/>
          <w:sz w:val="32"/>
          <w:szCs w:val="32"/>
        </w:rPr>
        <w:t>根据市商务局、财政局《关于印发盘锦市申报2022年辽宁省全面开放资金（支持货物和服务贸易部分）实施细则的通知》（盘商联发〔2022〕12）文件要求，为我区符合申报条件的辽宁云智医疗科技有限公司申请贴息补助。</w:t>
      </w:r>
    </w:p>
    <w:p>
      <w:pPr>
        <w:pStyle w:val="3"/>
        <w:spacing w:line="576" w:lineRule="exact"/>
        <w:ind w:firstLine="640" w:firstLineChars="200"/>
        <w:jc w:val="left"/>
        <w:rPr>
          <w:rFonts w:ascii="仿宋" w:hAnsi="仿宋" w:eastAsia="仿宋"/>
          <w:sz w:val="32"/>
          <w:szCs w:val="32"/>
        </w:rPr>
      </w:pPr>
      <w:r>
        <w:rPr>
          <w:rFonts w:hint="eastAsia" w:ascii="黑体" w:hAnsi="黑体" w:eastAsia="黑体"/>
          <w:sz w:val="32"/>
          <w:szCs w:val="32"/>
        </w:rPr>
        <w:t>2.</w:t>
      </w:r>
      <w:r>
        <w:rPr>
          <w:rFonts w:hint="eastAsia" w:ascii="黑体" w:hAnsi="黑体" w:eastAsia="黑体" w:cs="楷体_GB2312"/>
          <w:sz w:val="32"/>
          <w:szCs w:val="32"/>
        </w:rPr>
        <w:t xml:space="preserve"> </w:t>
      </w:r>
      <w:r>
        <w:rPr>
          <w:rFonts w:hint="eastAsia" w:ascii="黑体" w:hAnsi="黑体" w:eastAsia="黑体" w:cs="仿宋_GB2312"/>
          <w:sz w:val="32"/>
          <w:szCs w:val="32"/>
        </w:rPr>
        <w:t>保障工业企业重点生产物资运输。</w:t>
      </w:r>
      <w:r>
        <w:rPr>
          <w:rFonts w:hint="eastAsia" w:ascii="仿宋" w:hAnsi="仿宋" w:eastAsia="仿宋" w:cs="仿宋_GB2312"/>
          <w:sz w:val="32"/>
          <w:szCs w:val="32"/>
        </w:rPr>
        <w:t>疫情爆发期，统筹兼顾疫情防控和企业复工复产，保障工业企业重点生产物资运输，为工业企业发放工业重点物资保供车辆通行证。工信局累计为辽河油田（含下属单位）、长城钻探（含下属单位）等118家单位发放通行证6224张，其中：蓝色通行证（盘锦牌照车辆使用）2621张，红色通行证（外地牌照车辆使用）3603张，有效保障了企业生产物资运输。</w:t>
      </w:r>
    </w:p>
    <w:p>
      <w:pPr>
        <w:pStyle w:val="3"/>
        <w:spacing w:line="560" w:lineRule="exact"/>
        <w:ind w:firstLine="640" w:firstLineChars="200"/>
        <w:rPr>
          <w:rFonts w:ascii="仿宋_GB2312" w:hAnsi="仿宋_GB2312" w:eastAsia="仿宋_GB2312" w:cs="仿宋_GB2312"/>
          <w:sz w:val="32"/>
          <w:szCs w:val="32"/>
        </w:rPr>
      </w:pPr>
      <w:r>
        <w:rPr>
          <w:rFonts w:hint="eastAsia" w:ascii="黑体" w:hAnsi="黑体" w:eastAsia="黑体"/>
          <w:sz w:val="32"/>
          <w:szCs w:val="32"/>
        </w:rPr>
        <w:t>3.</w:t>
      </w:r>
      <w:r>
        <w:rPr>
          <w:rFonts w:hint="eastAsia" w:ascii="黑体" w:hAnsi="黑体" w:eastAsia="黑体" w:cs="楷体_GB2312"/>
          <w:sz w:val="32"/>
          <w:szCs w:val="32"/>
        </w:rPr>
        <w:t xml:space="preserve"> </w:t>
      </w:r>
      <w:r>
        <w:rPr>
          <w:rFonts w:hint="eastAsia" w:ascii="黑体" w:hAnsi="黑体" w:eastAsia="黑体" w:cs="仿宋_GB2312"/>
          <w:sz w:val="32"/>
          <w:szCs w:val="32"/>
        </w:rPr>
        <w:t>指导企业做好安全生产工作。</w:t>
      </w:r>
      <w:r>
        <w:rPr>
          <w:rFonts w:hint="eastAsia" w:ascii="仿宋" w:hAnsi="仿宋" w:eastAsia="仿宋" w:cs="仿宋_GB2312"/>
          <w:sz w:val="32"/>
          <w:szCs w:val="32"/>
        </w:rPr>
        <w:t>实地指导盘锦鼎翔米业有限公司、盘锦辽河油田裕隆实业集团有限公司等多家企业做好安全生产工作，对企业用电安全、生产安全、消防设施等情况进行了现场指导和督促。</w:t>
      </w:r>
    </w:p>
    <w:p>
      <w:pPr>
        <w:pStyle w:val="3"/>
        <w:spacing w:line="576" w:lineRule="exact"/>
        <w:ind w:firstLine="640" w:firstLineChars="200"/>
        <w:jc w:val="left"/>
        <w:rPr>
          <w:rFonts w:ascii="仿宋" w:hAnsi="仿宋" w:eastAsia="仿宋" w:cs="仿宋_GB2312"/>
          <w:sz w:val="32"/>
          <w:szCs w:val="32"/>
        </w:rPr>
      </w:pPr>
      <w:r>
        <w:rPr>
          <w:rFonts w:hint="eastAsia" w:ascii="黑体" w:hAnsi="黑体" w:eastAsia="黑体"/>
          <w:sz w:val="32"/>
          <w:szCs w:val="32"/>
        </w:rPr>
        <w:t>4</w:t>
      </w:r>
      <w:r>
        <w:rPr>
          <w:rFonts w:hint="eastAsia" w:ascii="黑体" w:hAnsi="黑体" w:eastAsia="黑体" w:cs="仿宋_GB2312"/>
          <w:sz w:val="32"/>
          <w:szCs w:val="32"/>
        </w:rPr>
        <w:t>. 开展“千人助千企”活动。</w:t>
      </w:r>
      <w:r>
        <w:rPr>
          <w:rFonts w:hint="eastAsia" w:ascii="仿宋" w:hAnsi="仿宋" w:eastAsia="仿宋" w:cs="仿宋_GB2312"/>
          <w:sz w:val="32"/>
          <w:szCs w:val="32"/>
        </w:rPr>
        <w:t>年初，在做好项目管家工作的同时，我区出台了《兴隆台区落实“千人助千企”活动方案》（兴委办发﹝2022﹞3号），区本级268户企业纳入包保名单，由区副科级以上干部成立包保团队，对企业进行一对一帮扶，有效推动复工复产。截至目前，助企干部累计对接企业722次，其中：电话对接363次，现场走访359次。53家企业提出困难诉求涉及60项问题，其中，人才用工14项，融资困难6项，涉法涉诉3项，市场开拓9项，项目建设5项，政务服务23项。经助企干部的帮扶，已帮助企业解决问题39项，正在协调解决问题21项。主动帮扶对接企业，我区营商环境得到了企业的进一步认可。</w:t>
      </w:r>
    </w:p>
    <w:p>
      <w:pPr>
        <w:pStyle w:val="3"/>
        <w:spacing w:line="560" w:lineRule="exact"/>
        <w:ind w:firstLine="640" w:firstLineChars="200"/>
        <w:rPr>
          <w:rFonts w:ascii="仿宋" w:hAnsi="仿宋" w:eastAsia="仿宋" w:cs="仿宋_GB2312"/>
          <w:sz w:val="32"/>
          <w:szCs w:val="32"/>
        </w:rPr>
      </w:pPr>
      <w:r>
        <w:rPr>
          <w:rFonts w:hint="eastAsia" w:ascii="黑体" w:hAnsi="黑体" w:eastAsia="黑体" w:cs="仿宋_GB2312"/>
          <w:sz w:val="32"/>
          <w:szCs w:val="32"/>
        </w:rPr>
        <w:t>5.</w:t>
      </w:r>
      <w:r>
        <w:rPr>
          <w:rFonts w:hint="eastAsia" w:ascii="黑体" w:hAnsi="黑体" w:eastAsia="黑体" w:cs="楷体_GB2312"/>
          <w:sz w:val="32"/>
          <w:szCs w:val="32"/>
        </w:rPr>
        <w:t xml:space="preserve"> </w:t>
      </w:r>
      <w:r>
        <w:rPr>
          <w:rFonts w:hint="eastAsia" w:ascii="黑体" w:hAnsi="黑体" w:eastAsia="黑体" w:cs="仿宋_GB2312"/>
          <w:sz w:val="32"/>
          <w:szCs w:val="32"/>
        </w:rPr>
        <w:t>帮助曙光地区灾害受损企业积极争取政策。</w:t>
      </w:r>
      <w:r>
        <w:rPr>
          <w:rFonts w:hint="eastAsia" w:ascii="仿宋" w:hAnsi="仿宋" w:eastAsia="仿宋" w:cs="仿宋_GB2312"/>
          <w:sz w:val="32"/>
          <w:szCs w:val="32"/>
        </w:rPr>
        <w:t>共4家企业，预估损失3505万元。其中，盘锦鼎翔米业有限公司预估损失2136万元，盘锦辽河油田金宇集团有限公司预估损失620万元，辽宁高诚橡胶科技有限公司预估损失480万元，盘锦辽河油田泰成实业有限责任公司预估损失269万元。我区已将损失情况上报至市工信、区应急等相关部门，积极向上争取政策性补助，减轻企业损失。</w:t>
      </w:r>
    </w:p>
    <w:p>
      <w:pPr>
        <w:pStyle w:val="3"/>
        <w:spacing w:line="576" w:lineRule="exact"/>
        <w:ind w:firstLine="643" w:firstLineChars="200"/>
        <w:jc w:val="left"/>
        <w:rPr>
          <w:rFonts w:ascii="仿宋" w:hAnsi="仿宋" w:eastAsia="仿宋"/>
          <w:sz w:val="32"/>
          <w:szCs w:val="32"/>
        </w:rPr>
      </w:pPr>
      <w:r>
        <w:rPr>
          <w:rFonts w:hint="eastAsia" w:ascii="仿宋" w:hAnsi="仿宋" w:eastAsia="仿宋"/>
          <w:b/>
          <w:sz w:val="32"/>
          <w:szCs w:val="32"/>
        </w:rPr>
        <w:t>存在的问题</w:t>
      </w:r>
    </w:p>
    <w:p>
      <w:pPr>
        <w:pStyle w:val="3"/>
        <w:spacing w:line="558"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1.</w:t>
      </w:r>
      <w:r>
        <w:rPr>
          <w:rFonts w:hint="eastAsia" w:ascii="仿宋" w:hAnsi="仿宋" w:eastAsia="仿宋" w:cs="仿宋_GB2312"/>
          <w:sz w:val="32"/>
          <w:szCs w:val="32"/>
        </w:rPr>
        <w:t>受疫情影响，企业物流成本上涨，部分企业订单下降，同时受原材料价格上涨，部分企业被迫减产。</w:t>
      </w:r>
    </w:p>
    <w:p>
      <w:pPr>
        <w:adjustRightInd w:val="0"/>
        <w:snapToGrid w:val="0"/>
        <w:spacing w:line="560" w:lineRule="exact"/>
        <w:ind w:firstLine="640" w:firstLineChars="200"/>
        <w:rPr>
          <w:rFonts w:ascii="仿宋" w:hAnsi="仿宋" w:eastAsia="仿宋" w:cs="仿宋_GB2312"/>
          <w:sz w:val="32"/>
          <w:szCs w:val="32"/>
        </w:rPr>
      </w:pPr>
      <w:r>
        <w:rPr>
          <w:rFonts w:hint="eastAsia" w:ascii="黑体" w:hAnsi="黑体" w:eastAsia="黑体" w:cs="仿宋_GB2312"/>
          <w:sz w:val="32"/>
          <w:szCs w:val="32"/>
        </w:rPr>
        <w:t xml:space="preserve">2. </w:t>
      </w:r>
      <w:r>
        <w:rPr>
          <w:rFonts w:hint="eastAsia" w:ascii="仿宋" w:hAnsi="仿宋" w:eastAsia="仿宋" w:cs="仿宋_GB2312"/>
          <w:sz w:val="32"/>
          <w:szCs w:val="32"/>
        </w:rPr>
        <w:t>油田多种经营企业质量不高。近几年辽河油田原油稳产1000万吨左右，我区现有规模以上多种经营企业32家（含高新区），无超10亿产值企业，超亿元以上企业6家，多数企业依采油矿区而成立，分布在沈采、茨采、锦采、曙光、欢喜岭等地区，较为分散，未能形成集聚发展。同时，这些企业生产经营长期依赖油田市场，产品技术含量不高、缺乏创新、资金回流较慢等多种因素制约多种经营企业发展。</w:t>
      </w:r>
    </w:p>
    <w:p>
      <w:pPr>
        <w:pStyle w:val="3"/>
        <w:spacing w:line="558" w:lineRule="exact"/>
        <w:ind w:firstLine="640" w:firstLineChars="200"/>
        <w:jc w:val="left"/>
        <w:rPr>
          <w:rFonts w:ascii="仿宋" w:hAnsi="仿宋" w:eastAsia="仿宋" w:cs="仿宋_GB2312"/>
          <w:sz w:val="32"/>
          <w:szCs w:val="32"/>
        </w:rPr>
      </w:pPr>
      <w:r>
        <w:rPr>
          <w:rFonts w:hint="eastAsia" w:ascii="黑体" w:hAnsi="黑体" w:eastAsia="黑体" w:cs="仿宋_GB2312"/>
          <w:sz w:val="32"/>
          <w:szCs w:val="32"/>
        </w:rPr>
        <w:t xml:space="preserve">3. </w:t>
      </w:r>
      <w:r>
        <w:rPr>
          <w:rFonts w:hint="eastAsia" w:ascii="仿宋" w:hAnsi="仿宋" w:eastAsia="仿宋" w:cs="仿宋_GB2312"/>
          <w:sz w:val="32"/>
          <w:szCs w:val="32"/>
        </w:rPr>
        <w:t>缺乏项目支撑。区本级缺少工业发展用地，除长城钻探外无500万元以上工业投资项目。</w:t>
      </w:r>
    </w:p>
    <w:p>
      <w:pPr>
        <w:pStyle w:val="3"/>
        <w:spacing w:line="558" w:lineRule="exact"/>
        <w:ind w:firstLine="643" w:firstLineChars="200"/>
        <w:jc w:val="left"/>
        <w:rPr>
          <w:rFonts w:ascii="仿宋" w:hAnsi="仿宋" w:eastAsia="仿宋"/>
          <w:b/>
          <w:bCs/>
          <w:sz w:val="32"/>
          <w:szCs w:val="32"/>
        </w:rPr>
      </w:pPr>
      <w:r>
        <w:rPr>
          <w:rFonts w:hint="eastAsia" w:ascii="仿宋" w:hAnsi="仿宋" w:eastAsia="仿宋"/>
          <w:b/>
          <w:bCs/>
          <w:sz w:val="32"/>
          <w:szCs w:val="32"/>
        </w:rPr>
        <w:t>下一步工作安排</w:t>
      </w:r>
    </w:p>
    <w:p>
      <w:pPr>
        <w:spacing w:line="56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1.开展专项对接，与辽河油田公司共同研究如何推动多种经营企业发展问题，共同出台有利于多种经营企业发展的相关政策，助推多种经营企业发展。</w:t>
      </w:r>
    </w:p>
    <w:p>
      <w:pPr>
        <w:spacing w:line="56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2.加强与长城钻探和西部钻井公司沟通，推进域外石油工程项目服务公司在我区注册，加快形成石油工程技术服务企业集聚发展，形成新的增长点。</w:t>
      </w:r>
    </w:p>
    <w:p>
      <w:pPr>
        <w:spacing w:line="560" w:lineRule="exact"/>
        <w:ind w:firstLine="627" w:firstLineChars="196"/>
        <w:rPr>
          <w:rFonts w:ascii="仿宋" w:hAnsi="仿宋" w:eastAsia="仿宋" w:cs="仿宋_GB2312"/>
          <w:sz w:val="32"/>
          <w:szCs w:val="32"/>
        </w:rPr>
      </w:pPr>
      <w:r>
        <w:rPr>
          <w:rFonts w:hint="eastAsia" w:ascii="仿宋" w:hAnsi="仿宋" w:eastAsia="仿宋" w:cs="仿宋_GB2312"/>
          <w:sz w:val="32"/>
          <w:szCs w:val="32"/>
        </w:rPr>
        <w:t>3.利用闲置土地统筹城市发展与工业发展规划，围绕油气技术服务、高端装备制造、高新技术产业招商引资，发展工业经济。</w:t>
      </w:r>
    </w:p>
    <w:p>
      <w:pPr>
        <w:rPr>
          <w:rFonts w:ascii="仿宋" w:hAnsi="仿宋" w:eastAsia="仿宋" w:cs="Times New Roman"/>
          <w:sz w:val="32"/>
          <w:szCs w:val="32"/>
        </w:rPr>
      </w:pPr>
    </w:p>
    <w:p>
      <w:pPr>
        <w:ind w:firstLine="4160" w:firstLineChars="1300"/>
        <w:rPr>
          <w:rFonts w:ascii="仿宋" w:hAnsi="仿宋" w:eastAsia="仿宋" w:cs="Times New Roman"/>
          <w:sz w:val="32"/>
          <w:szCs w:val="32"/>
        </w:rPr>
      </w:pPr>
      <w:r>
        <w:rPr>
          <w:rFonts w:hint="eastAsia" w:ascii="仿宋" w:hAnsi="仿宋" w:eastAsia="仿宋" w:cs="Times New Roman"/>
          <w:sz w:val="32"/>
          <w:szCs w:val="32"/>
        </w:rPr>
        <w:t>兴隆台区营商环境</w:t>
      </w:r>
      <w:r>
        <w:rPr>
          <w:rFonts w:hint="eastAsia" w:ascii="仿宋" w:hAnsi="仿宋" w:eastAsia="仿宋" w:cs="Times New Roman"/>
          <w:sz w:val="32"/>
          <w:szCs w:val="32"/>
          <w:lang w:val="en-US" w:eastAsia="zh-CN"/>
        </w:rPr>
        <w:t>建设</w:t>
      </w:r>
      <w:r>
        <w:rPr>
          <w:rFonts w:hint="eastAsia" w:ascii="仿宋" w:hAnsi="仿宋" w:eastAsia="仿宋" w:cs="Times New Roman"/>
          <w:sz w:val="32"/>
          <w:szCs w:val="32"/>
        </w:rPr>
        <w:t>局</w:t>
      </w:r>
    </w:p>
    <w:sectPr>
      <w:pgSz w:w="11906" w:h="16838"/>
      <w:pgMar w:top="1440"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11BC789-E2E9-403E-9260-1DB48E880BC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embedRegular r:id="rId2" w:fontKey="{CF9A3562-D129-4508-8A10-812A0FDE4AF7}"/>
  </w:font>
  <w:font w:name="仿宋">
    <w:panose1 w:val="02010609060101010101"/>
    <w:charset w:val="86"/>
    <w:family w:val="auto"/>
    <w:pitch w:val="default"/>
    <w:sig w:usb0="800002BF" w:usb1="38CF7CFA" w:usb2="00000016" w:usb3="00000000" w:csb0="00040001" w:csb1="00000000"/>
    <w:embedRegular r:id="rId3" w:fontKey="{B8250CF7-856F-48B6-B579-A3DBC4F8345D}"/>
  </w:font>
  <w:font w:name="华文仿宋">
    <w:altName w:val="仿宋"/>
    <w:panose1 w:val="02010600040101010101"/>
    <w:charset w:val="86"/>
    <w:family w:val="auto"/>
    <w:pitch w:val="default"/>
    <w:sig w:usb0="00000000" w:usb1="00000000" w:usb2="00000000" w:usb3="00000000" w:csb0="0004009F" w:csb1="DFD70000"/>
    <w:embedRegular r:id="rId4" w:fontKey="{F28F783F-F299-40DF-B4C6-661CB3AF6C88}"/>
  </w:font>
  <w:font w:name="方正小标宋简体">
    <w:panose1 w:val="02000000000000000000"/>
    <w:charset w:val="86"/>
    <w:family w:val="script"/>
    <w:pitch w:val="default"/>
    <w:sig w:usb0="00000001" w:usb1="08000000" w:usb2="00000000" w:usb3="00000000" w:csb0="00040000" w:csb1="00000000"/>
    <w:embedRegular r:id="rId5" w:fontKey="{B36710E7-B795-4AC8-A39A-AE68C60AE079}"/>
  </w:font>
  <w:font w:name="楷体_GB2312">
    <w:altName w:val="楷体"/>
    <w:panose1 w:val="00000000000000000000"/>
    <w:charset w:val="86"/>
    <w:family w:val="auto"/>
    <w:pitch w:val="default"/>
    <w:sig w:usb0="00000000" w:usb1="00000000" w:usb2="00000000" w:usb3="00000000" w:csb0="00040000" w:csb1="00000000"/>
    <w:embedRegular r:id="rId6" w:fontKey="{2FCC9B0F-226D-48B3-9C63-61F8B02D6E63}"/>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zYWNiNTFmNzVmOWZhYzM3NGE3NTNiOTU4NmRkZGIifQ=="/>
  </w:docVars>
  <w:rsids>
    <w:rsidRoot w:val="321E63B6"/>
    <w:rsid w:val="0001447A"/>
    <w:rsid w:val="000348C4"/>
    <w:rsid w:val="00047CCC"/>
    <w:rsid w:val="000B46D2"/>
    <w:rsid w:val="001B709C"/>
    <w:rsid w:val="00246D53"/>
    <w:rsid w:val="00280CD6"/>
    <w:rsid w:val="00470F7B"/>
    <w:rsid w:val="006018DA"/>
    <w:rsid w:val="009077BF"/>
    <w:rsid w:val="009551A7"/>
    <w:rsid w:val="0097144E"/>
    <w:rsid w:val="009C5E91"/>
    <w:rsid w:val="00AE4B4D"/>
    <w:rsid w:val="00B27062"/>
    <w:rsid w:val="00B60B84"/>
    <w:rsid w:val="00BA381E"/>
    <w:rsid w:val="00C04850"/>
    <w:rsid w:val="00C16290"/>
    <w:rsid w:val="00C97B9E"/>
    <w:rsid w:val="00EA7C59"/>
    <w:rsid w:val="00FA76CE"/>
    <w:rsid w:val="00FB561F"/>
    <w:rsid w:val="01331A42"/>
    <w:rsid w:val="01CB3786"/>
    <w:rsid w:val="051931EE"/>
    <w:rsid w:val="05C00A91"/>
    <w:rsid w:val="05EB4399"/>
    <w:rsid w:val="08644E2E"/>
    <w:rsid w:val="0BD63545"/>
    <w:rsid w:val="1167294D"/>
    <w:rsid w:val="13926175"/>
    <w:rsid w:val="13D62F93"/>
    <w:rsid w:val="172F3B39"/>
    <w:rsid w:val="1D725253"/>
    <w:rsid w:val="1D8C7FE7"/>
    <w:rsid w:val="1D9F5685"/>
    <w:rsid w:val="1F2E6945"/>
    <w:rsid w:val="2006274D"/>
    <w:rsid w:val="26236C2F"/>
    <w:rsid w:val="3073537B"/>
    <w:rsid w:val="321E63B6"/>
    <w:rsid w:val="38FB1B92"/>
    <w:rsid w:val="3A6C1E86"/>
    <w:rsid w:val="3B6139BC"/>
    <w:rsid w:val="3C4D4494"/>
    <w:rsid w:val="458C2B1C"/>
    <w:rsid w:val="474B00E1"/>
    <w:rsid w:val="4B367F9A"/>
    <w:rsid w:val="4FC85BB2"/>
    <w:rsid w:val="53BB6616"/>
    <w:rsid w:val="68EA172D"/>
    <w:rsid w:val="6A4804E2"/>
    <w:rsid w:val="6ADA5A6E"/>
    <w:rsid w:val="6AEE06C3"/>
    <w:rsid w:val="6CA85906"/>
    <w:rsid w:val="6CBC1103"/>
    <w:rsid w:val="6F0B745E"/>
    <w:rsid w:val="71F206D2"/>
    <w:rsid w:val="7BE9300C"/>
    <w:rsid w:val="7D2C792B"/>
    <w:rsid w:val="7E383CBC"/>
    <w:rsid w:val="7F664EE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lock Text"/>
    <w:basedOn w:val="1"/>
    <w:unhideWhenUsed/>
    <w:qFormat/>
    <w:uiPriority w:val="99"/>
    <w:rPr>
      <w:rFonts w:ascii="Calibri" w:hAnsi="Calibri" w:eastAsia="宋体" w:cs="Times New Roman"/>
      <w:sz w:val="34"/>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2063</Words>
  <Characters>2161</Characters>
  <Lines>16</Lines>
  <Paragraphs>4</Paragraphs>
  <TotalTime>13</TotalTime>
  <ScaleCrop>false</ScaleCrop>
  <LinksUpToDate>false</LinksUpToDate>
  <CharactersWithSpaces>2170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2019-12-09T02:10:00Z</dcterms:created>
  <dc:creator>阿秋变小田</dc:creator>
  <cp:lastModifiedBy>阿秋变小田</cp:lastModifiedBy>
  <dcterms:modified xsi:type="dcterms:W3CDTF">2022-11-15T07:31:22Z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6651EE4D079742449A2FB325855FAE92</vt:lpwstr>
  </property>
</Properties>
</file>