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b/>
          <w:sz w:val="44"/>
          <w:szCs w:val="44"/>
          <w:u w:val="single"/>
        </w:rPr>
      </w:pPr>
    </w:p>
    <w:p>
      <w:pPr>
        <w:spacing w:line="540" w:lineRule="exact"/>
        <w:jc w:val="center"/>
        <w:rPr>
          <w:rFonts w:ascii="宋体" w:hAnsi="宋体"/>
          <w:b/>
          <w:sz w:val="52"/>
          <w:szCs w:val="52"/>
        </w:rPr>
      </w:pPr>
    </w:p>
    <w:p>
      <w:pPr>
        <w:spacing w:line="540" w:lineRule="exact"/>
        <w:jc w:val="center"/>
        <w:rPr>
          <w:rFonts w:ascii="宋体" w:hAnsi="宋体"/>
          <w:b/>
          <w:sz w:val="52"/>
          <w:szCs w:val="52"/>
        </w:rPr>
      </w:pPr>
    </w:p>
    <w:p>
      <w:pPr>
        <w:spacing w:line="540" w:lineRule="exact"/>
        <w:jc w:val="center"/>
        <w:rPr>
          <w:rFonts w:ascii="宋体" w:hAnsi="宋体"/>
          <w:b/>
          <w:sz w:val="52"/>
          <w:szCs w:val="52"/>
        </w:rPr>
      </w:pPr>
    </w:p>
    <w:p>
      <w:pPr>
        <w:spacing w:line="540" w:lineRule="exact"/>
        <w:jc w:val="center"/>
        <w:rPr>
          <w:rFonts w:ascii="宋体" w:hAnsi="宋体"/>
          <w:b/>
          <w:sz w:val="52"/>
          <w:szCs w:val="52"/>
        </w:rPr>
      </w:pPr>
    </w:p>
    <w:p>
      <w:pPr>
        <w:spacing w:line="540" w:lineRule="exact"/>
        <w:jc w:val="center"/>
        <w:rPr>
          <w:rFonts w:ascii="宋体" w:hAnsi="宋体"/>
          <w:b/>
          <w:sz w:val="52"/>
          <w:szCs w:val="52"/>
        </w:rPr>
      </w:pPr>
      <w:r>
        <w:rPr>
          <w:rFonts w:hint="eastAsia" w:ascii="宋体" w:hAnsi="宋体"/>
          <w:b/>
          <w:sz w:val="52"/>
          <w:szCs w:val="52"/>
        </w:rPr>
        <w:t>盘锦市鹤栖园公墓管理所</w:t>
      </w:r>
    </w:p>
    <w:p>
      <w:pPr>
        <w:spacing w:line="540" w:lineRule="exact"/>
        <w:jc w:val="center"/>
        <w:rPr>
          <w:rFonts w:ascii="宋体" w:hAnsi="宋体"/>
          <w:b/>
          <w:sz w:val="52"/>
          <w:szCs w:val="52"/>
        </w:rPr>
      </w:pPr>
      <w:r>
        <w:rPr>
          <w:rFonts w:hint="eastAsia" w:ascii="宋体" w:hAnsi="宋体"/>
          <w:b/>
          <w:sz w:val="52"/>
          <w:szCs w:val="52"/>
        </w:rPr>
        <w:t>2021年度决算</w:t>
      </w:r>
    </w:p>
    <w:p>
      <w:pPr>
        <w:spacing w:line="540" w:lineRule="exact"/>
        <w:jc w:val="center"/>
        <w:rPr>
          <w:rFonts w:ascii="宋体" w:hAnsi="宋体"/>
          <w:b/>
          <w:sz w:val="52"/>
          <w:szCs w:val="52"/>
        </w:rPr>
      </w:pPr>
      <w:r>
        <w:rPr>
          <w:rFonts w:hint="eastAsia" w:ascii="宋体" w:hAnsi="宋体"/>
          <w:b/>
          <w:sz w:val="52"/>
          <w:szCs w:val="52"/>
        </w:rPr>
        <w:t>公开说明</w:t>
      </w: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color w:val="FF0000"/>
          <w:sz w:val="44"/>
          <w:szCs w:val="44"/>
        </w:rPr>
      </w:pPr>
    </w:p>
    <w:p>
      <w:pPr>
        <w:spacing w:line="540" w:lineRule="exact"/>
        <w:jc w:val="center"/>
        <w:rPr>
          <w:b/>
          <w:color w:val="FF0000"/>
          <w:sz w:val="44"/>
          <w:szCs w:val="44"/>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p>
    <w:p>
      <w:pPr>
        <w:spacing w:line="540" w:lineRule="exact"/>
        <w:jc w:val="center"/>
        <w:rPr>
          <w:b/>
          <w:sz w:val="44"/>
          <w:szCs w:val="44"/>
        </w:rPr>
      </w:pPr>
      <w:r>
        <w:rPr>
          <w:rFonts w:hint="eastAsia"/>
          <w:b/>
          <w:sz w:val="44"/>
          <w:szCs w:val="44"/>
        </w:rPr>
        <w:t>目    录</w:t>
      </w:r>
    </w:p>
    <w:p>
      <w:pPr>
        <w:spacing w:line="540" w:lineRule="exact"/>
        <w:rPr>
          <w:b/>
          <w:sz w:val="44"/>
          <w:szCs w:val="44"/>
          <w:u w:val="single"/>
        </w:rPr>
      </w:pPr>
    </w:p>
    <w:p>
      <w:pPr>
        <w:spacing w:line="540" w:lineRule="exact"/>
        <w:rPr>
          <w:rFonts w:ascii="黑体" w:hAnsi="黑体" w:eastAsia="黑体"/>
          <w:sz w:val="32"/>
          <w:szCs w:val="32"/>
        </w:rPr>
      </w:pPr>
      <w:r>
        <w:rPr>
          <w:rFonts w:hint="eastAsia" w:ascii="黑体" w:hAnsi="黑体" w:eastAsia="黑体"/>
          <w:sz w:val="32"/>
          <w:szCs w:val="32"/>
        </w:rPr>
        <w:t>第一部分  盘锦市鹤栖园公墓管理所概况</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主要职责和机构设置情况</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决算单位构成</w:t>
      </w:r>
    </w:p>
    <w:p>
      <w:pPr>
        <w:spacing w:line="540" w:lineRule="exact"/>
        <w:rPr>
          <w:rFonts w:ascii="黑体" w:hAnsi="黑体" w:eastAsia="黑体"/>
          <w:sz w:val="32"/>
          <w:szCs w:val="32"/>
        </w:rPr>
      </w:pPr>
      <w:r>
        <w:rPr>
          <w:rFonts w:hint="eastAsia" w:ascii="黑体" w:hAnsi="黑体" w:eastAsia="黑体"/>
          <w:sz w:val="32"/>
          <w:szCs w:val="32"/>
        </w:rPr>
        <w:t>第二部分  盘锦市鹤栖园公墓管理所2021年度决算情况说明</w:t>
      </w:r>
    </w:p>
    <w:p>
      <w:pPr>
        <w:spacing w:line="540" w:lineRule="exact"/>
        <w:rPr>
          <w:rFonts w:ascii="仿宋_GB2312" w:eastAsia="仿宋_GB2312"/>
          <w:sz w:val="32"/>
          <w:szCs w:val="32"/>
        </w:rPr>
      </w:pPr>
      <w:r>
        <w:rPr>
          <w:rFonts w:hint="eastAsia" w:ascii="仿宋_GB2312" w:eastAsia="仿宋_GB2312"/>
          <w:sz w:val="32"/>
          <w:szCs w:val="32"/>
        </w:rPr>
        <w:t>一、收入支出决算总体情况说明</w:t>
      </w:r>
    </w:p>
    <w:p>
      <w:pPr>
        <w:spacing w:line="540" w:lineRule="exact"/>
        <w:rPr>
          <w:rFonts w:ascii="仿宋_GB2312" w:eastAsia="仿宋_GB2312"/>
          <w:sz w:val="32"/>
          <w:szCs w:val="32"/>
        </w:rPr>
      </w:pPr>
      <w:r>
        <w:rPr>
          <w:rFonts w:hint="eastAsia" w:ascii="仿宋_GB2312" w:eastAsia="仿宋_GB2312"/>
          <w:sz w:val="32"/>
          <w:szCs w:val="32"/>
        </w:rPr>
        <w:t>二、财政拨款收入支出决算情况说明</w:t>
      </w:r>
    </w:p>
    <w:p>
      <w:pPr>
        <w:spacing w:line="540" w:lineRule="exact"/>
        <w:rPr>
          <w:rFonts w:ascii="仿宋_GB2312" w:eastAsia="仿宋_GB2312"/>
          <w:sz w:val="32"/>
          <w:szCs w:val="32"/>
        </w:rPr>
      </w:pPr>
      <w:r>
        <w:rPr>
          <w:rFonts w:hint="eastAsia" w:ascii="仿宋_GB2312" w:eastAsia="仿宋_GB2312"/>
          <w:sz w:val="32"/>
          <w:szCs w:val="32"/>
        </w:rPr>
        <w:t>三、一般公共预算财政拨款“三公”经费支出决算情况说明</w:t>
      </w:r>
    </w:p>
    <w:p>
      <w:pPr>
        <w:spacing w:line="540" w:lineRule="exact"/>
        <w:rPr>
          <w:rFonts w:ascii="仿宋_GB2312" w:eastAsia="仿宋_GB2312"/>
          <w:sz w:val="32"/>
          <w:szCs w:val="32"/>
        </w:rPr>
      </w:pPr>
      <w:r>
        <w:rPr>
          <w:rFonts w:hint="eastAsia" w:ascii="仿宋_GB2312" w:eastAsia="仿宋_GB2312"/>
          <w:sz w:val="32"/>
          <w:szCs w:val="32"/>
        </w:rPr>
        <w:t>四、一般公共预算财政拨款基本支出决算情况说明</w:t>
      </w:r>
    </w:p>
    <w:p>
      <w:pPr>
        <w:spacing w:line="540" w:lineRule="exact"/>
        <w:rPr>
          <w:rFonts w:ascii="仿宋_GB2312" w:eastAsia="仿宋_GB2312"/>
          <w:sz w:val="32"/>
          <w:szCs w:val="32"/>
        </w:rPr>
      </w:pPr>
      <w:r>
        <w:rPr>
          <w:rFonts w:hint="eastAsia" w:ascii="仿宋_GB2312" w:eastAsia="仿宋_GB2312"/>
          <w:sz w:val="32"/>
          <w:szCs w:val="32"/>
        </w:rPr>
        <w:t>五、其他重要事项的情况说明</w:t>
      </w:r>
    </w:p>
    <w:p>
      <w:pPr>
        <w:spacing w:line="540" w:lineRule="exact"/>
        <w:rPr>
          <w:rFonts w:ascii="黑体" w:hAnsi="黑体" w:eastAsia="黑体"/>
          <w:sz w:val="32"/>
          <w:szCs w:val="32"/>
        </w:rPr>
      </w:pPr>
      <w:r>
        <w:rPr>
          <w:rFonts w:hint="eastAsia" w:ascii="黑体" w:hAnsi="黑体" w:eastAsia="黑体"/>
          <w:sz w:val="32"/>
          <w:szCs w:val="32"/>
        </w:rPr>
        <w:t>第三部分    名词解释</w:t>
      </w:r>
    </w:p>
    <w:p>
      <w:pPr>
        <w:spacing w:line="540" w:lineRule="exact"/>
        <w:rPr>
          <w:rFonts w:ascii="黑体" w:hAnsi="黑体" w:eastAsia="黑体"/>
          <w:sz w:val="32"/>
          <w:szCs w:val="32"/>
        </w:rPr>
      </w:pPr>
      <w:r>
        <w:rPr>
          <w:rFonts w:hint="eastAsia" w:ascii="黑体" w:hAnsi="黑体" w:eastAsia="黑体"/>
          <w:sz w:val="32"/>
          <w:szCs w:val="32"/>
        </w:rPr>
        <w:t>第四部分  盘锦市鹤栖园公墓管理所2021年度决算报表</w:t>
      </w:r>
    </w:p>
    <w:p>
      <w:pPr>
        <w:spacing w:line="540" w:lineRule="exact"/>
        <w:rPr>
          <w:rFonts w:ascii="仿宋_GB2312" w:hAnsi="黑体" w:eastAsia="仿宋_GB2312"/>
          <w:sz w:val="32"/>
          <w:szCs w:val="32"/>
        </w:rPr>
      </w:pPr>
      <w:r>
        <w:rPr>
          <w:rFonts w:hint="eastAsia" w:ascii="仿宋_GB2312" w:eastAsia="仿宋_GB2312"/>
          <w:sz w:val="32"/>
          <w:szCs w:val="32"/>
        </w:rPr>
        <w:t>一、</w:t>
      </w:r>
      <w:r>
        <w:rPr>
          <w:rFonts w:hint="eastAsia" w:ascii="仿宋_GB2312" w:hAnsi="仿宋" w:eastAsia="仿宋_GB2312"/>
          <w:sz w:val="32"/>
          <w:szCs w:val="32"/>
        </w:rPr>
        <w:t>收入支出决算总表</w:t>
      </w:r>
    </w:p>
    <w:p>
      <w:pPr>
        <w:spacing w:line="540" w:lineRule="exact"/>
        <w:rPr>
          <w:rFonts w:ascii="仿宋_GB2312" w:eastAsia="仿宋_GB2312"/>
          <w:sz w:val="32"/>
          <w:szCs w:val="32"/>
        </w:rPr>
      </w:pPr>
      <w:r>
        <w:rPr>
          <w:rFonts w:hint="eastAsia" w:ascii="仿宋_GB2312" w:eastAsia="仿宋_GB2312"/>
          <w:sz w:val="32"/>
          <w:szCs w:val="32"/>
        </w:rPr>
        <w:t>二、收入决算表</w:t>
      </w:r>
    </w:p>
    <w:p>
      <w:pPr>
        <w:spacing w:line="540" w:lineRule="exact"/>
        <w:rPr>
          <w:rFonts w:ascii="仿宋_GB2312" w:eastAsia="仿宋_GB2312"/>
          <w:sz w:val="32"/>
          <w:szCs w:val="32"/>
        </w:rPr>
      </w:pPr>
      <w:r>
        <w:rPr>
          <w:rFonts w:hint="eastAsia" w:ascii="仿宋_GB2312" w:eastAsia="仿宋_GB2312"/>
          <w:sz w:val="32"/>
          <w:szCs w:val="32"/>
        </w:rPr>
        <w:t>三、支出决算表</w:t>
      </w:r>
    </w:p>
    <w:p>
      <w:pPr>
        <w:spacing w:line="540" w:lineRule="exact"/>
        <w:rPr>
          <w:rFonts w:ascii="仿宋_GB2312" w:hAnsi="黑体" w:eastAsia="仿宋_GB2312"/>
          <w:sz w:val="32"/>
          <w:szCs w:val="32"/>
        </w:rPr>
      </w:pPr>
      <w:r>
        <w:rPr>
          <w:rFonts w:hint="eastAsia" w:ascii="仿宋_GB2312" w:eastAsia="仿宋_GB2312"/>
          <w:sz w:val="32"/>
          <w:szCs w:val="32"/>
        </w:rPr>
        <w:t>四、</w:t>
      </w:r>
      <w:r>
        <w:rPr>
          <w:rFonts w:hint="eastAsia" w:ascii="仿宋_GB2312" w:hAnsi="仿宋" w:eastAsia="仿宋_GB2312"/>
          <w:sz w:val="32"/>
          <w:szCs w:val="32"/>
        </w:rPr>
        <w:t>财政拨款收入支出决算表</w:t>
      </w:r>
    </w:p>
    <w:p>
      <w:pPr>
        <w:spacing w:line="540" w:lineRule="exact"/>
        <w:rPr>
          <w:rFonts w:ascii="仿宋_GB2312" w:eastAsia="仿宋_GB2312"/>
          <w:sz w:val="32"/>
          <w:szCs w:val="32"/>
        </w:rPr>
      </w:pPr>
      <w:r>
        <w:rPr>
          <w:rFonts w:hint="eastAsia" w:ascii="仿宋_GB2312" w:eastAsia="仿宋_GB2312"/>
          <w:sz w:val="32"/>
          <w:szCs w:val="32"/>
        </w:rPr>
        <w:t>五、一般公共预算</w:t>
      </w:r>
      <w:r>
        <w:rPr>
          <w:rFonts w:ascii="仿宋_GB2312" w:eastAsia="仿宋_GB2312"/>
          <w:sz w:val="32"/>
          <w:szCs w:val="32"/>
        </w:rPr>
        <w:t>财政拨款支出决算表</w:t>
      </w:r>
    </w:p>
    <w:p>
      <w:pPr>
        <w:spacing w:line="540" w:lineRule="exact"/>
        <w:rPr>
          <w:rFonts w:ascii="仿宋_GB2312" w:eastAsia="仿宋_GB2312"/>
          <w:sz w:val="32"/>
          <w:szCs w:val="32"/>
        </w:rPr>
      </w:pPr>
      <w:r>
        <w:rPr>
          <w:rFonts w:hint="eastAsia" w:ascii="仿宋_GB2312" w:eastAsia="仿宋_GB2312"/>
          <w:sz w:val="32"/>
          <w:szCs w:val="32"/>
        </w:rPr>
        <w:t>六、一般公共预算</w:t>
      </w:r>
      <w:r>
        <w:rPr>
          <w:rFonts w:ascii="仿宋_GB2312" w:eastAsia="仿宋_GB2312"/>
          <w:sz w:val="32"/>
          <w:szCs w:val="32"/>
        </w:rPr>
        <w:t>财政拨款</w:t>
      </w:r>
      <w:r>
        <w:rPr>
          <w:rFonts w:hint="eastAsia" w:ascii="仿宋_GB2312" w:eastAsia="仿宋_GB2312"/>
          <w:sz w:val="32"/>
          <w:szCs w:val="32"/>
        </w:rPr>
        <w:t>基本支出</w:t>
      </w:r>
      <w:r>
        <w:rPr>
          <w:rFonts w:ascii="仿宋_GB2312" w:eastAsia="仿宋_GB2312"/>
          <w:sz w:val="32"/>
          <w:szCs w:val="32"/>
        </w:rPr>
        <w:t>决算表</w:t>
      </w:r>
    </w:p>
    <w:p>
      <w:pPr>
        <w:spacing w:line="540" w:lineRule="exact"/>
        <w:rPr>
          <w:rFonts w:ascii="仿宋_GB2312" w:eastAsia="仿宋_GB2312"/>
          <w:sz w:val="32"/>
          <w:szCs w:val="32"/>
        </w:rPr>
      </w:pPr>
      <w:r>
        <w:rPr>
          <w:rFonts w:hint="eastAsia" w:ascii="仿宋_GB2312" w:eastAsia="仿宋_GB2312"/>
          <w:sz w:val="32"/>
          <w:szCs w:val="32"/>
        </w:rPr>
        <w:t>七、</w:t>
      </w:r>
      <w:r>
        <w:rPr>
          <w:rFonts w:ascii="仿宋_GB2312" w:eastAsia="仿宋_GB2312"/>
          <w:sz w:val="32"/>
          <w:szCs w:val="32"/>
        </w:rPr>
        <w:t>政府性基金预算财政拨款支出决算表</w:t>
      </w:r>
    </w:p>
    <w:p>
      <w:pPr>
        <w:spacing w:line="540" w:lineRule="exact"/>
        <w:ind w:left="672" w:hanging="640" w:hangingChars="200"/>
        <w:rPr>
          <w:rFonts w:ascii="仿宋_GB2312" w:eastAsia="仿宋_GB2312"/>
          <w:sz w:val="32"/>
          <w:szCs w:val="32"/>
        </w:rPr>
      </w:pPr>
      <w:r>
        <w:rPr>
          <w:rFonts w:hint="eastAsia" w:ascii="仿宋_GB2312" w:eastAsia="仿宋_GB2312"/>
          <w:sz w:val="32"/>
          <w:szCs w:val="32"/>
        </w:rPr>
        <w:t>八、一般公共预算财政拨款“三公”经费支出决算表</w:t>
      </w:r>
    </w:p>
    <w:p>
      <w:pPr>
        <w:spacing w:line="540" w:lineRule="exact"/>
        <w:ind w:left="672" w:hanging="640" w:hangingChars="200"/>
        <w:rPr>
          <w:rFonts w:ascii="仿宋_GB2312" w:eastAsia="仿宋_GB2312"/>
          <w:sz w:val="32"/>
          <w:szCs w:val="32"/>
        </w:rPr>
      </w:pPr>
      <w:r>
        <w:rPr>
          <w:rFonts w:hint="eastAsia" w:ascii="仿宋_GB2312" w:eastAsia="仿宋_GB2312"/>
          <w:sz w:val="32"/>
          <w:szCs w:val="32"/>
        </w:rPr>
        <w:t>九、国有资本经营预算财政拨款支出决算表</w:t>
      </w:r>
    </w:p>
    <w:p>
      <w:pPr>
        <w:spacing w:line="540" w:lineRule="exact"/>
        <w:jc w:val="center"/>
        <w:rPr>
          <w:rFonts w:ascii="黑体" w:hAnsi="黑体" w:eastAsia="黑体"/>
          <w:b/>
          <w:sz w:val="44"/>
          <w:szCs w:val="44"/>
          <w:u w:val="single"/>
        </w:rPr>
      </w:pPr>
    </w:p>
    <w:p>
      <w:pPr>
        <w:spacing w:line="540" w:lineRule="exact"/>
        <w:jc w:val="center"/>
        <w:rPr>
          <w:rFonts w:ascii="宋体" w:hAnsi="宋体"/>
          <w:b/>
          <w:sz w:val="36"/>
          <w:szCs w:val="36"/>
        </w:rPr>
      </w:pPr>
      <w:r>
        <w:rPr>
          <w:rFonts w:hint="eastAsia"/>
          <w:b/>
          <w:sz w:val="44"/>
          <w:szCs w:val="44"/>
          <w:u w:val="single"/>
        </w:rPr>
        <w:br w:type="page"/>
      </w:r>
      <w:r>
        <w:rPr>
          <w:rFonts w:hint="eastAsia" w:ascii="宋体" w:hAnsi="宋体"/>
          <w:b/>
          <w:sz w:val="36"/>
          <w:szCs w:val="36"/>
        </w:rPr>
        <w:t>第一部分 盘锦市鹤栖园公墓管理所概况</w:t>
      </w:r>
    </w:p>
    <w:p>
      <w:pPr>
        <w:spacing w:line="540" w:lineRule="exact"/>
        <w:ind w:firstLine="640" w:firstLineChars="200"/>
        <w:jc w:val="left"/>
        <w:rPr>
          <w:rFonts w:ascii="黑体" w:eastAsia="黑体"/>
          <w:sz w:val="32"/>
          <w:szCs w:val="32"/>
        </w:rPr>
      </w:pPr>
    </w:p>
    <w:p>
      <w:pPr>
        <w:spacing w:line="540" w:lineRule="exact"/>
        <w:ind w:firstLine="640" w:firstLineChars="200"/>
        <w:jc w:val="left"/>
        <w:rPr>
          <w:rFonts w:ascii="黑体" w:eastAsia="黑体"/>
          <w:sz w:val="32"/>
          <w:szCs w:val="32"/>
        </w:rPr>
      </w:pPr>
      <w:r>
        <w:rPr>
          <w:rFonts w:hint="eastAsia" w:ascii="黑体" w:eastAsia="黑体"/>
          <w:sz w:val="32"/>
          <w:szCs w:val="32"/>
        </w:rPr>
        <w:t>一、主要职责和机构设置情况</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1．主要职责：贯彻执行国家、省、市、殡葬管理的政策法规，推行殡葬改革，拟定殡葬改革规划。提供遗体和骨灰安葬服务，骨灰安葬、骨灰植树、遗体墓穴安葬。</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2．机构情况：机构个数为1个。</w:t>
      </w:r>
    </w:p>
    <w:p>
      <w:pPr>
        <w:spacing w:line="54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3．人员情况：编制数为16人，实有人数为13人。</w:t>
      </w:r>
    </w:p>
    <w:p>
      <w:pPr>
        <w:spacing w:line="540" w:lineRule="exact"/>
        <w:ind w:firstLine="640" w:firstLineChars="200"/>
        <w:jc w:val="left"/>
        <w:rPr>
          <w:rFonts w:ascii="仿宋_GB2312" w:hAnsi="仿宋" w:eastAsia="仿宋_GB2312"/>
          <w:sz w:val="32"/>
          <w:szCs w:val="32"/>
        </w:rPr>
      </w:pPr>
    </w:p>
    <w:p>
      <w:pPr>
        <w:spacing w:line="540" w:lineRule="exact"/>
        <w:ind w:firstLine="640" w:firstLineChars="200"/>
        <w:jc w:val="left"/>
        <w:rPr>
          <w:rFonts w:ascii="黑体" w:eastAsia="黑体"/>
          <w:sz w:val="32"/>
          <w:szCs w:val="32"/>
        </w:rPr>
      </w:pPr>
      <w:r>
        <w:rPr>
          <w:rFonts w:hint="eastAsia" w:ascii="黑体" w:eastAsia="黑体"/>
          <w:sz w:val="32"/>
          <w:szCs w:val="32"/>
        </w:rPr>
        <w:t>二、决算单位构成</w:t>
      </w:r>
    </w:p>
    <w:p>
      <w:pPr>
        <w:spacing w:line="540" w:lineRule="exact"/>
        <w:ind w:left="319" w:leftChars="152" w:firstLine="320" w:firstLineChars="100"/>
        <w:rPr>
          <w:rFonts w:ascii="仿宋_GB2312" w:hAnsi="仿宋" w:eastAsia="仿宋_GB2312"/>
          <w:sz w:val="32"/>
          <w:szCs w:val="32"/>
        </w:rPr>
      </w:pPr>
      <w:r>
        <w:rPr>
          <w:rFonts w:hint="eastAsia" w:ascii="仿宋_GB2312" w:hAnsi="仿宋" w:eastAsia="仿宋_GB2312"/>
          <w:sz w:val="32"/>
          <w:szCs w:val="32"/>
        </w:rPr>
        <w:t>纳入本单位2021年度决算编制范围的二级预算单位为盘</w:t>
      </w:r>
    </w:p>
    <w:p>
      <w:pPr>
        <w:spacing w:line="540" w:lineRule="exact"/>
        <w:rPr>
          <w:rFonts w:ascii="仿宋_GB2312" w:hAnsi="仿宋" w:eastAsia="仿宋_GB2312"/>
          <w:sz w:val="32"/>
          <w:szCs w:val="32"/>
        </w:rPr>
      </w:pPr>
      <w:r>
        <w:rPr>
          <w:rFonts w:hint="eastAsia" w:ascii="仿宋_GB2312" w:hAnsi="仿宋" w:eastAsia="仿宋_GB2312"/>
          <w:sz w:val="32"/>
          <w:szCs w:val="32"/>
        </w:rPr>
        <w:t>锦市鹤栖园公墓管理所。</w:t>
      </w:r>
    </w:p>
    <w:p>
      <w:pPr>
        <w:spacing w:line="540" w:lineRule="exact"/>
        <w:ind w:left="319" w:leftChars="152" w:firstLine="320" w:firstLineChars="100"/>
        <w:jc w:val="center"/>
        <w:rPr>
          <w:rFonts w:ascii="仿宋" w:hAnsi="仿宋" w:eastAsia="仿宋"/>
          <w:sz w:val="32"/>
          <w:szCs w:val="32"/>
        </w:rPr>
      </w:pPr>
    </w:p>
    <w:p>
      <w:pPr>
        <w:spacing w:line="540" w:lineRule="exact"/>
        <w:ind w:left="319" w:leftChars="152" w:firstLine="320" w:firstLineChars="100"/>
        <w:jc w:val="center"/>
        <w:rPr>
          <w:rFonts w:ascii="仿宋" w:hAnsi="仿宋" w:eastAsia="仿宋"/>
          <w:sz w:val="32"/>
          <w:szCs w:val="32"/>
        </w:rPr>
      </w:pPr>
    </w:p>
    <w:p>
      <w:pPr>
        <w:spacing w:line="540" w:lineRule="exact"/>
        <w:ind w:left="319" w:leftChars="152" w:firstLine="320" w:firstLineChars="100"/>
        <w:jc w:val="center"/>
        <w:rPr>
          <w:rFonts w:ascii="仿宋" w:hAnsi="仿宋" w:eastAsia="仿宋"/>
          <w:sz w:val="32"/>
          <w:szCs w:val="32"/>
        </w:rPr>
      </w:pPr>
    </w:p>
    <w:p>
      <w:pPr>
        <w:spacing w:line="540" w:lineRule="exact"/>
        <w:ind w:left="319" w:leftChars="152" w:firstLine="320" w:firstLineChars="100"/>
        <w:jc w:val="center"/>
        <w:rPr>
          <w:rFonts w:ascii="仿宋" w:hAnsi="仿宋" w:eastAsia="仿宋"/>
          <w:sz w:val="32"/>
          <w:szCs w:val="32"/>
        </w:rPr>
      </w:pPr>
    </w:p>
    <w:p>
      <w:pPr>
        <w:spacing w:line="540" w:lineRule="exact"/>
        <w:ind w:left="319" w:leftChars="152" w:firstLine="320" w:firstLineChars="100"/>
        <w:jc w:val="center"/>
        <w:rPr>
          <w:rFonts w:ascii="仿宋" w:hAnsi="仿宋" w:eastAsia="仿宋"/>
          <w:sz w:val="32"/>
          <w:szCs w:val="32"/>
        </w:rPr>
      </w:pPr>
    </w:p>
    <w:p>
      <w:pPr>
        <w:spacing w:line="540" w:lineRule="exact"/>
        <w:ind w:left="319" w:leftChars="152" w:firstLine="320" w:firstLineChars="100"/>
        <w:jc w:val="center"/>
        <w:rPr>
          <w:rFonts w:ascii="仿宋" w:hAnsi="仿宋" w:eastAsia="仿宋"/>
          <w:sz w:val="32"/>
          <w:szCs w:val="32"/>
        </w:rPr>
      </w:pPr>
    </w:p>
    <w:p>
      <w:pPr>
        <w:spacing w:line="540" w:lineRule="exact"/>
        <w:ind w:left="319" w:leftChars="152" w:firstLine="320" w:firstLineChars="100"/>
        <w:jc w:val="center"/>
        <w:rPr>
          <w:rFonts w:ascii="仿宋" w:hAnsi="仿宋" w:eastAsia="仿宋"/>
          <w:sz w:val="32"/>
          <w:szCs w:val="32"/>
        </w:rPr>
      </w:pPr>
    </w:p>
    <w:p>
      <w:pPr>
        <w:spacing w:line="540" w:lineRule="exact"/>
        <w:ind w:left="319" w:leftChars="152" w:firstLine="320" w:firstLineChars="100"/>
        <w:jc w:val="center"/>
        <w:rPr>
          <w:rFonts w:ascii="仿宋" w:hAnsi="仿宋" w:eastAsia="仿宋"/>
          <w:sz w:val="32"/>
          <w:szCs w:val="32"/>
        </w:rPr>
      </w:pPr>
    </w:p>
    <w:p>
      <w:pPr>
        <w:spacing w:line="540" w:lineRule="exact"/>
        <w:ind w:left="319" w:leftChars="152" w:firstLine="320" w:firstLineChars="100"/>
        <w:jc w:val="center"/>
        <w:rPr>
          <w:rFonts w:ascii="仿宋" w:hAnsi="仿宋" w:eastAsia="仿宋"/>
          <w:sz w:val="32"/>
          <w:szCs w:val="32"/>
        </w:rPr>
      </w:pPr>
    </w:p>
    <w:p>
      <w:pPr>
        <w:spacing w:line="540" w:lineRule="exact"/>
        <w:ind w:left="319" w:leftChars="152" w:firstLine="320" w:firstLineChars="100"/>
        <w:jc w:val="center"/>
        <w:rPr>
          <w:rFonts w:ascii="仿宋" w:hAnsi="仿宋" w:eastAsia="仿宋"/>
          <w:sz w:val="32"/>
          <w:szCs w:val="32"/>
        </w:rPr>
      </w:pPr>
    </w:p>
    <w:p>
      <w:pPr>
        <w:spacing w:line="540" w:lineRule="exact"/>
        <w:ind w:left="319" w:leftChars="152" w:firstLine="320" w:firstLineChars="100"/>
        <w:jc w:val="center"/>
        <w:rPr>
          <w:rFonts w:ascii="仿宋" w:hAnsi="仿宋" w:eastAsia="仿宋"/>
          <w:sz w:val="32"/>
          <w:szCs w:val="32"/>
        </w:rPr>
      </w:pPr>
    </w:p>
    <w:p>
      <w:pPr>
        <w:spacing w:line="540" w:lineRule="exact"/>
        <w:ind w:left="319" w:leftChars="152" w:firstLine="320" w:firstLineChars="100"/>
        <w:jc w:val="center"/>
        <w:rPr>
          <w:rFonts w:ascii="仿宋" w:hAnsi="仿宋" w:eastAsia="仿宋"/>
          <w:sz w:val="32"/>
          <w:szCs w:val="32"/>
        </w:rPr>
      </w:pPr>
    </w:p>
    <w:p>
      <w:pPr>
        <w:spacing w:line="540" w:lineRule="exact"/>
        <w:ind w:left="319" w:leftChars="152" w:firstLine="320" w:firstLineChars="100"/>
        <w:jc w:val="center"/>
        <w:rPr>
          <w:rFonts w:ascii="仿宋" w:hAnsi="仿宋" w:eastAsia="仿宋"/>
          <w:sz w:val="32"/>
          <w:szCs w:val="32"/>
        </w:rPr>
      </w:pPr>
    </w:p>
    <w:p>
      <w:pPr>
        <w:spacing w:line="540" w:lineRule="exact"/>
        <w:ind w:left="319" w:leftChars="152" w:firstLine="361" w:firstLineChars="100"/>
        <w:jc w:val="center"/>
        <w:rPr>
          <w:rFonts w:ascii="宋体" w:hAnsi="宋体"/>
          <w:b/>
          <w:sz w:val="36"/>
          <w:szCs w:val="36"/>
        </w:rPr>
      </w:pPr>
      <w:r>
        <w:rPr>
          <w:rFonts w:hint="eastAsia" w:ascii="宋体" w:hAnsi="宋体"/>
          <w:b/>
          <w:sz w:val="36"/>
          <w:szCs w:val="36"/>
        </w:rPr>
        <w:t>第二部分  盘锦市鹤栖园公墓管理所2021年度决算情况说明</w:t>
      </w:r>
    </w:p>
    <w:p>
      <w:pPr>
        <w:spacing w:line="540" w:lineRule="exact"/>
        <w:rPr>
          <w:rFonts w:ascii="宋体" w:hAnsi="宋体"/>
          <w:b/>
          <w:sz w:val="36"/>
          <w:szCs w:val="36"/>
        </w:rPr>
      </w:pPr>
    </w:p>
    <w:p>
      <w:pPr>
        <w:pStyle w:val="9"/>
        <w:numPr>
          <w:ilvl w:val="0"/>
          <w:numId w:val="2"/>
        </w:numPr>
        <w:spacing w:line="540" w:lineRule="exact"/>
        <w:ind w:firstLineChars="0"/>
        <w:rPr>
          <w:rFonts w:ascii="黑体" w:hAnsi="黑体" w:eastAsia="黑体"/>
          <w:sz w:val="32"/>
          <w:szCs w:val="32"/>
        </w:rPr>
      </w:pPr>
      <w:r>
        <w:rPr>
          <w:rFonts w:hint="eastAsia" w:ascii="黑体" w:hAnsi="黑体" w:eastAsia="黑体"/>
          <w:sz w:val="32"/>
          <w:szCs w:val="32"/>
        </w:rPr>
        <w:t>收入支出决算总体情况说明</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（一）收入总计4884.28万元，包括：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1.财政拨款收入306.88万元，占</w:t>
      </w:r>
      <w:r>
        <w:rPr>
          <w:rFonts w:ascii="仿宋_GB2312" w:hAnsi="宋体" w:eastAsia="仿宋_GB2312"/>
          <w:sz w:val="32"/>
          <w:szCs w:val="32"/>
        </w:rPr>
        <w:t>收入总计的</w:t>
      </w:r>
      <w:r>
        <w:rPr>
          <w:rFonts w:hint="eastAsia" w:ascii="仿宋_GB2312" w:hAnsi="宋体" w:eastAsia="仿宋_GB2312"/>
          <w:sz w:val="32"/>
          <w:szCs w:val="32"/>
        </w:rPr>
        <w:t>6.28</w:t>
      </w:r>
      <w:r>
        <w:rPr>
          <w:rFonts w:ascii="仿宋_GB2312" w:hAnsi="宋体" w:eastAsia="仿宋_GB2312"/>
          <w:sz w:val="32"/>
          <w:szCs w:val="32"/>
        </w:rPr>
        <w:t>%</w:t>
      </w:r>
      <w:r>
        <w:rPr>
          <w:rFonts w:hint="eastAsia" w:ascii="仿宋_GB2312" w:hAnsi="宋体" w:eastAsia="仿宋_GB2312"/>
          <w:sz w:val="32"/>
          <w:szCs w:val="32"/>
        </w:rPr>
        <w:t>。其中：一般公共预算财政拨款收入306.88万元，政府性基金收入0万元，国有资本经营预算财政拨款收入0万元。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2.上级补助收入0万元，占收入总计的0%。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3.事业收入0万元，占收入总计的0%。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4.经营收入4576.47万元，占收入总计的93.70%。主要是新（联）建墓园项目及维修、购置墓碑、绿化等项目的收入。</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5.附属单位上缴收入0万元，占收入总计的0%。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6.其他收入0.93万元，占收入总计的0.02%。主要是</w:t>
      </w:r>
      <w:r>
        <w:rPr>
          <w:rFonts w:hint="eastAsia" w:ascii="宋体" w:hAnsi="宋体" w:cs="宋体"/>
          <w:sz w:val="32"/>
          <w:szCs w:val="32"/>
        </w:rPr>
        <w:t>利息</w:t>
      </w:r>
      <w:r>
        <w:rPr>
          <w:rFonts w:hint="eastAsia" w:ascii="仿宋_GB2312" w:hAnsi="宋体" w:eastAsia="仿宋_GB2312"/>
          <w:sz w:val="32"/>
          <w:szCs w:val="32"/>
        </w:rPr>
        <w:t>等收入。</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7.使用非财政拨款结余0万元，占收入总计的0%。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8.上年结转和结余0万元，占收入总计的0%。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与上年相比，今年收入增加3468.66万元，增长245.03%，主要原因：</w:t>
      </w:r>
      <w:r>
        <w:rPr>
          <w:rFonts w:hint="eastAsia" w:ascii="黑体" w:hAnsi="黑体" w:eastAsia="黑体"/>
          <w:sz w:val="32"/>
          <w:szCs w:val="32"/>
        </w:rPr>
        <w:t>一是</w:t>
      </w:r>
      <w:r>
        <w:rPr>
          <w:rFonts w:hint="eastAsia" w:ascii="仿宋_GB2312" w:hAnsi="宋体" w:eastAsia="仿宋_GB2312"/>
          <w:sz w:val="32"/>
          <w:szCs w:val="32"/>
        </w:rPr>
        <w:t>基本性收入增加12.26万元；</w:t>
      </w:r>
      <w:r>
        <w:rPr>
          <w:rFonts w:hint="eastAsia" w:ascii="黑体" w:hAnsi="黑体" w:eastAsia="黑体"/>
          <w:sz w:val="32"/>
          <w:szCs w:val="32"/>
        </w:rPr>
        <w:t>二是</w:t>
      </w:r>
      <w:r>
        <w:rPr>
          <w:rFonts w:hint="eastAsia" w:ascii="仿宋_GB2312" w:hAnsi="宋体" w:eastAsia="仿宋_GB2312"/>
          <w:sz w:val="32"/>
          <w:szCs w:val="32"/>
        </w:rPr>
        <w:t>经营性收入（购置墓碑、维修等项目和新建墓园项目）增加3455.47万元；</w:t>
      </w:r>
      <w:r>
        <w:rPr>
          <w:rFonts w:hint="eastAsia" w:ascii="黑体" w:hAnsi="黑体" w:eastAsia="黑体"/>
          <w:sz w:val="32"/>
          <w:szCs w:val="32"/>
        </w:rPr>
        <w:t>三是</w:t>
      </w:r>
      <w:r>
        <w:rPr>
          <w:rFonts w:hint="eastAsia" w:ascii="仿宋_GB2312" w:hAnsi="宋体" w:eastAsia="仿宋_GB2312"/>
          <w:sz w:val="32"/>
          <w:szCs w:val="32"/>
        </w:rPr>
        <w:t>其他收入增加0.93万元。</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（二）支出总计4868.24万元，包括：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1.基本支出307.79万元，占支出总计的6.32%。主要是为保障机构正常运转、完成日常工作任务而发生的各项支出，其中：工资福利支出258.27万元，对个人和家庭的补助支出2.98万元，商品和服务支出46.14万元，资本性</w:t>
      </w:r>
      <w:r>
        <w:rPr>
          <w:rFonts w:ascii="仿宋_GB2312" w:hAnsi="宋体" w:eastAsia="仿宋_GB2312"/>
          <w:sz w:val="32"/>
          <w:szCs w:val="32"/>
        </w:rPr>
        <w:t>支出</w:t>
      </w:r>
      <w:r>
        <w:rPr>
          <w:rFonts w:hint="eastAsia" w:ascii="仿宋_GB2312" w:hAnsi="宋体" w:eastAsia="仿宋_GB2312"/>
          <w:sz w:val="32"/>
          <w:szCs w:val="32"/>
        </w:rPr>
        <w:t>0.40万元。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2.项目支出0万元，占支出总计的0%。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3.上缴上级支出0万元，占支出总计的0%。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4.经营支出4560.45万元，占支出总计的93.68%。主要包括广告宣传、职工加班、日常维修维护、租赁及殡葬平台维护、工作业务、</w:t>
      </w:r>
      <w:r>
        <w:rPr>
          <w:rFonts w:ascii="仿宋_GB2312" w:hAnsi="宋体" w:eastAsia="仿宋_GB2312"/>
          <w:sz w:val="32"/>
          <w:szCs w:val="32"/>
        </w:rPr>
        <w:t>购置墓碑</w:t>
      </w:r>
      <w:r>
        <w:rPr>
          <w:rFonts w:hint="eastAsia" w:ascii="仿宋_GB2312" w:hAnsi="宋体" w:eastAsia="仿宋_GB2312"/>
          <w:sz w:val="32"/>
          <w:szCs w:val="32"/>
        </w:rPr>
        <w:t>、墓区</w:t>
      </w:r>
      <w:r>
        <w:rPr>
          <w:rFonts w:ascii="仿宋_GB2312" w:hAnsi="宋体" w:eastAsia="仿宋_GB2312"/>
          <w:sz w:val="32"/>
          <w:szCs w:val="32"/>
        </w:rPr>
        <w:t>绿化</w:t>
      </w:r>
      <w:r>
        <w:rPr>
          <w:rFonts w:hint="eastAsia" w:ascii="仿宋_GB2312" w:hAnsi="宋体" w:eastAsia="仿宋_GB2312"/>
          <w:sz w:val="32"/>
          <w:szCs w:val="32"/>
        </w:rPr>
        <w:t>、</w:t>
      </w:r>
      <w:r>
        <w:rPr>
          <w:rFonts w:ascii="仿宋_GB2312" w:hAnsi="宋体" w:eastAsia="仿宋_GB2312"/>
          <w:sz w:val="32"/>
          <w:szCs w:val="32"/>
        </w:rPr>
        <w:t>物业</w:t>
      </w:r>
      <w:r>
        <w:rPr>
          <w:rFonts w:hint="eastAsia" w:ascii="仿宋_GB2312" w:hAnsi="宋体" w:eastAsia="仿宋_GB2312"/>
          <w:sz w:val="32"/>
          <w:szCs w:val="32"/>
        </w:rPr>
        <w:t>、自收自支人员职业年金、林地补偿、偿还欠款及</w:t>
      </w:r>
      <w:r>
        <w:rPr>
          <w:rFonts w:ascii="仿宋_GB2312" w:hAnsi="宋体" w:eastAsia="仿宋_GB2312"/>
          <w:sz w:val="32"/>
          <w:szCs w:val="32"/>
        </w:rPr>
        <w:t>新建墓园</w:t>
      </w:r>
      <w:r>
        <w:rPr>
          <w:rFonts w:hint="eastAsia" w:ascii="仿宋_GB2312" w:hAnsi="宋体" w:eastAsia="仿宋_GB2312"/>
          <w:sz w:val="32"/>
          <w:szCs w:val="32"/>
        </w:rPr>
        <w:t>等业务支出。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5.对附属单位补助支出0万元，占支出总计的0%。</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与上年相比，今年支出增加3453.01万元，增长243.99%，主要原因：</w:t>
      </w:r>
      <w:r>
        <w:rPr>
          <w:rFonts w:hint="eastAsia" w:ascii="黑体" w:hAnsi="黑体" w:eastAsia="黑体"/>
          <w:sz w:val="32"/>
          <w:szCs w:val="32"/>
        </w:rPr>
        <w:t>一是</w:t>
      </w:r>
      <w:r>
        <w:rPr>
          <w:rFonts w:hint="eastAsia" w:ascii="宋体" w:hAnsi="宋体" w:cs="宋体"/>
          <w:sz w:val="32"/>
          <w:szCs w:val="32"/>
        </w:rPr>
        <w:t>基本</w:t>
      </w:r>
      <w:r>
        <w:rPr>
          <w:rFonts w:ascii="宋体" w:hAnsi="宋体" w:cs="宋体"/>
          <w:sz w:val="32"/>
          <w:szCs w:val="32"/>
        </w:rPr>
        <w:t>支出增加</w:t>
      </w:r>
      <w:r>
        <w:rPr>
          <w:rFonts w:hint="eastAsia" w:ascii="宋体" w:hAnsi="宋体" w:cs="宋体"/>
          <w:sz w:val="32"/>
          <w:szCs w:val="32"/>
        </w:rPr>
        <w:t>13.56万元</w:t>
      </w:r>
      <w:r>
        <w:rPr>
          <w:rFonts w:hint="eastAsia" w:ascii="仿宋_GB2312" w:hAnsi="宋体" w:eastAsia="仿宋_GB2312"/>
          <w:sz w:val="32"/>
          <w:szCs w:val="32"/>
        </w:rPr>
        <w:t>；</w:t>
      </w:r>
      <w:r>
        <w:rPr>
          <w:rFonts w:hint="eastAsia" w:ascii="黑体" w:hAnsi="黑体" w:eastAsia="黑体"/>
          <w:sz w:val="32"/>
          <w:szCs w:val="32"/>
        </w:rPr>
        <w:t>二是</w:t>
      </w:r>
      <w:r>
        <w:rPr>
          <w:rFonts w:ascii="宋体" w:hAnsi="宋体" w:cs="宋体"/>
          <w:sz w:val="32"/>
          <w:szCs w:val="32"/>
        </w:rPr>
        <w:t>经营支出</w:t>
      </w:r>
      <w:r>
        <w:rPr>
          <w:rFonts w:hint="eastAsia" w:ascii="宋体" w:hAnsi="宋体" w:cs="宋体"/>
          <w:sz w:val="32"/>
          <w:szCs w:val="32"/>
        </w:rPr>
        <w:t>（包含购置墓碑</w:t>
      </w:r>
      <w:r>
        <w:rPr>
          <w:rFonts w:hint="eastAsia" w:ascii="仿宋_GB2312" w:hAnsi="宋体" w:eastAsia="仿宋_GB2312"/>
          <w:sz w:val="32"/>
          <w:szCs w:val="32"/>
        </w:rPr>
        <w:t>、</w:t>
      </w:r>
      <w:r>
        <w:rPr>
          <w:rFonts w:hint="eastAsia" w:ascii="宋体" w:hAnsi="宋体" w:cs="宋体"/>
          <w:sz w:val="32"/>
          <w:szCs w:val="32"/>
        </w:rPr>
        <w:t>维修等项目和新建墓园项目）增加3439.45万元</w:t>
      </w:r>
      <w:r>
        <w:rPr>
          <w:rFonts w:hint="eastAsia" w:ascii="仿宋_GB2312" w:hAnsi="宋体" w:eastAsia="仿宋_GB2312"/>
          <w:sz w:val="32"/>
          <w:szCs w:val="32"/>
        </w:rPr>
        <w:t>。</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（三）年末结转和结余0.01万元。</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主要是利息形成的结转结余。与上年相比，今年结转结余减少0.38万元，降低97.44%，主要原因：</w:t>
      </w:r>
      <w:r>
        <w:rPr>
          <w:rFonts w:hint="eastAsia" w:ascii="黑体" w:hAnsi="黑体" w:eastAsia="黑体"/>
          <w:sz w:val="32"/>
          <w:szCs w:val="32"/>
        </w:rPr>
        <w:t>一是</w:t>
      </w:r>
      <w:r>
        <w:rPr>
          <w:rFonts w:hint="eastAsia" w:ascii="仿宋_GB2312" w:hAnsi="宋体" w:eastAsia="仿宋_GB2312"/>
          <w:sz w:val="32"/>
          <w:szCs w:val="32"/>
        </w:rPr>
        <w:t>去年年末结转和结余是基本性支出的结余0.39万元，而今年一体化系统直接将年底结余资金收回，未体现在决算报表中；</w:t>
      </w:r>
      <w:r>
        <w:rPr>
          <w:rFonts w:hint="eastAsia" w:ascii="黑体" w:hAnsi="黑体" w:eastAsia="黑体"/>
          <w:sz w:val="32"/>
          <w:szCs w:val="32"/>
        </w:rPr>
        <w:t>二是</w:t>
      </w:r>
      <w:r>
        <w:rPr>
          <w:rFonts w:hint="eastAsia" w:ascii="仿宋_GB2312" w:hAnsi="宋体" w:eastAsia="仿宋_GB2312"/>
          <w:sz w:val="32"/>
          <w:szCs w:val="32"/>
        </w:rPr>
        <w:t>除去以上原因，今年利息结余比去年增加0.01万元。</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（四）结余分配16.03万元。</w:t>
      </w:r>
    </w:p>
    <w:p>
      <w:pPr>
        <w:spacing w:line="540" w:lineRule="exact"/>
        <w:ind w:firstLine="660"/>
        <w:rPr>
          <w:rFonts w:ascii="仿宋_GB2312" w:hAnsi="宋体" w:eastAsia="仿宋_GB2312"/>
          <w:sz w:val="32"/>
          <w:szCs w:val="32"/>
        </w:rPr>
      </w:pPr>
      <w:r>
        <w:rPr>
          <w:rFonts w:hint="eastAsia" w:ascii="宋体" w:hAnsi="宋体" w:cs="宋体"/>
          <w:sz w:val="32"/>
          <w:szCs w:val="32"/>
        </w:rPr>
        <w:t>主要是新建墓园项目形成的结余分配</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与上年相比</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今年结余分配增加16.03万元</w:t>
      </w:r>
      <w:r>
        <w:rPr>
          <w:rFonts w:hint="eastAsia" w:ascii="仿宋_GB2312" w:hAnsi="宋体" w:eastAsia="仿宋_GB2312"/>
          <w:sz w:val="32"/>
          <w:szCs w:val="32"/>
        </w:rPr>
        <w:t>，</w:t>
      </w:r>
      <w:r>
        <w:rPr>
          <w:rFonts w:hint="eastAsia" w:ascii="宋体" w:hAnsi="宋体" w:cs="宋体"/>
          <w:sz w:val="32"/>
          <w:szCs w:val="32"/>
        </w:rPr>
        <w:t>主要原因</w:t>
      </w:r>
      <w:r>
        <w:rPr>
          <w:rFonts w:hint="eastAsia" w:ascii="仿宋_GB2312" w:hAnsi="宋体" w:eastAsia="仿宋_GB2312"/>
          <w:sz w:val="32"/>
          <w:szCs w:val="32"/>
        </w:rPr>
        <w:t>：</w:t>
      </w:r>
      <w:r>
        <w:rPr>
          <w:rFonts w:hint="eastAsia" w:ascii="宋体" w:hAnsi="宋体" w:cs="宋体"/>
          <w:sz w:val="32"/>
          <w:szCs w:val="32"/>
        </w:rPr>
        <w:t>新建墓园项目按照合同进度支付后结余16.03万元，于2022年支付完毕。</w:t>
      </w:r>
    </w:p>
    <w:p>
      <w:pPr>
        <w:spacing w:line="540" w:lineRule="exact"/>
        <w:ind w:firstLine="660"/>
        <w:rPr>
          <w:rFonts w:ascii="黑体" w:hAnsi="黑体" w:eastAsia="黑体"/>
          <w:sz w:val="32"/>
          <w:szCs w:val="32"/>
        </w:rPr>
      </w:pPr>
    </w:p>
    <w:p>
      <w:pPr>
        <w:spacing w:line="540" w:lineRule="exact"/>
        <w:ind w:firstLine="660"/>
        <w:rPr>
          <w:rFonts w:ascii="黑体" w:hAnsi="黑体" w:eastAsia="黑体"/>
          <w:sz w:val="32"/>
          <w:szCs w:val="32"/>
        </w:rPr>
      </w:pPr>
      <w:r>
        <w:rPr>
          <w:rFonts w:hint="eastAsia" w:ascii="黑体" w:hAnsi="黑体" w:eastAsia="黑体"/>
          <w:sz w:val="32"/>
          <w:szCs w:val="32"/>
        </w:rPr>
        <w:t>二、财政拨款支出决算情况说明</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（一）总体情况。</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2021年度财政拨款支出306.88万元，其中：基本支出306.88万元。与</w:t>
      </w:r>
      <w:r>
        <w:rPr>
          <w:rFonts w:ascii="仿宋_GB2312" w:hAnsi="宋体" w:eastAsia="仿宋_GB2312"/>
          <w:sz w:val="32"/>
          <w:szCs w:val="32"/>
        </w:rPr>
        <w:t>上年相比，</w:t>
      </w:r>
      <w:r>
        <w:rPr>
          <w:rFonts w:hint="eastAsia" w:ascii="仿宋_GB2312" w:hAnsi="宋体" w:eastAsia="仿宋_GB2312"/>
          <w:sz w:val="32"/>
          <w:szCs w:val="32"/>
        </w:rPr>
        <w:t>财政拨款支出减少1108.35万元，降低78.32%，主要原因：</w:t>
      </w:r>
      <w:r>
        <w:rPr>
          <w:rFonts w:hint="eastAsia" w:ascii="黑体" w:hAnsi="黑体" w:eastAsia="黑体"/>
          <w:sz w:val="32"/>
          <w:szCs w:val="32"/>
        </w:rPr>
        <w:t>一是</w:t>
      </w:r>
      <w:r>
        <w:rPr>
          <w:rFonts w:hint="eastAsia" w:ascii="仿宋_GB2312" w:hAnsi="宋体" w:eastAsia="仿宋_GB2312"/>
          <w:sz w:val="32"/>
          <w:szCs w:val="32"/>
        </w:rPr>
        <w:t>购置墓碑、维修等项目类支出在今年列入经营支出；</w:t>
      </w:r>
      <w:r>
        <w:rPr>
          <w:rFonts w:hint="eastAsia" w:ascii="黑体" w:hAnsi="黑体" w:eastAsia="黑体"/>
          <w:sz w:val="32"/>
          <w:szCs w:val="32"/>
        </w:rPr>
        <w:t>二是</w:t>
      </w:r>
      <w:r>
        <w:rPr>
          <w:rFonts w:hint="eastAsia" w:ascii="仿宋_GB2312" w:hAnsi="宋体" w:eastAsia="仿宋_GB2312"/>
          <w:sz w:val="32"/>
          <w:szCs w:val="32"/>
        </w:rPr>
        <w:t>基本支出与去年相比，增加12.65万元，增长4.30%。与年初预算相比，2021年度财政拨款支出完成年初预算的100%，其中：基本支出完成年初预算的100%。</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（二）一般公共预算财政拨款支出情况。</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2021年度一般公共预算财政拨款支出306.88万元，按支出功能分类科目分，包括：社会保障和就业支出292.28万元，占95.24</w:t>
      </w:r>
      <w:r>
        <w:rPr>
          <w:rFonts w:ascii="仿宋_GB2312" w:hAnsi="宋体" w:eastAsia="仿宋_GB2312"/>
          <w:sz w:val="32"/>
          <w:szCs w:val="32"/>
        </w:rPr>
        <w:t>%</w:t>
      </w:r>
      <w:r>
        <w:rPr>
          <w:rFonts w:hint="eastAsia" w:ascii="仿宋_GB2312" w:hAnsi="宋体" w:eastAsia="仿宋_GB2312"/>
          <w:sz w:val="32"/>
          <w:szCs w:val="32"/>
        </w:rPr>
        <w:t>；卫生健康支出5.64万元，占1.84%；住房保障支出8.96万元，占2.92%。</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 xml:space="preserve">1. </w:t>
      </w:r>
      <w:r>
        <w:rPr>
          <w:rFonts w:hint="eastAsia" w:ascii="宋体" w:hAnsi="宋体" w:cs="宋体"/>
          <w:sz w:val="32"/>
          <w:szCs w:val="32"/>
        </w:rPr>
        <w:t>社会保障和就业支出</w:t>
      </w:r>
      <w:r>
        <w:rPr>
          <w:rFonts w:hint="eastAsia" w:ascii="仿宋_GB2312" w:hAnsi="宋体" w:eastAsia="仿宋_GB2312"/>
          <w:sz w:val="32"/>
          <w:szCs w:val="32"/>
        </w:rPr>
        <w:t>292.28</w:t>
      </w:r>
      <w:r>
        <w:rPr>
          <w:rFonts w:hint="eastAsia" w:ascii="宋体" w:hAnsi="宋体" w:cs="宋体"/>
          <w:sz w:val="32"/>
          <w:szCs w:val="32"/>
        </w:rPr>
        <w:t>万元</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具体包括</w:t>
      </w:r>
      <w:r>
        <w:rPr>
          <w:rFonts w:hint="eastAsia" w:ascii="Malgun Gothic Semilight" w:hAnsi="Malgun Gothic Semilight" w:eastAsia="Malgun Gothic Semilight" w:cs="Malgun Gothic Semilight"/>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w:t>
      </w:r>
      <w:r>
        <w:rPr>
          <w:rFonts w:hint="eastAsia" w:ascii="宋体" w:hAnsi="宋体" w:cs="宋体"/>
          <w:sz w:val="32"/>
          <w:szCs w:val="32"/>
        </w:rPr>
        <w:t>社会保障和就业支出</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类</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行政事业单位养老支出</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款</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事业单位离退休</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项</w:t>
      </w:r>
      <w:r>
        <w:rPr>
          <w:rFonts w:hint="eastAsia" w:ascii="Malgun Gothic Semilight" w:hAnsi="Malgun Gothic Semilight" w:eastAsia="Malgun Gothic Semilight" w:cs="Malgun Gothic Semilight"/>
          <w:sz w:val="32"/>
          <w:szCs w:val="32"/>
        </w:rPr>
        <w:t>）</w:t>
      </w:r>
      <w:r>
        <w:rPr>
          <w:rFonts w:hint="eastAsia" w:ascii="仿宋_GB2312" w:hAnsi="宋体" w:eastAsia="仿宋_GB2312"/>
          <w:sz w:val="32"/>
          <w:szCs w:val="32"/>
        </w:rPr>
        <w:t>3.08</w:t>
      </w:r>
      <w:r>
        <w:rPr>
          <w:rFonts w:hint="eastAsia" w:ascii="宋体" w:hAnsi="宋体" w:cs="宋体"/>
          <w:sz w:val="32"/>
          <w:szCs w:val="32"/>
        </w:rPr>
        <w:t>万元</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主要是退休人员公用经费</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独生子女费</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取暖费等支出</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完成年初预算的</w:t>
      </w:r>
      <w:r>
        <w:rPr>
          <w:rFonts w:hint="eastAsia" w:ascii="仿宋_GB2312" w:hAnsi="宋体" w:eastAsia="仿宋_GB2312"/>
          <w:sz w:val="32"/>
          <w:szCs w:val="32"/>
        </w:rPr>
        <w:t>100%</w:t>
      </w:r>
      <w:r>
        <w:rPr>
          <w:rFonts w:hint="eastAsia" w:ascii="Malgun Gothic Semilight" w:hAnsi="Malgun Gothic Semilight" w:eastAsia="Malgun Gothic Semilight" w:cs="Malgun Gothic Semilight"/>
          <w:sz w:val="32"/>
          <w:szCs w:val="32"/>
        </w:rPr>
        <w:t>；</w:t>
      </w:r>
    </w:p>
    <w:p>
      <w:pPr>
        <w:spacing w:line="540" w:lineRule="exact"/>
        <w:ind w:firstLine="660"/>
        <w:rPr>
          <w:rFonts w:ascii="仿宋_GB2312" w:hAnsi="宋体" w:eastAsia="仿宋_GB2312"/>
          <w:sz w:val="32"/>
          <w:szCs w:val="32"/>
        </w:rPr>
      </w:pPr>
      <w:r>
        <w:rPr>
          <w:rFonts w:hint="eastAsia" w:ascii="宋体" w:hAnsi="宋体" w:cs="宋体"/>
          <w:sz w:val="32"/>
          <w:szCs w:val="32"/>
        </w:rPr>
        <w:t>社会保障和就业支出</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类</w:t>
      </w:r>
      <w:r>
        <w:rPr>
          <w:rFonts w:hint="eastAsia" w:ascii="仿宋_GB2312" w:hAnsi="宋体" w:eastAsia="仿宋_GB2312"/>
          <w:sz w:val="32"/>
          <w:szCs w:val="32"/>
        </w:rPr>
        <w:t>）</w:t>
      </w:r>
      <w:r>
        <w:rPr>
          <w:rFonts w:hint="eastAsia" w:ascii="宋体" w:hAnsi="宋体" w:cs="宋体"/>
          <w:sz w:val="32"/>
          <w:szCs w:val="32"/>
        </w:rPr>
        <w:t>行政事业单位养老支出</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款</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机关事业单位基本养老保险缴费支出</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项</w:t>
      </w:r>
      <w:r>
        <w:rPr>
          <w:rFonts w:hint="eastAsia" w:ascii="Malgun Gothic Semilight" w:hAnsi="Malgun Gothic Semilight" w:eastAsia="Malgun Gothic Semilight" w:cs="Malgun Gothic Semilight"/>
          <w:sz w:val="32"/>
          <w:szCs w:val="32"/>
        </w:rPr>
        <w:t>）</w:t>
      </w:r>
      <w:r>
        <w:rPr>
          <w:rFonts w:hint="eastAsia" w:ascii="仿宋_GB2312" w:hAnsi="宋体" w:eastAsia="仿宋_GB2312"/>
          <w:sz w:val="32"/>
          <w:szCs w:val="32"/>
        </w:rPr>
        <w:t>12.57</w:t>
      </w:r>
      <w:r>
        <w:rPr>
          <w:rFonts w:hint="eastAsia" w:ascii="宋体" w:hAnsi="宋体" w:cs="宋体"/>
          <w:sz w:val="32"/>
          <w:szCs w:val="32"/>
        </w:rPr>
        <w:t>万元</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完成年初预算的</w:t>
      </w:r>
      <w:r>
        <w:rPr>
          <w:rFonts w:hint="eastAsia" w:ascii="仿宋_GB2312" w:hAnsi="宋体" w:eastAsia="仿宋_GB2312"/>
          <w:sz w:val="32"/>
          <w:szCs w:val="32"/>
        </w:rPr>
        <w:t>100%</w:t>
      </w:r>
      <w:r>
        <w:rPr>
          <w:rFonts w:hint="eastAsia" w:ascii="Malgun Gothic Semilight" w:hAnsi="Malgun Gothic Semilight" w:eastAsia="Malgun Gothic Semilight" w:cs="Malgun Gothic Semilight"/>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w:t>
      </w:r>
      <w:r>
        <w:rPr>
          <w:rFonts w:hint="eastAsia" w:ascii="宋体" w:hAnsi="宋体" w:cs="宋体"/>
          <w:sz w:val="32"/>
          <w:szCs w:val="32"/>
        </w:rPr>
        <w:t>社会保障和就业支出</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类</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社会福利</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款</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殡葬</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项</w:t>
      </w:r>
      <w:r>
        <w:rPr>
          <w:rFonts w:hint="eastAsia" w:ascii="Malgun Gothic Semilight" w:hAnsi="Malgun Gothic Semilight" w:eastAsia="Malgun Gothic Semilight" w:cs="Malgun Gothic Semilight"/>
          <w:sz w:val="32"/>
          <w:szCs w:val="32"/>
        </w:rPr>
        <w:t>）</w:t>
      </w:r>
      <w:r>
        <w:rPr>
          <w:rFonts w:hint="eastAsia" w:ascii="仿宋_GB2312" w:hAnsi="宋体" w:eastAsia="仿宋_GB2312"/>
          <w:sz w:val="32"/>
          <w:szCs w:val="32"/>
        </w:rPr>
        <w:t>276.24</w:t>
      </w:r>
      <w:r>
        <w:rPr>
          <w:rFonts w:hint="eastAsia" w:ascii="宋体" w:hAnsi="宋体" w:cs="宋体"/>
          <w:sz w:val="32"/>
          <w:szCs w:val="32"/>
        </w:rPr>
        <w:t>万元</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包括人员工资</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日常公用经费支出</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完成年初预算的</w:t>
      </w:r>
      <w:r>
        <w:rPr>
          <w:rFonts w:hint="eastAsia" w:ascii="仿宋_GB2312" w:hAnsi="宋体" w:eastAsia="仿宋_GB2312"/>
          <w:sz w:val="32"/>
          <w:szCs w:val="32"/>
        </w:rPr>
        <w:t>100%</w:t>
      </w:r>
      <w:r>
        <w:rPr>
          <w:rFonts w:hint="eastAsia" w:ascii="Malgun Gothic Semilight" w:hAnsi="Malgun Gothic Semilight" w:eastAsia="Malgun Gothic Semilight" w:cs="Malgun Gothic Semilight"/>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w:t>
      </w:r>
      <w:r>
        <w:rPr>
          <w:rFonts w:ascii="仿宋_GB2312" w:hAnsi="宋体" w:eastAsia="仿宋_GB2312"/>
          <w:sz w:val="32"/>
          <w:szCs w:val="32"/>
        </w:rPr>
        <w:t>）</w:t>
      </w:r>
      <w:r>
        <w:rPr>
          <w:rFonts w:hint="eastAsia" w:ascii="宋体" w:hAnsi="宋体" w:cs="宋体"/>
          <w:sz w:val="32"/>
          <w:szCs w:val="32"/>
        </w:rPr>
        <w:t>社会保障和就业支出</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类</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其他社会保障和就业支出</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款</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其他社会保障和就业支出</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项</w:t>
      </w:r>
      <w:r>
        <w:rPr>
          <w:rFonts w:hint="eastAsia" w:ascii="Malgun Gothic Semilight" w:hAnsi="Malgun Gothic Semilight" w:eastAsia="Malgun Gothic Semilight" w:cs="Malgun Gothic Semilight"/>
          <w:sz w:val="32"/>
          <w:szCs w:val="32"/>
        </w:rPr>
        <w:t>）</w:t>
      </w:r>
      <w:r>
        <w:rPr>
          <w:rFonts w:hint="eastAsia" w:ascii="仿宋_GB2312" w:hAnsi="宋体" w:eastAsia="仿宋_GB2312"/>
          <w:sz w:val="32"/>
          <w:szCs w:val="32"/>
        </w:rPr>
        <w:t>0.39</w:t>
      </w:r>
      <w:r>
        <w:rPr>
          <w:rFonts w:hint="eastAsia" w:ascii="宋体" w:hAnsi="宋体" w:cs="宋体"/>
          <w:sz w:val="32"/>
          <w:szCs w:val="32"/>
        </w:rPr>
        <w:t>万元</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主要是职工失业保险支出</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完成年初预算的</w:t>
      </w:r>
      <w:r>
        <w:rPr>
          <w:rFonts w:hint="eastAsia" w:ascii="仿宋_GB2312" w:hAnsi="宋体" w:eastAsia="仿宋_GB2312"/>
          <w:sz w:val="32"/>
          <w:szCs w:val="32"/>
        </w:rPr>
        <w:t>100%</w:t>
      </w:r>
      <w:r>
        <w:rPr>
          <w:rFonts w:hint="eastAsia" w:ascii="Malgun Gothic Semilight" w:hAnsi="Malgun Gothic Semilight" w:eastAsia="Malgun Gothic Semilight" w:cs="Malgun Gothic Semilight"/>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 xml:space="preserve">2. </w:t>
      </w:r>
      <w:r>
        <w:rPr>
          <w:rFonts w:hint="eastAsia" w:ascii="宋体" w:hAnsi="宋体" w:cs="宋体"/>
          <w:sz w:val="32"/>
          <w:szCs w:val="32"/>
        </w:rPr>
        <w:t>卫生健康支出</w:t>
      </w:r>
      <w:r>
        <w:rPr>
          <w:rFonts w:hint="eastAsia" w:ascii="仿宋_GB2312" w:hAnsi="宋体" w:eastAsia="仿宋_GB2312"/>
          <w:sz w:val="32"/>
          <w:szCs w:val="32"/>
        </w:rPr>
        <w:t>5.64</w:t>
      </w:r>
      <w:r>
        <w:rPr>
          <w:rFonts w:hint="eastAsia" w:ascii="宋体" w:hAnsi="宋体" w:cs="宋体"/>
          <w:sz w:val="32"/>
          <w:szCs w:val="32"/>
        </w:rPr>
        <w:t>万元</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具体包括</w:t>
      </w:r>
      <w:r>
        <w:rPr>
          <w:rFonts w:hint="eastAsia" w:ascii="Malgun Gothic Semilight" w:hAnsi="Malgun Gothic Semilight" w:eastAsia="Malgun Gothic Semilight" w:cs="Malgun Gothic Semilight"/>
          <w:sz w:val="32"/>
          <w:szCs w:val="32"/>
        </w:rPr>
        <w:t>：</w:t>
      </w:r>
    </w:p>
    <w:p>
      <w:pPr>
        <w:spacing w:line="540" w:lineRule="exact"/>
        <w:ind w:firstLine="660"/>
        <w:rPr>
          <w:rFonts w:ascii="仿宋_GB2312" w:hAnsi="宋体" w:eastAsia="仿宋_GB2312"/>
          <w:sz w:val="32"/>
          <w:szCs w:val="32"/>
        </w:rPr>
      </w:pPr>
      <w:r>
        <w:rPr>
          <w:rFonts w:hint="eastAsia" w:ascii="宋体" w:hAnsi="宋体" w:cs="宋体"/>
          <w:sz w:val="32"/>
          <w:szCs w:val="32"/>
        </w:rPr>
        <w:t>卫生健康支出</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类</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行政事业单位医疗</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款</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事业单位医疗</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项</w:t>
      </w:r>
      <w:r>
        <w:rPr>
          <w:rFonts w:hint="eastAsia" w:ascii="Malgun Gothic Semilight" w:hAnsi="Malgun Gothic Semilight" w:eastAsia="Malgun Gothic Semilight" w:cs="Malgun Gothic Semilight"/>
          <w:sz w:val="32"/>
          <w:szCs w:val="32"/>
        </w:rPr>
        <w:t>）</w:t>
      </w:r>
      <w:r>
        <w:rPr>
          <w:rFonts w:hint="eastAsia" w:ascii="仿宋_GB2312" w:hAnsi="宋体" w:eastAsia="仿宋_GB2312"/>
          <w:sz w:val="32"/>
          <w:szCs w:val="32"/>
        </w:rPr>
        <w:t>5.42</w:t>
      </w:r>
      <w:r>
        <w:rPr>
          <w:rFonts w:hint="eastAsia" w:ascii="宋体" w:hAnsi="宋体" w:cs="宋体"/>
          <w:sz w:val="32"/>
          <w:szCs w:val="32"/>
        </w:rPr>
        <w:t>万元</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主要是职工医疗保险缴费支出</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完成年初预算的</w:t>
      </w:r>
      <w:r>
        <w:rPr>
          <w:rFonts w:hint="eastAsia" w:ascii="仿宋_GB2312" w:hAnsi="宋体" w:eastAsia="仿宋_GB2312"/>
          <w:sz w:val="32"/>
          <w:szCs w:val="32"/>
        </w:rPr>
        <w:t>100%；</w:t>
      </w:r>
    </w:p>
    <w:p>
      <w:pPr>
        <w:spacing w:line="540" w:lineRule="exact"/>
        <w:ind w:firstLine="660"/>
        <w:rPr>
          <w:rFonts w:ascii="仿宋_GB2312" w:hAnsi="宋体" w:eastAsia="仿宋_GB2312"/>
          <w:sz w:val="32"/>
          <w:szCs w:val="32"/>
        </w:rPr>
      </w:pPr>
      <w:r>
        <w:rPr>
          <w:rFonts w:hint="eastAsia" w:ascii="宋体" w:hAnsi="宋体" w:cs="宋体"/>
          <w:sz w:val="32"/>
          <w:szCs w:val="32"/>
        </w:rPr>
        <w:t>卫生健康支出</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类</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行政事业单位医疗</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款</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其他行政事业单位医疗支出</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项</w:t>
      </w:r>
      <w:r>
        <w:rPr>
          <w:rFonts w:hint="eastAsia" w:ascii="Malgun Gothic Semilight" w:hAnsi="Malgun Gothic Semilight" w:eastAsia="Malgun Gothic Semilight" w:cs="Malgun Gothic Semilight"/>
          <w:sz w:val="32"/>
          <w:szCs w:val="32"/>
        </w:rPr>
        <w:t>）</w:t>
      </w:r>
      <w:r>
        <w:rPr>
          <w:rFonts w:hint="eastAsia" w:ascii="仿宋_GB2312" w:hAnsi="宋体" w:eastAsia="仿宋_GB2312"/>
          <w:sz w:val="32"/>
          <w:szCs w:val="32"/>
        </w:rPr>
        <w:t>0.22</w:t>
      </w:r>
      <w:r>
        <w:rPr>
          <w:rFonts w:hint="eastAsia" w:ascii="宋体" w:hAnsi="宋体" w:cs="宋体"/>
          <w:sz w:val="32"/>
          <w:szCs w:val="32"/>
        </w:rPr>
        <w:t>万元</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主要是职工工伤保险缴费支出</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完成年初预算的</w:t>
      </w:r>
      <w:r>
        <w:rPr>
          <w:rFonts w:hint="eastAsia" w:ascii="仿宋_GB2312" w:hAnsi="宋体" w:eastAsia="仿宋_GB2312"/>
          <w:sz w:val="32"/>
          <w:szCs w:val="32"/>
        </w:rPr>
        <w:t>100%</w:t>
      </w:r>
      <w:r>
        <w:rPr>
          <w:rFonts w:hint="eastAsia" w:ascii="Malgun Gothic Semilight" w:hAnsi="Malgun Gothic Semilight" w:eastAsia="Malgun Gothic Semilight" w:cs="Malgun Gothic Semilight"/>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 xml:space="preserve">3. </w:t>
      </w:r>
      <w:r>
        <w:rPr>
          <w:rFonts w:hint="eastAsia" w:ascii="宋体" w:hAnsi="宋体" w:cs="宋体"/>
          <w:sz w:val="32"/>
          <w:szCs w:val="32"/>
        </w:rPr>
        <w:t>住房保障支出</w:t>
      </w:r>
      <w:r>
        <w:rPr>
          <w:rFonts w:hint="eastAsia" w:ascii="仿宋_GB2312" w:hAnsi="宋体" w:eastAsia="仿宋_GB2312"/>
          <w:sz w:val="32"/>
          <w:szCs w:val="32"/>
        </w:rPr>
        <w:t>8.96</w:t>
      </w:r>
      <w:r>
        <w:rPr>
          <w:rFonts w:hint="eastAsia" w:ascii="宋体" w:hAnsi="宋体" w:cs="宋体"/>
          <w:sz w:val="32"/>
          <w:szCs w:val="32"/>
        </w:rPr>
        <w:t>万元</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具体包括</w:t>
      </w:r>
      <w:r>
        <w:rPr>
          <w:rFonts w:hint="eastAsia" w:ascii="Malgun Gothic Semilight" w:hAnsi="Malgun Gothic Semilight" w:eastAsia="Malgun Gothic Semilight" w:cs="Malgun Gothic Semilight"/>
          <w:sz w:val="32"/>
          <w:szCs w:val="32"/>
        </w:rPr>
        <w:t>：</w:t>
      </w:r>
    </w:p>
    <w:p>
      <w:pPr>
        <w:spacing w:line="540" w:lineRule="exact"/>
        <w:ind w:firstLine="660"/>
        <w:rPr>
          <w:rFonts w:ascii="仿宋_GB2312" w:hAnsi="宋体" w:eastAsia="仿宋_GB2312"/>
          <w:sz w:val="32"/>
          <w:szCs w:val="32"/>
        </w:rPr>
      </w:pPr>
      <w:r>
        <w:rPr>
          <w:rFonts w:hint="eastAsia" w:ascii="宋体" w:hAnsi="宋体" w:cs="宋体"/>
          <w:sz w:val="32"/>
          <w:szCs w:val="32"/>
        </w:rPr>
        <w:t>住房保障支出</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类</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住房改革支出</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款</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住房公积金</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项</w:t>
      </w:r>
      <w:r>
        <w:rPr>
          <w:rFonts w:hint="eastAsia" w:ascii="Malgun Gothic Semilight" w:hAnsi="Malgun Gothic Semilight" w:eastAsia="Malgun Gothic Semilight" w:cs="Malgun Gothic Semilight"/>
          <w:sz w:val="32"/>
          <w:szCs w:val="32"/>
        </w:rPr>
        <w:t>）</w:t>
      </w:r>
      <w:r>
        <w:rPr>
          <w:rFonts w:hint="eastAsia" w:ascii="仿宋_GB2312" w:hAnsi="宋体" w:eastAsia="仿宋_GB2312"/>
          <w:sz w:val="32"/>
          <w:szCs w:val="32"/>
        </w:rPr>
        <w:t>8.96</w:t>
      </w:r>
      <w:r>
        <w:rPr>
          <w:rFonts w:hint="eastAsia" w:ascii="宋体" w:hAnsi="宋体" w:cs="宋体"/>
          <w:sz w:val="32"/>
          <w:szCs w:val="32"/>
        </w:rPr>
        <w:t>万元</w:t>
      </w:r>
      <w:r>
        <w:rPr>
          <w:rFonts w:hint="eastAsia" w:ascii="Malgun Gothic Semilight" w:hAnsi="Malgun Gothic Semilight" w:eastAsia="Malgun Gothic Semilight" w:cs="Malgun Gothic Semilight"/>
          <w:sz w:val="32"/>
          <w:szCs w:val="32"/>
        </w:rPr>
        <w:t>，</w:t>
      </w:r>
      <w:r>
        <w:rPr>
          <w:rFonts w:hint="eastAsia" w:ascii="宋体" w:hAnsi="宋体" w:cs="宋体"/>
          <w:sz w:val="32"/>
          <w:szCs w:val="32"/>
        </w:rPr>
        <w:t>完成年初预算的</w:t>
      </w:r>
      <w:r>
        <w:rPr>
          <w:rFonts w:hint="eastAsia" w:ascii="仿宋_GB2312" w:hAnsi="宋体" w:eastAsia="仿宋_GB2312"/>
          <w:sz w:val="32"/>
          <w:szCs w:val="32"/>
        </w:rPr>
        <w:t>100%。</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（三）政府性基金预算财政拨款支出情况。</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2021</w:t>
      </w:r>
      <w:r>
        <w:rPr>
          <w:rFonts w:hint="eastAsia" w:ascii="宋体" w:hAnsi="宋体" w:cs="宋体"/>
          <w:sz w:val="32"/>
          <w:szCs w:val="32"/>
        </w:rPr>
        <w:t>年度政府性基金预算财政拨款支出</w:t>
      </w:r>
      <w:r>
        <w:rPr>
          <w:rFonts w:hint="eastAsia" w:ascii="仿宋_GB2312" w:hAnsi="宋体" w:eastAsia="仿宋_GB2312"/>
          <w:sz w:val="32"/>
          <w:szCs w:val="32"/>
        </w:rPr>
        <w:t>0</w:t>
      </w:r>
      <w:r>
        <w:rPr>
          <w:rFonts w:hint="eastAsia" w:ascii="宋体" w:hAnsi="宋体" w:cs="宋体"/>
          <w:sz w:val="32"/>
          <w:szCs w:val="32"/>
        </w:rPr>
        <w:t>万元</w:t>
      </w:r>
      <w:r>
        <w:rPr>
          <w:rFonts w:hint="eastAsia" w:ascii="仿宋_GB2312" w:hAnsi="宋体" w:eastAsia="仿宋_GB2312"/>
          <w:sz w:val="32"/>
          <w:szCs w:val="32"/>
        </w:rPr>
        <w:t>。</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（四）国有资本经营预算财政拨款支出情况。</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2021</w:t>
      </w:r>
      <w:r>
        <w:rPr>
          <w:rFonts w:hint="eastAsia" w:ascii="宋体" w:hAnsi="宋体" w:cs="宋体"/>
          <w:sz w:val="32"/>
          <w:szCs w:val="32"/>
        </w:rPr>
        <w:t>年度国有资本经营预算财政拨款支出</w:t>
      </w:r>
      <w:r>
        <w:rPr>
          <w:rFonts w:hint="eastAsia" w:ascii="仿宋_GB2312" w:hAnsi="宋体" w:eastAsia="仿宋_GB2312"/>
          <w:sz w:val="32"/>
          <w:szCs w:val="32"/>
        </w:rPr>
        <w:t>0</w:t>
      </w:r>
      <w:r>
        <w:rPr>
          <w:rFonts w:hint="eastAsia" w:ascii="宋体" w:hAnsi="宋体" w:cs="宋体"/>
          <w:sz w:val="32"/>
          <w:szCs w:val="32"/>
        </w:rPr>
        <w:t>万元</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p>
    <w:p>
      <w:pPr>
        <w:spacing w:line="540" w:lineRule="exact"/>
        <w:ind w:firstLine="660"/>
        <w:rPr>
          <w:rFonts w:ascii="黑体" w:hAnsi="黑体" w:eastAsia="黑体"/>
          <w:sz w:val="32"/>
          <w:szCs w:val="32"/>
        </w:rPr>
      </w:pPr>
      <w:r>
        <w:rPr>
          <w:rFonts w:hint="eastAsia" w:ascii="黑体" w:hAnsi="黑体" w:eastAsia="黑体"/>
          <w:sz w:val="32"/>
          <w:szCs w:val="32"/>
        </w:rPr>
        <w:t>三、一般公共预算财政拨款“三公”经费支出决算情况说明</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2021年度一般公共预算财政拨款安排的“三公”经费支出4.27万元，完成年初预算的94.89%，决算数小于年初预算数的主要原因是公务用车运行维护费结余0.23万元，结余资金年底财政一体化系统自动收回。较上年比减少0.22万元，下降4.90%,主要原因是公务用车因使用年限较长存在安全隐患，因此自10月下旬开始闲置。其中：因公出国（境）费0万元，公务接待费0万元，公务用车购置及运行维护费4.27万元。</w:t>
      </w:r>
    </w:p>
    <w:p>
      <w:pPr>
        <w:spacing w:line="540" w:lineRule="exact"/>
        <w:ind w:firstLine="645"/>
        <w:rPr>
          <w:rFonts w:ascii="仿宋" w:hAnsi="仿宋" w:eastAsia="仿宋"/>
          <w:sz w:val="32"/>
          <w:szCs w:val="32"/>
        </w:rPr>
      </w:pPr>
      <w:r>
        <w:rPr>
          <w:rFonts w:hint="eastAsia" w:ascii="仿宋_GB2312" w:hAnsi="宋体" w:eastAsia="仿宋_GB2312"/>
          <w:sz w:val="32"/>
          <w:szCs w:val="32"/>
        </w:rPr>
        <w:t>1.因公出国（境）费0万元，占“三公”经费支出的0%。决算数与年初预算数相等，均为0万元，主要原因是年初未做预算，本年未发生因公出国（境）事项。2021年参加出国（境）团组0个，累计0人次，未参加任何团组。2021年因公出国（境）费比上年增加0万元，增长0%，无任何变动，主要原因是2021年和2020年本单位均未发生因公出国（境）事项，无因公出国（境）支出。</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2.公务接待费0万元，占“三公”经费支出的0%。完成年初预算的0%，决算数与年初预算数相等，均为0万元，主要原因是年初未做预算，未发生公务接待事项。2021年国内公务接待累计0批次、0人、0万元；其外事接待累计0批次、0人、0万元。2021年公务接待费比上年增加0万元，增长0%，无任何变动，主要原因是2021年和2020年本单位均未发生此类事项。</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3.公务用车购置及</w:t>
      </w:r>
      <w:r>
        <w:rPr>
          <w:rFonts w:ascii="仿宋_GB2312" w:hAnsi="宋体" w:eastAsia="仿宋_GB2312"/>
          <w:sz w:val="32"/>
          <w:szCs w:val="32"/>
        </w:rPr>
        <w:t>运行费</w:t>
      </w:r>
      <w:r>
        <w:rPr>
          <w:rFonts w:hint="eastAsia" w:ascii="仿宋_GB2312" w:hAnsi="宋体" w:eastAsia="仿宋_GB2312"/>
          <w:sz w:val="32"/>
          <w:szCs w:val="32"/>
        </w:rPr>
        <w:t>4.27万元，占“三公”经费支出的100%。完成年初预算的94.89%，决算数小于年初预算数的主要原因是公务用车运行维护费结余0.23万元，结余资金年底财政一体化系统自动收回。较上年比减少0.22万元，下降4.90%,主要原因是公务用车因使用年限较长存在安全隐患，因此自10月下旬开始闲置。</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其中：公务用车购置费0万元。公务用车运行维护费4.27万元，主要用于公务用车运行燃料费、维修费、保险费等，截至年末使用</w:t>
      </w:r>
      <w:r>
        <w:rPr>
          <w:rFonts w:ascii="仿宋_GB2312" w:hAnsi="宋体" w:eastAsia="仿宋_GB2312"/>
          <w:sz w:val="32"/>
          <w:szCs w:val="32"/>
        </w:rPr>
        <w:t>一般公共预算财政拨款开支</w:t>
      </w:r>
      <w:r>
        <w:rPr>
          <w:rFonts w:hint="eastAsia" w:ascii="仿宋_GB2312" w:hAnsi="宋体" w:eastAsia="仿宋_GB2312"/>
          <w:sz w:val="32"/>
          <w:szCs w:val="32"/>
        </w:rPr>
        <w:t>运行维护费</w:t>
      </w:r>
      <w:r>
        <w:rPr>
          <w:rFonts w:ascii="仿宋_GB2312" w:hAnsi="宋体" w:eastAsia="仿宋_GB2312"/>
          <w:sz w:val="32"/>
          <w:szCs w:val="32"/>
        </w:rPr>
        <w:t>的</w:t>
      </w:r>
      <w:r>
        <w:rPr>
          <w:rFonts w:hint="eastAsia" w:ascii="仿宋_GB2312" w:hAnsi="宋体" w:eastAsia="仿宋_GB2312"/>
          <w:sz w:val="32"/>
          <w:szCs w:val="32"/>
        </w:rPr>
        <w:t>公务用车保有量1辆。</w:t>
      </w:r>
    </w:p>
    <w:p>
      <w:pPr>
        <w:spacing w:line="540" w:lineRule="exact"/>
        <w:ind w:firstLine="645"/>
        <w:rPr>
          <w:rFonts w:ascii="仿宋_GB2312" w:hAnsi="宋体" w:eastAsia="仿宋_GB2312"/>
          <w:sz w:val="32"/>
          <w:szCs w:val="32"/>
        </w:rPr>
      </w:pPr>
    </w:p>
    <w:p>
      <w:pPr>
        <w:spacing w:line="540" w:lineRule="exact"/>
        <w:ind w:firstLine="645"/>
        <w:rPr>
          <w:rFonts w:ascii="黑体" w:hAnsi="黑体" w:eastAsia="黑体"/>
          <w:sz w:val="32"/>
          <w:szCs w:val="32"/>
        </w:rPr>
      </w:pPr>
      <w:r>
        <w:rPr>
          <w:rFonts w:hint="eastAsia" w:ascii="黑体" w:hAnsi="黑体" w:eastAsia="黑体"/>
          <w:sz w:val="32"/>
          <w:szCs w:val="32"/>
        </w:rPr>
        <w:t>四、一般公共预算财政拨款基本支出决算情况说明</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2021年度一般公共预算财政拨款基本支出306.88万元，其中：人员经费261.25万元，主要包括基本工资、津贴补贴、</w:t>
      </w:r>
      <w:r>
        <w:rPr>
          <w:rFonts w:hint="eastAsia" w:ascii="宋体" w:hAnsi="宋体" w:cs="宋体"/>
          <w:sz w:val="32"/>
          <w:szCs w:val="32"/>
        </w:rPr>
        <w:t>绩效工资、</w:t>
      </w:r>
      <w:r>
        <w:rPr>
          <w:rFonts w:hint="eastAsia" w:ascii="仿宋_GB2312" w:hAnsi="宋体" w:eastAsia="仿宋_GB2312"/>
          <w:sz w:val="32"/>
          <w:szCs w:val="32"/>
        </w:rPr>
        <w:t>奖金、其他社会保障缴费、机关事业单位基本养老保险缴费、其他工资福利支出、职工基本医疗保险缴费、退休费、住房公积金；日常公用经费45.63万元，主要包括办公费、印刷费、手续费、电费、邮电费、取暖费、差旅费、维修（护）费、工会经费、福利费、公务用车运行维护费、其他商品和服务支出、办公设备购置。</w:t>
      </w:r>
    </w:p>
    <w:p>
      <w:pPr>
        <w:spacing w:line="540" w:lineRule="exact"/>
        <w:ind w:firstLine="645"/>
        <w:rPr>
          <w:rFonts w:ascii="仿宋_GB2312" w:hAnsi="宋体" w:eastAsia="仿宋_GB2312"/>
          <w:sz w:val="32"/>
          <w:szCs w:val="32"/>
        </w:rPr>
      </w:pPr>
    </w:p>
    <w:p>
      <w:pPr>
        <w:spacing w:line="540" w:lineRule="exact"/>
        <w:ind w:firstLine="640" w:firstLineChars="200"/>
        <w:rPr>
          <w:rFonts w:ascii="黑体" w:hAnsi="黑体" w:eastAsia="黑体"/>
          <w:sz w:val="32"/>
          <w:szCs w:val="32"/>
        </w:rPr>
      </w:pPr>
      <w:r>
        <w:rPr>
          <w:rFonts w:hint="eastAsia" w:ascii="黑体" w:hAnsi="黑体" w:eastAsia="黑体"/>
          <w:sz w:val="32"/>
          <w:szCs w:val="32"/>
        </w:rPr>
        <w:t>五、其他重要事项的情况说明</w:t>
      </w:r>
    </w:p>
    <w:p>
      <w:pPr>
        <w:spacing w:line="54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（一）机关运行经费支出情况。</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盘锦市鹤栖园公墓管理所为事业单位，根据机关运行经费的定义，本单位2021年度、2020年度无机关运行经费支出。</w:t>
      </w:r>
    </w:p>
    <w:p>
      <w:pPr>
        <w:spacing w:line="54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（二）政府采购支出情况。</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2021年政府采购支出总额685.92万元，其中：政府采购货物支出487.35万元，政府采购工程支出142.57万元，政府采购服务支出56万元。</w:t>
      </w:r>
      <w:r>
        <w:rPr>
          <w:rFonts w:hint="eastAsia" w:ascii="仿宋_GB2312" w:eastAsia="仿宋_GB2312"/>
          <w:sz w:val="32"/>
          <w:szCs w:val="32"/>
        </w:rPr>
        <w:t>授予中小企业合同金额685.92万元，占政府采购支出总额的100%，其中：授予小微企业合同金额685.92万元，占政府采购支出总额的100%；货物采购授予中小企业合同金额占货物支出金额的71.05%；工程采购授予中小企业合同金额占货物支出金额的20.79%；服务采购授予中小企业合同金额占货物支出金额的8.16%。</w:t>
      </w:r>
    </w:p>
    <w:p>
      <w:pPr>
        <w:spacing w:line="540"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（三）国有资产占用情况。</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截至2021年12月31日，</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1.房屋情况：部门房屋面积4367.37平方米，价值769.00万元，其中：办公用房面积130平方米，价值25.35万元；业务用房面积4237.37平方米，价值</w:t>
      </w:r>
      <w:r>
        <w:rPr>
          <w:rFonts w:hint="eastAsia" w:ascii="仿宋" w:hAnsi="仿宋" w:eastAsia="仿宋"/>
          <w:sz w:val="32"/>
          <w:szCs w:val="32"/>
        </w:rPr>
        <w:t>743.65</w:t>
      </w:r>
      <w:r>
        <w:rPr>
          <w:rFonts w:hint="eastAsia" w:ascii="仿宋_GB2312" w:hAnsi="黑体" w:eastAsia="仿宋_GB2312"/>
          <w:sz w:val="32"/>
          <w:szCs w:val="32"/>
        </w:rPr>
        <w:t>万元；其他（不含构筑物）面积0平方米，价值0万元。</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2.车辆情况：共有车辆1辆，价值34.21万元，其中：其他用车1辆，其他用车主要是大型客车</w:t>
      </w:r>
      <w:r>
        <w:rPr>
          <w:rFonts w:ascii="仿宋_GB2312" w:hAnsi="黑体" w:eastAsia="仿宋_GB2312"/>
          <w:sz w:val="32"/>
          <w:szCs w:val="32"/>
        </w:rPr>
        <w:t>用于职工通勤</w:t>
      </w:r>
      <w:r>
        <w:rPr>
          <w:rFonts w:hint="eastAsia" w:ascii="仿宋_GB2312" w:hAnsi="黑体" w:eastAsia="仿宋_GB2312"/>
          <w:sz w:val="32"/>
          <w:szCs w:val="32"/>
        </w:rPr>
        <w:t>。</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3.设备情况：单位价值50万元以上通用设备0台（套），单价100万元以上专用设备1台（套）。</w:t>
      </w:r>
    </w:p>
    <w:p>
      <w:pPr>
        <w:widowControl/>
        <w:spacing w:line="540" w:lineRule="exact"/>
        <w:ind w:firstLine="643" w:firstLineChars="200"/>
        <w:jc w:val="left"/>
      </w:pPr>
      <w:r>
        <w:rPr>
          <w:rFonts w:ascii="楷体_GB2312" w:hAnsi="宋体" w:eastAsia="楷体_GB2312" w:cs="楷体_GB2312"/>
          <w:b/>
          <w:sz w:val="32"/>
          <w:szCs w:val="32"/>
        </w:rPr>
        <w:t>（四）预算绩效情况。</w:t>
      </w:r>
    </w:p>
    <w:p>
      <w:pPr>
        <w:widowControl/>
        <w:spacing w:line="520" w:lineRule="exact"/>
        <w:ind w:firstLine="643" w:firstLineChars="200"/>
        <w:jc w:val="left"/>
        <w:rPr>
          <w:rFonts w:ascii="仿宋_GB2312" w:hAnsi="仿宋_GB2312" w:eastAsia="仿宋_GB2312" w:cs="仿宋_GB2312"/>
        </w:rPr>
      </w:pPr>
      <w:r>
        <w:rPr>
          <w:rFonts w:hint="eastAsia" w:ascii="仿宋_GB2312" w:hAnsi="仿宋_GB2312" w:eastAsia="仿宋_GB2312" w:cs="仿宋_GB2312"/>
          <w:b/>
          <w:sz w:val="32"/>
          <w:szCs w:val="32"/>
        </w:rPr>
        <w:t>1.预算绩效管理工作开展情况。</w:t>
      </w:r>
    </w:p>
    <w:p>
      <w:pPr>
        <w:widowControl/>
        <w:spacing w:line="520" w:lineRule="exact"/>
        <w:ind w:firstLine="643" w:firstLineChars="200"/>
        <w:jc w:val="left"/>
      </w:pPr>
      <w:r>
        <w:rPr>
          <w:rFonts w:hint="eastAsia" w:hAnsi="宋体" w:eastAsia="仿宋_GB2312" w:cs="仿宋_GB2312"/>
          <w:b/>
          <w:bCs/>
          <w:sz w:val="32"/>
          <w:szCs w:val="32"/>
        </w:rPr>
        <w:t>（1）绩效自评情况。</w:t>
      </w:r>
      <w:r>
        <w:rPr>
          <w:rFonts w:ascii="仿宋_GB2312" w:hAnsi="宋体" w:eastAsia="仿宋_GB2312" w:cs="仿宋_GB2312"/>
          <w:sz w:val="32"/>
          <w:szCs w:val="32"/>
        </w:rPr>
        <w:t>根据预算</w:t>
      </w:r>
      <w:r>
        <w:rPr>
          <w:rFonts w:hint="eastAsia" w:hAnsi="宋体" w:eastAsia="仿宋_GB2312" w:cs="仿宋_GB2312"/>
          <w:sz w:val="32"/>
          <w:szCs w:val="32"/>
        </w:rPr>
        <w:t>绩效</w:t>
      </w:r>
      <w:r>
        <w:rPr>
          <w:rFonts w:ascii="仿宋_GB2312" w:hAnsi="宋体" w:eastAsia="仿宋_GB2312" w:cs="仿宋_GB2312"/>
          <w:sz w:val="32"/>
          <w:szCs w:val="32"/>
        </w:rPr>
        <w:t>管理要求，我</w:t>
      </w:r>
      <w:r>
        <w:rPr>
          <w:rFonts w:hint="eastAsia" w:ascii="仿宋_GB2312" w:hAnsi="宋体" w:eastAsia="仿宋_GB2312" w:cs="仿宋_GB2312"/>
          <w:sz w:val="32"/>
          <w:szCs w:val="32"/>
        </w:rPr>
        <w:t>单位</w:t>
      </w:r>
      <w:r>
        <w:rPr>
          <w:rFonts w:ascii="仿宋_GB2312" w:hAnsi="宋体" w:eastAsia="仿宋_GB2312" w:cs="仿宋_GB2312"/>
          <w:sz w:val="32"/>
          <w:szCs w:val="32"/>
        </w:rPr>
        <w:t>组织对</w:t>
      </w:r>
      <w:r>
        <w:rPr>
          <w:rFonts w:hint="eastAsia" w:ascii="仿宋_GB2312" w:hAnsi="宋体" w:eastAsia="仿宋_GB2312" w:cs="仿宋_GB2312"/>
          <w:sz w:val="32"/>
          <w:szCs w:val="32"/>
        </w:rPr>
        <w:t>2021年度预算开展整体绩效自评，涉及资金1528.22万元，自评100</w:t>
      </w:r>
      <w:r>
        <w:rPr>
          <w:rFonts w:hint="eastAsia" w:ascii="仿宋_GB2312" w:hAnsi="宋体" w:eastAsia="仿宋_GB2312" w:cs="仿宋_GB2312"/>
          <w:sz w:val="32"/>
          <w:szCs w:val="32"/>
          <w:lang w:val="en-US" w:eastAsia="zh-CN"/>
        </w:rPr>
        <w:t>分</w:t>
      </w:r>
      <w:r>
        <w:rPr>
          <w:rFonts w:hint="eastAsia" w:ascii="仿宋_GB2312" w:hAnsi="宋体" w:eastAsia="仿宋_GB2312" w:cs="仿宋_GB2312"/>
          <w:sz w:val="32"/>
          <w:szCs w:val="32"/>
        </w:rPr>
        <w:t>；对2021年度特定目标类项目开展自评，共涉及预算支出项目0个，涉及资金0万元。</w:t>
      </w:r>
    </w:p>
    <w:p>
      <w:pPr>
        <w:widowControl/>
        <w:spacing w:line="520" w:lineRule="exact"/>
        <w:ind w:firstLine="643" w:firstLineChars="200"/>
        <w:jc w:val="left"/>
        <w:rPr>
          <w:rFonts w:hint="eastAsia" w:hAnsi="宋体" w:eastAsia="仿宋_GB2312" w:cs="仿宋_GB2312"/>
          <w:sz w:val="32"/>
          <w:szCs w:val="32"/>
        </w:rPr>
      </w:pPr>
      <w:r>
        <w:rPr>
          <w:rFonts w:hint="eastAsia" w:hAnsi="宋体" w:eastAsia="仿宋_GB2312" w:cs="仿宋_GB2312"/>
          <w:b/>
          <w:bCs/>
          <w:sz w:val="32"/>
          <w:szCs w:val="32"/>
        </w:rPr>
        <w:t>（2）重点项目评价情况。</w:t>
      </w:r>
      <w:r>
        <w:rPr>
          <w:rFonts w:hint="eastAsia" w:hAnsi="宋体" w:eastAsia="仿宋_GB2312" w:cs="仿宋_GB2312"/>
          <w:sz w:val="32"/>
          <w:szCs w:val="32"/>
        </w:rPr>
        <w:t>我单位组织对“职工加班费、广告宣传费、工作业务费、租赁费及殡葬平台维护费、日常墓区维修维护费、墓区绿化费、新建公墓林地补偿款、购置墓碑经费、墓区物业费（政府采购）、偿还墓碑欠款、自收自支人员职业年金、人员类项目、公用经费项目”13个项目开展了重点项目绩效评价，涉及资金1528.22万元。通过部门绩效评价发现主要存在以下问题：</w:t>
      </w:r>
      <w:r>
        <w:rPr>
          <w:rFonts w:hAnsi="宋体" w:eastAsia="仿宋_GB2312" w:cs="仿宋_GB2312"/>
          <w:sz w:val="32"/>
          <w:szCs w:val="32"/>
        </w:rPr>
        <w:t>一是</w:t>
      </w:r>
      <w:r>
        <w:rPr>
          <w:rFonts w:hint="eastAsia" w:hAnsi="宋体" w:eastAsia="仿宋_GB2312" w:cs="仿宋_GB2312"/>
          <w:sz w:val="32"/>
          <w:szCs w:val="32"/>
        </w:rPr>
        <w:t>预算项目支出绩效管理制度不够完善，操作性不强； 二是对预算项目支出绩效管理工作的主动性和积极性需进一步提高。 下一步将采取以下措施加以改进：一是强化预算支出责任意识，增强绩效管理理念;二是完善制度，推进落实;三是加强预算执行的管理，对预算项目绩效进行监控。</w:t>
      </w:r>
    </w:p>
    <w:p>
      <w:pPr>
        <w:widowControl/>
        <w:spacing w:line="520" w:lineRule="exact"/>
        <w:ind w:firstLine="640" w:firstLineChars="200"/>
        <w:jc w:val="left"/>
        <w:rPr>
          <w:rFonts w:ascii="仿宋_GB2312" w:hAnsi="宋体" w:eastAsia="仿宋_GB2312" w:cs="仿宋_GB2312"/>
          <w:sz w:val="32"/>
          <w:szCs w:val="32"/>
        </w:rPr>
      </w:pPr>
    </w:p>
    <w:p>
      <w:pPr>
        <w:widowControl/>
        <w:spacing w:line="520" w:lineRule="exact"/>
        <w:ind w:firstLine="643" w:firstLineChars="200"/>
        <w:jc w:val="left"/>
        <w:rPr>
          <w:rFonts w:ascii="仿宋_GB2312" w:hAnsi="宋体" w:eastAsia="仿宋_GB2312" w:cs="仿宋_GB2312"/>
          <w:b/>
          <w:bCs/>
          <w:sz w:val="32"/>
          <w:szCs w:val="32"/>
        </w:rPr>
      </w:pPr>
      <w:r>
        <w:rPr>
          <w:rFonts w:hint="eastAsia" w:ascii="仿宋_GB2312" w:hAnsi="宋体" w:eastAsia="仿宋_GB2312" w:cs="仿宋_GB2312"/>
          <w:b/>
          <w:bCs/>
          <w:sz w:val="32"/>
          <w:szCs w:val="32"/>
        </w:rPr>
        <w:t>2.部门决算中特定目标类项目绩效自评结果。</w:t>
      </w:r>
    </w:p>
    <w:p>
      <w:pPr>
        <w:widowControl/>
        <w:spacing w:line="520" w:lineRule="exact"/>
        <w:ind w:firstLine="640" w:firstLineChars="200"/>
        <w:jc w:val="left"/>
        <w:rPr>
          <w:rFonts w:ascii="仿宋_GB2312" w:hAnsi="宋体" w:eastAsia="仿宋_GB2312" w:cs="仿宋_GB2312"/>
          <w:sz w:val="32"/>
          <w:szCs w:val="32"/>
        </w:rPr>
      </w:pPr>
      <w:r>
        <w:rPr>
          <w:rFonts w:hint="eastAsia" w:ascii="宋体" w:hAnsi="宋体" w:cs="宋体"/>
          <w:sz w:val="32"/>
          <w:szCs w:val="32"/>
        </w:rPr>
        <w:t>我单位无特定目标类项目</w:t>
      </w:r>
      <w:r>
        <w:rPr>
          <w:rFonts w:hint="eastAsia" w:ascii="仿宋_GB2312" w:hAnsi="宋体" w:eastAsia="仿宋_GB2312" w:cs="仿宋_GB2312"/>
          <w:sz w:val="32"/>
          <w:szCs w:val="32"/>
        </w:rPr>
        <w:t>。</w:t>
      </w:r>
    </w:p>
    <w:p>
      <w:pPr>
        <w:widowControl/>
        <w:jc w:val="both"/>
        <w:rPr>
          <w:rFonts w:hint="eastAsia" w:ascii="仿宋_GB2312" w:hAnsi="宋体" w:eastAsia="仿宋_GB2312" w:cs="仿宋_GB2312"/>
          <w:sz w:val="32"/>
          <w:szCs w:val="32"/>
        </w:rPr>
      </w:pPr>
      <w:r>
        <w:rPr>
          <w:rFonts w:hint="eastAsia" w:ascii="仿宋_GB2312" w:hAnsi="宋体" w:eastAsia="仿宋_GB2312" w:cs="仿宋_GB2312"/>
          <w:sz w:val="32"/>
          <w:szCs w:val="32"/>
        </w:rPr>
        <w:br w:type="page"/>
      </w:r>
    </w:p>
    <w:tbl>
      <w:tblPr>
        <w:tblStyle w:val="4"/>
        <w:tblW w:w="103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4"/>
        <w:gridCol w:w="524"/>
        <w:gridCol w:w="524"/>
        <w:gridCol w:w="510"/>
        <w:gridCol w:w="417"/>
        <w:gridCol w:w="516"/>
        <w:gridCol w:w="417"/>
        <w:gridCol w:w="1016"/>
        <w:gridCol w:w="417"/>
        <w:gridCol w:w="516"/>
        <w:gridCol w:w="588"/>
        <w:gridCol w:w="528"/>
        <w:gridCol w:w="454"/>
        <w:gridCol w:w="454"/>
        <w:gridCol w:w="475"/>
        <w:gridCol w:w="475"/>
        <w:gridCol w:w="425"/>
        <w:gridCol w:w="418"/>
        <w:gridCol w:w="1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365" w:type="dxa"/>
            <w:gridSpan w:val="19"/>
            <w:vMerge w:val="restart"/>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t>部门（单位）整体绩效自评表</w:t>
            </w:r>
          </w:p>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Style w:val="10"/>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365" w:type="dxa"/>
            <w:gridSpan w:val="19"/>
            <w:vMerge w:val="continue"/>
            <w:tcBorders>
              <w:top w:val="nil"/>
              <w:left w:val="nil"/>
              <w:bottom w:val="nil"/>
              <w:right w:val="nil"/>
            </w:tcBorders>
            <w:shd w:val="clear" w:color="auto" w:fill="FFFFFF"/>
            <w:vAlign w:val="center"/>
          </w:tcPr>
          <w:p>
            <w:pPr>
              <w:jc w:val="center"/>
              <w:rPr>
                <w:rFonts w:hint="eastAsia" w:ascii="宋体" w:hAnsi="宋体" w:eastAsia="宋体" w:cs="宋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365" w:type="dxa"/>
            <w:gridSpan w:val="19"/>
            <w:vMerge w:val="continue"/>
            <w:tcBorders>
              <w:top w:val="nil"/>
              <w:left w:val="nil"/>
              <w:bottom w:val="nil"/>
              <w:right w:val="nil"/>
            </w:tcBorders>
            <w:shd w:val="clear" w:color="auto" w:fill="FFFFFF"/>
            <w:vAlign w:val="center"/>
          </w:tcPr>
          <w:p>
            <w:pPr>
              <w:jc w:val="center"/>
              <w:rPr>
                <w:rFonts w:hint="eastAsia" w:ascii="宋体" w:hAnsi="宋体" w:eastAsia="宋体" w:cs="宋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4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部门（单位）名称</w:t>
            </w:r>
          </w:p>
        </w:tc>
        <w:tc>
          <w:tcPr>
            <w:tcW w:w="7965" w:type="dxa"/>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124062盘锦市鹤栖园公墓管理所-211100000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4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部门年初预算收入金额</w:t>
            </w:r>
          </w:p>
        </w:tc>
        <w:tc>
          <w:tcPr>
            <w:tcW w:w="7965" w:type="dxa"/>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4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部门年初预算支出金额</w:t>
            </w:r>
          </w:p>
        </w:tc>
        <w:tc>
          <w:tcPr>
            <w:tcW w:w="7965" w:type="dxa"/>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1528.22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年度主要任务</w:t>
            </w:r>
          </w:p>
        </w:tc>
        <w:tc>
          <w:tcPr>
            <w:tcW w:w="265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工作名称</w:t>
            </w:r>
          </w:p>
        </w:tc>
        <w:tc>
          <w:tcPr>
            <w:tcW w:w="156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对应项目</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项目下达金额</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项目执行金额</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项目执行率</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分值</w:t>
            </w: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得分</w:t>
            </w: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265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保证单位业务工作每天对丧户正常开展。</w:t>
            </w:r>
          </w:p>
        </w:tc>
        <w:tc>
          <w:tcPr>
            <w:tcW w:w="156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职工加班费</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106.19</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106.19</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下达和支出为106.19万元，100%完成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4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265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通过报刊电视电子屏等广告对墓园业务宣传，提升墓碑销售收入。</w:t>
            </w:r>
          </w:p>
        </w:tc>
        <w:tc>
          <w:tcPr>
            <w:tcW w:w="156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广告宣传费</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26.32</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26.32</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下达和支出26.32万元，100%完成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265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用于提供丧户良好的业务服务，实行文明祭祀。</w:t>
            </w:r>
          </w:p>
        </w:tc>
        <w:tc>
          <w:tcPr>
            <w:tcW w:w="156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工作业务费</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下达和支出40万元，100%完成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265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维持墓园设施设备正常运转，业务工作正常运营。</w:t>
            </w:r>
          </w:p>
        </w:tc>
        <w:tc>
          <w:tcPr>
            <w:tcW w:w="156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日常墓区维修维护费</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56.5</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56.5</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下达和支出56.5万元，100%完成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265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扩建墓区实现绿化覆盖。</w:t>
            </w:r>
          </w:p>
        </w:tc>
        <w:tc>
          <w:tcPr>
            <w:tcW w:w="156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墓区绿化费</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下达和支出35元，完成率100%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265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按照年均销售量和增长比合理规划墓区扩建。</w:t>
            </w:r>
          </w:p>
        </w:tc>
        <w:tc>
          <w:tcPr>
            <w:tcW w:w="156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新建公墓林地补偿款</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下达和完成35万元，100%完成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265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保证采购量满足丧户需求，实现销售收入目标，多创收。</w:t>
            </w:r>
          </w:p>
        </w:tc>
        <w:tc>
          <w:tcPr>
            <w:tcW w:w="156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购置墓碑经费</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569.24</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569.24</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下达和支出569.24万元，完成率100%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02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265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通过政府采购签订合同，保障墓园的安全保障和保洁工作。</w:t>
            </w:r>
          </w:p>
        </w:tc>
        <w:tc>
          <w:tcPr>
            <w:tcW w:w="156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墓区物业费（政府采购）</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下达和支出56万元（政府采购按合同履约2个季度），完成率100%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2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265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尽量突破收入目标，实现创收，用财政返还经费偿还欠款。</w:t>
            </w:r>
          </w:p>
        </w:tc>
        <w:tc>
          <w:tcPr>
            <w:tcW w:w="156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偿还墓碑欠款</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347.23</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347.23</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下达和支出347.23万元，100%完成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6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265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按比例缴交，按科目用途执行，若有因四舍五入计算造成的结余上缴财政。</w:t>
            </w:r>
          </w:p>
        </w:tc>
        <w:tc>
          <w:tcPr>
            <w:tcW w:w="156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自收自支人员职业年金</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下达和支出6.29万元，完成率100%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0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265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人员类经费严格按照科目用途执行，年末结余资金上缴。</w:t>
            </w:r>
          </w:p>
        </w:tc>
        <w:tc>
          <w:tcPr>
            <w:tcW w:w="156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人员类项目</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261.24945</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261.24</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2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265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公用经费控制不超支，年末若有结余资金上缴。</w:t>
            </w:r>
          </w:p>
        </w:tc>
        <w:tc>
          <w:tcPr>
            <w:tcW w:w="156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公用经费项目</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45.625859</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45.62</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265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实现免费接送丧户及网络祭祀.的服务。</w:t>
            </w:r>
          </w:p>
        </w:tc>
        <w:tc>
          <w:tcPr>
            <w:tcW w:w="156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租赁费及殡葬平台维护费</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47.62</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47.62</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下达和支出47.62万元，完成率100%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年度目标</w:t>
            </w:r>
          </w:p>
        </w:tc>
        <w:tc>
          <w:tcPr>
            <w:tcW w:w="4725"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年初总体目标</w:t>
            </w:r>
          </w:p>
        </w:tc>
        <w:tc>
          <w:tcPr>
            <w:tcW w:w="5145"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全年完成情况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4725"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项目性支出执行率至少达到90%。</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基本性支出符合科目分类，结余资金及时上缴财政。</w:t>
            </w:r>
          </w:p>
        </w:tc>
        <w:tc>
          <w:tcPr>
            <w:tcW w:w="5145"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人员经费和公用经费下达和支出数及科目一致，100%完成。</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经营支出下达和支出数（基本户）一致，100%完成。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95" w:type="dxa"/>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绩效指标</w:t>
            </w:r>
          </w:p>
        </w:tc>
        <w:tc>
          <w:tcPr>
            <w:tcW w:w="645"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645"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615"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375"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运算符号</w:t>
            </w:r>
          </w:p>
        </w:tc>
        <w:tc>
          <w:tcPr>
            <w:tcW w:w="375"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指标值</w:t>
            </w:r>
          </w:p>
        </w:tc>
        <w:tc>
          <w:tcPr>
            <w:tcW w:w="390"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度量单位</w:t>
            </w:r>
          </w:p>
        </w:tc>
        <w:tc>
          <w:tcPr>
            <w:tcW w:w="390"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全年完成值</w:t>
            </w:r>
          </w:p>
        </w:tc>
        <w:tc>
          <w:tcPr>
            <w:tcW w:w="390"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完成程度</w:t>
            </w:r>
          </w:p>
        </w:tc>
        <w:tc>
          <w:tcPr>
            <w:tcW w:w="390"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分值</w:t>
            </w:r>
          </w:p>
        </w:tc>
        <w:tc>
          <w:tcPr>
            <w:tcW w:w="510"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得分</w:t>
            </w:r>
          </w:p>
        </w:tc>
        <w:tc>
          <w:tcPr>
            <w:tcW w:w="2580" w:type="dxa"/>
            <w:gridSpan w:val="5"/>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偏差原因分析</w:t>
            </w:r>
          </w:p>
        </w:tc>
        <w:tc>
          <w:tcPr>
            <w:tcW w:w="2565"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60" w:hRule="atLeast"/>
        </w:trPr>
        <w:tc>
          <w:tcPr>
            <w:tcW w:w="49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45"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45"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15"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75"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75"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90"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90"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90"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390"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10"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经费保障原因分析</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制度保障原因分析</w:t>
            </w: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人员保障原因分析</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硬件条件保障原因分析</w:t>
            </w: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其他原因分析</w:t>
            </w:r>
          </w:p>
        </w:tc>
        <w:tc>
          <w:tcPr>
            <w:tcW w:w="2565"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60" w:hRule="atLeast"/>
        </w:trPr>
        <w:tc>
          <w:tcPr>
            <w:tcW w:w="49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履职效能</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重点工作履行情况</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重点工作办结率</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56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60" w:hRule="atLeast"/>
        </w:trPr>
        <w:tc>
          <w:tcPr>
            <w:tcW w:w="49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整体工作完成情况</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总体工作完成率</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56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400" w:hRule="atLeast"/>
        </w:trPr>
        <w:tc>
          <w:tcPr>
            <w:tcW w:w="49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基础管理</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综合管理水平</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管理规范</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56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0" w:hRule="atLeast"/>
        </w:trPr>
        <w:tc>
          <w:tcPr>
            <w:tcW w:w="49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预算执行效率</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106.8</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56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200" w:hRule="atLeast"/>
        </w:trPr>
        <w:tc>
          <w:tcPr>
            <w:tcW w:w="49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管理效率</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预算编制管理</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预算绩效目标覆盖率</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56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400" w:hRule="atLeast"/>
        </w:trPr>
        <w:tc>
          <w:tcPr>
            <w:tcW w:w="49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预算监督管理</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预决算公开情况</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全部公开</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56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400" w:hRule="atLeast"/>
        </w:trPr>
        <w:tc>
          <w:tcPr>
            <w:tcW w:w="49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预算收支管理</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预算收入管理规范性</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按时上缴</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56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400" w:hRule="atLeast"/>
        </w:trPr>
        <w:tc>
          <w:tcPr>
            <w:tcW w:w="49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预算支出管理规范性</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不超支</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56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400" w:hRule="atLeast"/>
        </w:trPr>
        <w:tc>
          <w:tcPr>
            <w:tcW w:w="49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财务管理</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内控制度有效性</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符合制度</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56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60" w:hRule="atLeast"/>
        </w:trPr>
        <w:tc>
          <w:tcPr>
            <w:tcW w:w="49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资产管理</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固定资产利用率</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56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20" w:hRule="atLeast"/>
        </w:trPr>
        <w:tc>
          <w:tcPr>
            <w:tcW w:w="49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业务管理</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政府采购管理违法违规行为发生次数</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次</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56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200" w:hRule="atLeast"/>
        </w:trPr>
        <w:tc>
          <w:tcPr>
            <w:tcW w:w="49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运行成本</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成本控制成效</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人均公用经费变动率</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&lt;=</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56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440" w:hRule="atLeast"/>
        </w:trPr>
        <w:tc>
          <w:tcPr>
            <w:tcW w:w="49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社会效应</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开展生态环保宣传工作次数</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次</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56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60" w:hRule="atLeast"/>
        </w:trPr>
        <w:tc>
          <w:tcPr>
            <w:tcW w:w="49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56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400" w:hRule="atLeast"/>
        </w:trPr>
        <w:tc>
          <w:tcPr>
            <w:tcW w:w="495" w:type="dxa"/>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可持续性</w:t>
            </w:r>
          </w:p>
        </w:tc>
        <w:tc>
          <w:tcPr>
            <w:tcW w:w="6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创新驱动发展</w:t>
            </w:r>
          </w:p>
        </w:tc>
        <w:tc>
          <w:tcPr>
            <w:tcW w:w="6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建立可持续发展方案</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高效可行</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56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总评价得分</w:t>
            </w:r>
          </w:p>
        </w:tc>
        <w:tc>
          <w:tcPr>
            <w:tcW w:w="0" w:type="auto"/>
            <w:gridSpan w:val="8"/>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bl>
    <w:p>
      <w:pPr>
        <w:widowControl/>
        <w:jc w:val="both"/>
        <w:rPr>
          <w:rFonts w:ascii="仿宋_GB2312" w:hAnsi="宋体" w:eastAsia="仿宋_GB2312" w:cs="仿宋_GB2312"/>
          <w:sz w:val="32"/>
          <w:szCs w:val="32"/>
        </w:rPr>
      </w:pPr>
      <w:r>
        <w:rPr>
          <w:rFonts w:hint="eastAsia" w:ascii="仿宋_GB2312" w:hAnsi="宋体" w:eastAsia="仿宋_GB2312" w:cs="仿宋_GB2312"/>
          <w:sz w:val="32"/>
          <w:szCs w:val="32"/>
        </w:rPr>
        <w:br w:type="page"/>
      </w:r>
      <w:r>
        <w:rPr>
          <w:rFonts w:hint="eastAsia" w:ascii="宋体" w:hAnsi="宋体"/>
          <w:b/>
          <w:sz w:val="36"/>
          <w:szCs w:val="36"/>
        </w:rPr>
        <w:t>第三部分 名词解释</w:t>
      </w:r>
    </w:p>
    <w:p>
      <w:pPr>
        <w:spacing w:line="540" w:lineRule="exact"/>
        <w:jc w:val="center"/>
        <w:rPr>
          <w:rFonts w:ascii="宋体" w:hAnsi="宋体"/>
          <w:b/>
          <w:sz w:val="36"/>
          <w:szCs w:val="36"/>
        </w:rPr>
      </w:pP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1.财政拨款收入：</w:t>
      </w:r>
      <w:r>
        <w:rPr>
          <w:rFonts w:hint="eastAsia" w:ascii="仿宋_GB2312" w:eastAsia="仿宋_GB2312"/>
          <w:sz w:val="32"/>
          <w:szCs w:val="32"/>
        </w:rPr>
        <w:t>指单位从同级财政部门取得的财政预算资金。</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2.上级补助收入：</w:t>
      </w:r>
      <w:r>
        <w:rPr>
          <w:rFonts w:hint="eastAsia" w:ascii="仿宋_GB2312" w:eastAsia="仿宋_GB2312"/>
          <w:sz w:val="32"/>
          <w:szCs w:val="32"/>
        </w:rPr>
        <w:t>指单位从主管部门和上级单位取得的非财政性补助收入。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3.事业收入：</w:t>
      </w:r>
      <w:r>
        <w:rPr>
          <w:rFonts w:hint="eastAsia" w:ascii="仿宋_GB2312" w:eastAsia="仿宋_GB2312"/>
          <w:sz w:val="32"/>
          <w:szCs w:val="32"/>
        </w:rPr>
        <w:t>指事业单位开展专业业务活动及辅助活动所取得的收入。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4.经营收入：</w:t>
      </w:r>
      <w:r>
        <w:rPr>
          <w:rFonts w:hint="eastAsia" w:ascii="仿宋_GB2312" w:eastAsia="仿宋_GB2312"/>
          <w:sz w:val="32"/>
          <w:szCs w:val="32"/>
        </w:rPr>
        <w:t>指事业单位在专业业务活动及辅助活动之外开展非独立核算经营活动取得的收入。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5.附属单位上缴收入：</w:t>
      </w:r>
      <w:r>
        <w:rPr>
          <w:rFonts w:hint="eastAsia" w:ascii="仿宋_GB2312" w:eastAsia="仿宋_GB2312"/>
          <w:sz w:val="32"/>
          <w:szCs w:val="32"/>
        </w:rPr>
        <w:t>指单位附属的独立核算单位按照规定上缴的收入。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6.其他收入：</w:t>
      </w:r>
      <w:r>
        <w:rPr>
          <w:rFonts w:hint="eastAsia" w:ascii="仿宋_GB2312" w:eastAsia="仿宋_GB2312"/>
          <w:sz w:val="32"/>
          <w:szCs w:val="32"/>
        </w:rPr>
        <w:t>指除上述“财政拨款收入”、</w:t>
      </w:r>
      <w:r>
        <w:rPr>
          <w:rFonts w:hint="eastAsia" w:ascii="仿宋_GB2312" w:eastAsia="仿宋_GB2312"/>
          <w:b/>
          <w:sz w:val="32"/>
          <w:szCs w:val="32"/>
        </w:rPr>
        <w:t xml:space="preserve"> </w:t>
      </w:r>
      <w:r>
        <w:rPr>
          <w:rFonts w:hint="eastAsia" w:ascii="仿宋_GB2312" w:eastAsia="仿宋_GB2312"/>
          <w:sz w:val="32"/>
          <w:szCs w:val="32"/>
        </w:rPr>
        <w:t>“上级补助收入”、“事业收入”、“经营收入”、“附属单位上缴收入”等以外的收入。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7.使用非财政拨款结余：</w:t>
      </w:r>
      <w:r>
        <w:rPr>
          <w:rFonts w:hint="eastAsia" w:ascii="仿宋_GB2312" w:eastAsia="仿宋_GB2312"/>
          <w:sz w:val="32"/>
          <w:szCs w:val="32"/>
        </w:rPr>
        <w:t>指事业单位按照预算管理要求使用非财政拨款结余弥补收支差额的金额。</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8.上年结转和结余：</w:t>
      </w:r>
      <w:r>
        <w:rPr>
          <w:rFonts w:hint="eastAsia" w:ascii="仿宋_GB2312" w:eastAsia="仿宋_GB2312"/>
          <w:sz w:val="32"/>
          <w:szCs w:val="32"/>
        </w:rPr>
        <w:t>指以前年度尚未完成、结转到本年按有关规定继续使用的资金。</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9.基本支出：</w:t>
      </w:r>
      <w:r>
        <w:rPr>
          <w:rFonts w:hint="eastAsia" w:ascii="仿宋_GB2312" w:eastAsia="仿宋_GB2312"/>
          <w:sz w:val="32"/>
          <w:szCs w:val="32"/>
        </w:rPr>
        <w:t>指保障机构正常运转、完成日常工作任务而发生的人员支出和公用支出。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10.项目支出：</w:t>
      </w:r>
      <w:r>
        <w:rPr>
          <w:rFonts w:hint="eastAsia" w:ascii="仿宋_GB2312" w:eastAsia="仿宋_GB2312"/>
          <w:sz w:val="32"/>
          <w:szCs w:val="32"/>
        </w:rPr>
        <w:t>指在基本支出之外为完成特定行政任务和事业发展目标所发生的支出。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11.上缴上级支出：</w:t>
      </w:r>
      <w:r>
        <w:rPr>
          <w:rFonts w:hint="eastAsia" w:ascii="仿宋_GB2312" w:eastAsia="仿宋_GB2312"/>
          <w:sz w:val="32"/>
          <w:szCs w:val="32"/>
        </w:rPr>
        <w:t>指事业单位按照财政部门和主管部门的规定上缴上级单位的支出。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12.经营支出：</w:t>
      </w:r>
      <w:r>
        <w:rPr>
          <w:rFonts w:hint="eastAsia" w:ascii="仿宋_GB2312" w:eastAsia="仿宋_GB2312"/>
          <w:sz w:val="32"/>
          <w:szCs w:val="32"/>
        </w:rPr>
        <w:t>指事业单位在专业活动及辅助活动之外开展非独立核算经营活动发生的支出。</w:t>
      </w:r>
    </w:p>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13.对附属单位补助支出：</w:t>
      </w:r>
      <w:r>
        <w:rPr>
          <w:rFonts w:hint="eastAsia" w:ascii="仿宋_GB2312" w:eastAsia="仿宋_GB2312"/>
          <w:sz w:val="32"/>
          <w:szCs w:val="32"/>
        </w:rPr>
        <w:t>指事业单位用财政补助收入之外的收入对附属单位补助发生的支出。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14.“三公”经费：</w:t>
      </w:r>
      <w:r>
        <w:rPr>
          <w:rFonts w:hint="eastAsia" w:ascii="仿宋_GB2312" w:eastAsia="仿宋_GB2312"/>
          <w:sz w:val="32"/>
          <w:szCs w:val="32"/>
        </w:rPr>
        <w:t>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spacing w:line="540" w:lineRule="exact"/>
        <w:ind w:firstLine="643" w:firstLineChars="200"/>
        <w:rPr>
          <w:rFonts w:ascii="仿宋_GB2312" w:eastAsia="仿宋_GB2312"/>
          <w:sz w:val="32"/>
          <w:szCs w:val="32"/>
        </w:rPr>
      </w:pPr>
      <w:r>
        <w:rPr>
          <w:rFonts w:hint="eastAsia" w:ascii="仿宋_GB2312" w:eastAsia="仿宋_GB2312"/>
          <w:b/>
          <w:bCs/>
          <w:sz w:val="32"/>
          <w:szCs w:val="32"/>
        </w:rPr>
        <w:t>15.机关运行经费：</w:t>
      </w:r>
      <w:r>
        <w:rPr>
          <w:rFonts w:hint="eastAsia" w:ascii="仿宋_GB2312" w:eastAsia="仿宋_GB2312"/>
          <w:sz w:val="32"/>
          <w:szCs w:val="32"/>
        </w:rPr>
        <w:t>指为保障行政单位和参照公务员法管理的事业单位运行，使用一般公共预算财政拨款安排的基本支出中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3" w:firstLineChars="200"/>
        <w:rPr>
          <w:rFonts w:hint="eastAsia" w:ascii="仿宋_GB2312" w:eastAsia="仿宋_GB2312"/>
          <w:sz w:val="32"/>
          <w:szCs w:val="32"/>
        </w:rPr>
      </w:pPr>
      <w:r>
        <w:rPr>
          <w:rFonts w:hint="eastAsia" w:ascii="仿宋_GB2312" w:eastAsia="仿宋_GB2312"/>
          <w:b/>
          <w:bCs/>
          <w:sz w:val="32"/>
          <w:szCs w:val="32"/>
        </w:rPr>
        <w:t>16.社会保障和就业支出（类）行政事业单位养老支出（款）事业单位离退休（项）</w:t>
      </w:r>
      <w:r>
        <w:rPr>
          <w:rFonts w:hint="eastAsia" w:ascii="仿宋_GB2312" w:eastAsia="仿宋_GB2312"/>
          <w:sz w:val="32"/>
          <w:szCs w:val="32"/>
        </w:rPr>
        <w:t>：反映事业单位开支的离退休经费。</w:t>
      </w:r>
    </w:p>
    <w:p>
      <w:pPr>
        <w:spacing w:line="540" w:lineRule="exact"/>
        <w:ind w:firstLine="643" w:firstLineChars="200"/>
        <w:rPr>
          <w:rFonts w:hint="eastAsia" w:ascii="仿宋_GB2312" w:eastAsia="仿宋_GB2312"/>
          <w:sz w:val="32"/>
          <w:szCs w:val="32"/>
        </w:rPr>
      </w:pPr>
      <w:r>
        <w:rPr>
          <w:rFonts w:hint="eastAsia" w:ascii="仿宋_GB2312" w:eastAsia="仿宋_GB2312"/>
          <w:b/>
          <w:bCs/>
          <w:sz w:val="32"/>
          <w:szCs w:val="32"/>
        </w:rPr>
        <w:t>17.社会保障和就业支出（类）行政事业单位养老支出（款）机关事业单位基本养老保险缴费支出（项）：</w:t>
      </w:r>
      <w:r>
        <w:rPr>
          <w:rFonts w:hint="eastAsia" w:ascii="仿宋_GB2312" w:eastAsia="仿宋_GB2312"/>
          <w:sz w:val="32"/>
          <w:szCs w:val="32"/>
        </w:rPr>
        <w:t>反映机关事业单位实施养老保险制度由单位缴纳的基本养老保险费支出。</w:t>
      </w:r>
    </w:p>
    <w:p>
      <w:pPr>
        <w:spacing w:line="540" w:lineRule="exact"/>
        <w:ind w:firstLine="643" w:firstLineChars="200"/>
        <w:rPr>
          <w:rFonts w:hint="eastAsia" w:ascii="仿宋_GB2312" w:eastAsia="仿宋_GB2312"/>
          <w:sz w:val="32"/>
          <w:szCs w:val="32"/>
        </w:rPr>
      </w:pPr>
      <w:r>
        <w:rPr>
          <w:rFonts w:hint="eastAsia" w:ascii="仿宋_GB2312" w:eastAsia="仿宋_GB2312"/>
          <w:b/>
          <w:bCs/>
          <w:sz w:val="32"/>
          <w:szCs w:val="32"/>
        </w:rPr>
        <w:t>18.社会保障和就业支出（类）行政事业单位养老支出（款）机关事业单位职业年金缴费支出（项）</w:t>
      </w:r>
      <w:r>
        <w:rPr>
          <w:rFonts w:hint="eastAsia" w:ascii="仿宋_GB2312" w:eastAsia="仿宋_GB2312"/>
          <w:sz w:val="32"/>
          <w:szCs w:val="32"/>
        </w:rPr>
        <w:t>：反映机关事业单位实施养老保险制度由单位实际缴纳的职业年金支出。</w:t>
      </w:r>
    </w:p>
    <w:p>
      <w:pPr>
        <w:spacing w:line="540" w:lineRule="exact"/>
        <w:ind w:firstLine="643" w:firstLineChars="200"/>
        <w:rPr>
          <w:rFonts w:hint="eastAsia" w:ascii="仿宋_GB2312" w:eastAsia="仿宋_GB2312"/>
          <w:sz w:val="32"/>
          <w:szCs w:val="32"/>
        </w:rPr>
      </w:pPr>
      <w:r>
        <w:rPr>
          <w:rFonts w:hint="eastAsia" w:ascii="仿宋_GB2312" w:eastAsia="仿宋_GB2312"/>
          <w:b/>
          <w:bCs/>
          <w:sz w:val="32"/>
          <w:szCs w:val="32"/>
        </w:rPr>
        <w:t>19.社会保障和就业支出（类）抚恤（款）伤残抚恤（项）：</w:t>
      </w:r>
      <w:r>
        <w:rPr>
          <w:rFonts w:hint="eastAsia" w:ascii="仿宋_GB2312" w:eastAsia="仿宋_GB2312"/>
          <w:sz w:val="32"/>
          <w:szCs w:val="32"/>
        </w:rPr>
        <w:t>反映按规定用于伤残人员的抚恤金和按规定开支的各种伤残补助费。</w:t>
      </w:r>
    </w:p>
    <w:p>
      <w:pPr>
        <w:spacing w:line="540" w:lineRule="exact"/>
        <w:ind w:firstLine="643" w:firstLineChars="200"/>
        <w:rPr>
          <w:rFonts w:hint="eastAsia" w:ascii="仿宋_GB2312" w:eastAsia="仿宋_GB2312"/>
          <w:sz w:val="32"/>
          <w:szCs w:val="32"/>
        </w:rPr>
      </w:pPr>
      <w:r>
        <w:rPr>
          <w:rFonts w:hint="eastAsia" w:ascii="仿宋_GB2312" w:eastAsia="仿宋_GB2312"/>
          <w:b/>
          <w:bCs/>
          <w:sz w:val="32"/>
          <w:szCs w:val="32"/>
        </w:rPr>
        <w:t>20.社会保障和就业支出（类）社会福利（款）殡葬（项）：</w:t>
      </w:r>
      <w:r>
        <w:rPr>
          <w:rFonts w:hint="eastAsia" w:ascii="仿宋_GB2312" w:eastAsia="仿宋_GB2312"/>
          <w:sz w:val="32"/>
          <w:szCs w:val="32"/>
        </w:rPr>
        <w:t>反映殡葬管理和殡葬服务方面的支出，包括民政部门直属的殡仪馆、公墓、殡葬管理服务机构的支出。</w:t>
      </w:r>
    </w:p>
    <w:p>
      <w:pPr>
        <w:spacing w:line="540" w:lineRule="exact"/>
        <w:ind w:firstLine="643" w:firstLineChars="200"/>
        <w:rPr>
          <w:rFonts w:hint="eastAsia" w:ascii="仿宋_GB2312" w:eastAsia="仿宋_GB2312"/>
          <w:b/>
          <w:bCs/>
          <w:sz w:val="32"/>
          <w:szCs w:val="32"/>
        </w:rPr>
      </w:pPr>
      <w:r>
        <w:rPr>
          <w:rFonts w:hint="eastAsia" w:ascii="仿宋_GB2312" w:eastAsia="仿宋_GB2312"/>
          <w:b/>
          <w:bCs/>
          <w:sz w:val="32"/>
          <w:szCs w:val="32"/>
        </w:rPr>
        <w:t>21.社会保障和就业支出（类）社会福利（款）社会福利事业单位（项）：</w:t>
      </w:r>
      <w:r>
        <w:rPr>
          <w:rFonts w:hint="eastAsia" w:ascii="仿宋_GB2312" w:eastAsia="仿宋_GB2312"/>
          <w:b w:val="0"/>
          <w:bCs w:val="0"/>
          <w:sz w:val="32"/>
          <w:szCs w:val="32"/>
        </w:rPr>
        <w:t>反映民政部门举办的社会福利事业单位的支出，以及对集体社会福利事业单位的补助费。</w:t>
      </w:r>
    </w:p>
    <w:p>
      <w:pPr>
        <w:spacing w:line="540" w:lineRule="exact"/>
        <w:ind w:firstLine="643" w:firstLineChars="200"/>
        <w:rPr>
          <w:rFonts w:hint="eastAsia" w:ascii="仿宋_GB2312" w:eastAsia="仿宋_GB2312"/>
          <w:b w:val="0"/>
          <w:bCs w:val="0"/>
          <w:sz w:val="32"/>
          <w:szCs w:val="32"/>
        </w:rPr>
      </w:pPr>
      <w:r>
        <w:rPr>
          <w:rFonts w:hint="eastAsia" w:ascii="仿宋_GB2312" w:eastAsia="仿宋_GB2312"/>
          <w:b/>
          <w:bCs/>
          <w:sz w:val="32"/>
          <w:szCs w:val="32"/>
        </w:rPr>
        <w:t>22.社会保障和就业支出（类）其他社会保障和就业支出（款）其他社会保障和就业支出（项）：</w:t>
      </w:r>
      <w:r>
        <w:rPr>
          <w:rFonts w:hint="eastAsia" w:ascii="仿宋_GB2312" w:eastAsia="仿宋_GB2312"/>
          <w:b w:val="0"/>
          <w:bCs w:val="0"/>
          <w:sz w:val="32"/>
          <w:szCs w:val="32"/>
        </w:rPr>
        <w:t>反映除上述项目以外其他用于社会保障和就业方面的支出。</w:t>
      </w:r>
    </w:p>
    <w:p>
      <w:pPr>
        <w:spacing w:line="540" w:lineRule="exact"/>
        <w:ind w:firstLine="643" w:firstLineChars="200"/>
        <w:rPr>
          <w:rFonts w:hint="eastAsia" w:ascii="仿宋_GB2312" w:eastAsia="仿宋_GB2312"/>
          <w:b/>
          <w:bCs/>
          <w:sz w:val="32"/>
          <w:szCs w:val="32"/>
        </w:rPr>
      </w:pPr>
      <w:r>
        <w:rPr>
          <w:rFonts w:hint="eastAsia" w:ascii="仿宋_GB2312" w:eastAsia="仿宋_GB2312"/>
          <w:b/>
          <w:bCs/>
          <w:sz w:val="32"/>
          <w:szCs w:val="32"/>
        </w:rPr>
        <w:t>23.卫生健康支出（类）行政事业单位医疗（款）事业单位医疗（项）：</w:t>
      </w:r>
      <w:r>
        <w:rPr>
          <w:rFonts w:hint="eastAsia" w:ascii="仿宋_GB2312" w:eastAsia="仿宋_GB2312"/>
          <w:b w:val="0"/>
          <w:bCs w:val="0"/>
          <w:sz w:val="32"/>
          <w:szCs w:val="32"/>
        </w:rPr>
        <w:t>反映财政部门安排的事业单位基本医疗保险缴费经费，未参加医疗保险的事业单位的公费医疗经费，按国家规定享受离休人员待遇人员的医疗经费。</w:t>
      </w:r>
    </w:p>
    <w:p>
      <w:pPr>
        <w:spacing w:line="540" w:lineRule="exact"/>
        <w:ind w:firstLine="643" w:firstLineChars="200"/>
        <w:rPr>
          <w:rFonts w:hint="eastAsia" w:ascii="仿宋_GB2312" w:eastAsia="仿宋_GB2312"/>
          <w:b w:val="0"/>
          <w:bCs w:val="0"/>
          <w:sz w:val="32"/>
          <w:szCs w:val="32"/>
        </w:rPr>
      </w:pPr>
      <w:r>
        <w:rPr>
          <w:rFonts w:hint="eastAsia" w:ascii="仿宋_GB2312" w:eastAsia="仿宋_GB2312"/>
          <w:b/>
          <w:bCs/>
          <w:sz w:val="32"/>
          <w:szCs w:val="32"/>
        </w:rPr>
        <w:t>24.卫生健康支出（类）行政事业单位医疗（款）其他行政事业单位医疗支出（项）：</w:t>
      </w:r>
      <w:r>
        <w:rPr>
          <w:rFonts w:hint="eastAsia" w:ascii="仿宋_GB2312" w:eastAsia="仿宋_GB2312"/>
          <w:b w:val="0"/>
          <w:bCs w:val="0"/>
          <w:sz w:val="32"/>
          <w:szCs w:val="32"/>
        </w:rPr>
        <w:t>反映除上述项目以外的其他用于行政事业单位医疗方面的支出。</w:t>
      </w:r>
    </w:p>
    <w:p>
      <w:pPr>
        <w:spacing w:line="540" w:lineRule="exact"/>
        <w:ind w:firstLine="643" w:firstLineChars="200"/>
        <w:rPr>
          <w:rFonts w:hint="eastAsia" w:ascii="仿宋_GB2312" w:eastAsia="仿宋_GB2312"/>
          <w:b/>
          <w:bCs/>
          <w:sz w:val="32"/>
          <w:szCs w:val="32"/>
        </w:rPr>
      </w:pPr>
      <w:r>
        <w:rPr>
          <w:rFonts w:hint="eastAsia" w:ascii="仿宋_GB2312" w:eastAsia="仿宋_GB2312"/>
          <w:b/>
          <w:bCs/>
          <w:sz w:val="32"/>
          <w:szCs w:val="32"/>
        </w:rPr>
        <w:t>25.住房保障支出（类）住房改革支出（款）住房公积金（项）：</w:t>
      </w:r>
      <w:r>
        <w:rPr>
          <w:rFonts w:hint="eastAsia" w:ascii="仿宋_GB2312" w:eastAsia="仿宋_GB2312"/>
          <w:b w:val="0"/>
          <w:bCs w:val="0"/>
          <w:sz w:val="32"/>
          <w:szCs w:val="32"/>
        </w:rPr>
        <w:t>反映行政事业单位按人力资源和社会保障部、财政部规定的基本工资和津贴补贴以及规定比例为职工缴纳的住房公积金。</w:t>
      </w:r>
    </w:p>
    <w:p>
      <w:pPr>
        <w:spacing w:line="540" w:lineRule="exact"/>
        <w:ind w:firstLine="643" w:firstLineChars="200"/>
        <w:rPr>
          <w:rFonts w:hint="eastAsia" w:ascii="仿宋_GB2312" w:eastAsia="仿宋_GB2312"/>
          <w:b w:val="0"/>
          <w:bCs w:val="0"/>
          <w:sz w:val="32"/>
          <w:szCs w:val="32"/>
        </w:rPr>
        <w:sectPr>
          <w:footerReference r:id="rId3" w:type="default"/>
          <w:footerReference r:id="rId4" w:type="even"/>
          <w:pgSz w:w="11906" w:h="16838"/>
          <w:pgMar w:top="1701" w:right="1417" w:bottom="1701" w:left="1417" w:header="851" w:footer="992" w:gutter="0"/>
          <w:cols w:space="720" w:num="1"/>
          <w:docGrid w:type="lines" w:linePitch="312" w:charSpace="0"/>
        </w:sectPr>
      </w:pPr>
      <w:r>
        <w:rPr>
          <w:rFonts w:hint="eastAsia" w:ascii="仿宋_GB2312" w:eastAsia="仿宋_GB2312"/>
          <w:b/>
          <w:bCs/>
          <w:sz w:val="32"/>
          <w:szCs w:val="32"/>
        </w:rPr>
        <w:t>26.其他支出（类）彩票公益金安排的支出（款）用于社会福利的彩票公益金支出（项）：</w:t>
      </w:r>
      <w:r>
        <w:rPr>
          <w:rFonts w:hint="eastAsia" w:ascii="仿宋_GB2312" w:eastAsia="仿宋_GB2312"/>
          <w:b w:val="0"/>
          <w:bCs w:val="0"/>
          <w:sz w:val="32"/>
          <w:szCs w:val="32"/>
        </w:rPr>
        <w:t>反映用于社会福利和社会救助的彩票公益金支出</w:t>
      </w:r>
      <w:r>
        <w:rPr>
          <w:rFonts w:hint="eastAsia" w:ascii="仿宋_GB2312" w:eastAsia="仿宋_GB2312"/>
          <w:b w:val="0"/>
          <w:bCs w:val="0"/>
          <w:sz w:val="32"/>
          <w:szCs w:val="32"/>
          <w:lang w:eastAsia="zh-CN"/>
        </w:rPr>
        <w:t>。</w:t>
      </w:r>
    </w:p>
    <w:p>
      <w:pPr>
        <w:spacing w:line="540" w:lineRule="exact"/>
        <w:jc w:val="both"/>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仿宋_GB2312" w:eastAsia="仿宋_GB2312"/>
          <w:sz w:val="52"/>
          <w:szCs w:val="52"/>
        </w:rPr>
      </w:pPr>
      <w:r>
        <w:rPr>
          <w:rFonts w:hint="eastAsia" w:ascii="宋体" w:hAnsi="宋体"/>
          <w:b/>
          <w:sz w:val="52"/>
          <w:szCs w:val="52"/>
        </w:rPr>
        <w:t>第四部分 2021年度部门决算表</w:t>
      </w:r>
    </w:p>
    <w:p>
      <w:pPr>
        <w:spacing w:line="540" w:lineRule="exact"/>
        <w:jc w:val="center"/>
        <w:rPr>
          <w:sz w:val="32"/>
          <w:szCs w:val="32"/>
        </w:rPr>
      </w:pPr>
    </w:p>
    <w:p>
      <w:pPr>
        <w:spacing w:line="540" w:lineRule="exact"/>
        <w:ind w:left="319" w:leftChars="152" w:firstLine="320" w:firstLineChars="100"/>
        <w:rPr>
          <w:rFonts w:ascii="仿宋_GB2312" w:eastAsia="仿宋_GB2312"/>
          <w:sz w:val="32"/>
          <w:szCs w:val="32"/>
        </w:rPr>
      </w:pPr>
      <w:r>
        <w:rPr>
          <w:rFonts w:hint="eastAsia" w:ascii="仿宋_GB2312" w:eastAsia="仿宋_GB2312"/>
          <w:sz w:val="32"/>
          <w:szCs w:val="32"/>
        </w:rPr>
        <w:t>详见：《</w:t>
      </w:r>
      <w:r>
        <w:rPr>
          <w:rFonts w:hint="eastAsia" w:ascii="仿宋_GB2312" w:hAnsi="仿宋" w:eastAsia="仿宋_GB2312"/>
          <w:sz w:val="32"/>
          <w:szCs w:val="32"/>
        </w:rPr>
        <w:t>盘锦市鹤栖园公墓管理所</w:t>
      </w:r>
      <w:r>
        <w:rPr>
          <w:rFonts w:hint="eastAsia" w:ascii="仿宋_GB2312" w:eastAsia="仿宋_GB2312"/>
          <w:sz w:val="32"/>
          <w:szCs w:val="32"/>
        </w:rPr>
        <w:t>2021年度决算公开表》</w:t>
      </w:r>
    </w:p>
    <w:p>
      <w:bookmarkStart w:id="0" w:name="_GoBack"/>
      <w:bookmarkEnd w:id="0"/>
    </w:p>
    <w:sectPr>
      <w:pgSz w:w="11906" w:h="16838"/>
      <w:pgMar w:top="1701" w:right="1418" w:bottom="170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Malgun Gothic Semilight">
    <w:altName w:val="宋体"/>
    <w:panose1 w:val="020B0502040204020203"/>
    <w:charset w:val="86"/>
    <w:family w:val="swiss"/>
    <w:pitch w:val="default"/>
    <w:sig w:usb0="00000000" w:usb1="00000000"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6E7B1D"/>
    <w:multiLevelType w:val="multilevel"/>
    <w:tmpl w:val="406E7B1D"/>
    <w:lvl w:ilvl="0" w:tentative="0">
      <w:start w:val="1"/>
      <w:numFmt w:val="japaneseCounting"/>
      <w:lvlText w:val="%1、"/>
      <w:lvlJc w:val="left"/>
      <w:pPr>
        <w:ind w:left="1347" w:hanging="720"/>
      </w:pPr>
      <w:rPr>
        <w:rFonts w:hint="default"/>
      </w:rPr>
    </w:lvl>
    <w:lvl w:ilvl="1" w:tentative="0">
      <w:start w:val="1"/>
      <w:numFmt w:val="lowerLetter"/>
      <w:lvlText w:val="%2)"/>
      <w:lvlJc w:val="left"/>
      <w:pPr>
        <w:ind w:left="1467" w:hanging="420"/>
      </w:pPr>
    </w:lvl>
    <w:lvl w:ilvl="2" w:tentative="0">
      <w:start w:val="1"/>
      <w:numFmt w:val="lowerRoman"/>
      <w:lvlText w:val="%3."/>
      <w:lvlJc w:val="right"/>
      <w:pPr>
        <w:ind w:left="1887" w:hanging="420"/>
      </w:pPr>
    </w:lvl>
    <w:lvl w:ilvl="3" w:tentative="0">
      <w:start w:val="1"/>
      <w:numFmt w:val="decimal"/>
      <w:lvlText w:val="%4."/>
      <w:lvlJc w:val="left"/>
      <w:pPr>
        <w:ind w:left="2307" w:hanging="420"/>
      </w:pPr>
    </w:lvl>
    <w:lvl w:ilvl="4" w:tentative="0">
      <w:start w:val="1"/>
      <w:numFmt w:val="lowerLetter"/>
      <w:lvlText w:val="%5)"/>
      <w:lvlJc w:val="left"/>
      <w:pPr>
        <w:ind w:left="2727" w:hanging="420"/>
      </w:pPr>
    </w:lvl>
    <w:lvl w:ilvl="5" w:tentative="0">
      <w:start w:val="1"/>
      <w:numFmt w:val="lowerRoman"/>
      <w:lvlText w:val="%6."/>
      <w:lvlJc w:val="right"/>
      <w:pPr>
        <w:ind w:left="3147" w:hanging="420"/>
      </w:pPr>
    </w:lvl>
    <w:lvl w:ilvl="6" w:tentative="0">
      <w:start w:val="1"/>
      <w:numFmt w:val="decimal"/>
      <w:lvlText w:val="%7."/>
      <w:lvlJc w:val="left"/>
      <w:pPr>
        <w:ind w:left="3567" w:hanging="420"/>
      </w:pPr>
    </w:lvl>
    <w:lvl w:ilvl="7" w:tentative="0">
      <w:start w:val="1"/>
      <w:numFmt w:val="lowerLetter"/>
      <w:lvlText w:val="%8)"/>
      <w:lvlJc w:val="left"/>
      <w:pPr>
        <w:ind w:left="3987" w:hanging="420"/>
      </w:pPr>
    </w:lvl>
    <w:lvl w:ilvl="8" w:tentative="0">
      <w:start w:val="1"/>
      <w:numFmt w:val="lowerRoman"/>
      <w:lvlText w:val="%9."/>
      <w:lvlJc w:val="right"/>
      <w:pPr>
        <w:ind w:left="4407" w:hanging="420"/>
      </w:pPr>
    </w:lvl>
  </w:abstractNum>
  <w:abstractNum w:abstractNumId="1">
    <w:nsid w:val="730B37B3"/>
    <w:multiLevelType w:val="multilevel"/>
    <w:tmpl w:val="730B37B3"/>
    <w:lvl w:ilvl="0" w:tentative="0">
      <w:start w:val="1"/>
      <w:numFmt w:val="japaneseCounting"/>
      <w:lvlText w:val="%1、"/>
      <w:lvlJc w:val="left"/>
      <w:pPr>
        <w:tabs>
          <w:tab w:val="left" w:pos="720"/>
        </w:tabs>
        <w:ind w:left="720" w:hanging="720"/>
      </w:pPr>
      <w:rPr>
        <w:rFonts w:hint="default"/>
      </w:rPr>
    </w:lvl>
    <w:lvl w:ilvl="1" w:tentative="0">
      <w:start w:val="2"/>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U1ZDRhNWFlOTAyNWY4YzgxNmNiYTYyMjE4N2Y5NTUifQ=="/>
  </w:docVars>
  <w:rsids>
    <w:rsidRoot w:val="00FF5E76"/>
    <w:rsid w:val="00030C19"/>
    <w:rsid w:val="00035D14"/>
    <w:rsid w:val="00056D07"/>
    <w:rsid w:val="00112FA4"/>
    <w:rsid w:val="0011560D"/>
    <w:rsid w:val="001F2B2A"/>
    <w:rsid w:val="002916DC"/>
    <w:rsid w:val="002B03FA"/>
    <w:rsid w:val="002D7CAB"/>
    <w:rsid w:val="00302CE0"/>
    <w:rsid w:val="0032495F"/>
    <w:rsid w:val="0038342A"/>
    <w:rsid w:val="003B2849"/>
    <w:rsid w:val="003E3F65"/>
    <w:rsid w:val="004531F1"/>
    <w:rsid w:val="0047466A"/>
    <w:rsid w:val="00476109"/>
    <w:rsid w:val="004A01BD"/>
    <w:rsid w:val="004B638D"/>
    <w:rsid w:val="004F3C27"/>
    <w:rsid w:val="004F615B"/>
    <w:rsid w:val="00502E3D"/>
    <w:rsid w:val="005A2755"/>
    <w:rsid w:val="0063672A"/>
    <w:rsid w:val="00641B8D"/>
    <w:rsid w:val="00644BC6"/>
    <w:rsid w:val="006820E4"/>
    <w:rsid w:val="006A49D0"/>
    <w:rsid w:val="006D1022"/>
    <w:rsid w:val="00725562"/>
    <w:rsid w:val="00735611"/>
    <w:rsid w:val="007712D2"/>
    <w:rsid w:val="007B37D2"/>
    <w:rsid w:val="007B57C4"/>
    <w:rsid w:val="007C1FD8"/>
    <w:rsid w:val="007F5BE6"/>
    <w:rsid w:val="008208A2"/>
    <w:rsid w:val="008510BA"/>
    <w:rsid w:val="008860BD"/>
    <w:rsid w:val="008A5E5A"/>
    <w:rsid w:val="008E4A71"/>
    <w:rsid w:val="008F0F9E"/>
    <w:rsid w:val="00941865"/>
    <w:rsid w:val="00941DB8"/>
    <w:rsid w:val="00964BEE"/>
    <w:rsid w:val="009D2B4B"/>
    <w:rsid w:val="00AC5D48"/>
    <w:rsid w:val="00AC6081"/>
    <w:rsid w:val="00B00B51"/>
    <w:rsid w:val="00B11FC5"/>
    <w:rsid w:val="00B302B6"/>
    <w:rsid w:val="00B30C20"/>
    <w:rsid w:val="00B97572"/>
    <w:rsid w:val="00BA2308"/>
    <w:rsid w:val="00BA462B"/>
    <w:rsid w:val="00BB07AC"/>
    <w:rsid w:val="00BD71C8"/>
    <w:rsid w:val="00BF7800"/>
    <w:rsid w:val="00C145E0"/>
    <w:rsid w:val="00C918D7"/>
    <w:rsid w:val="00CF5DE7"/>
    <w:rsid w:val="00D100EF"/>
    <w:rsid w:val="00D132A5"/>
    <w:rsid w:val="00D514A6"/>
    <w:rsid w:val="00D55C56"/>
    <w:rsid w:val="00D80E66"/>
    <w:rsid w:val="00D81112"/>
    <w:rsid w:val="00DA2133"/>
    <w:rsid w:val="00DB1F31"/>
    <w:rsid w:val="00DC7A3D"/>
    <w:rsid w:val="00DD341A"/>
    <w:rsid w:val="00E12D12"/>
    <w:rsid w:val="00E3748E"/>
    <w:rsid w:val="00E660F7"/>
    <w:rsid w:val="00E743CF"/>
    <w:rsid w:val="00F25D49"/>
    <w:rsid w:val="00F36523"/>
    <w:rsid w:val="00FA7147"/>
    <w:rsid w:val="00FB152D"/>
    <w:rsid w:val="00FC249A"/>
    <w:rsid w:val="00FD3F92"/>
    <w:rsid w:val="00FF5E76"/>
    <w:rsid w:val="03DA4EBA"/>
    <w:rsid w:val="06FC56E9"/>
    <w:rsid w:val="0A9805B1"/>
    <w:rsid w:val="1C6F5E3E"/>
    <w:rsid w:val="1CC15B97"/>
    <w:rsid w:val="1E25654C"/>
    <w:rsid w:val="225857B8"/>
    <w:rsid w:val="48376EAF"/>
    <w:rsid w:val="50E46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font1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22</Pages>
  <Words>7056</Words>
  <Characters>7975</Characters>
  <Lines>41</Lines>
  <Paragraphs>11</Paragraphs>
  <TotalTime>0</TotalTime>
  <ScaleCrop>false</ScaleCrop>
  <LinksUpToDate>false</LinksUpToDate>
  <CharactersWithSpaces>8000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2022-09-07T02:59:00Z</dcterms:created>
  <dc:creator>lenovo</dc:creator>
  <cp:lastModifiedBy>王  鑫</cp:lastModifiedBy>
  <dcterms:modified xsi:type="dcterms:W3CDTF">2022-09-29T06:11:33Z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18CD7DB5C5344795A2FB5D704D68E032</vt:lpwstr>
  </property>
</Properties>
</file>