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46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兴隆台区市场监督管理局</w:t>
      </w:r>
    </w:p>
    <w:p w14:paraId="00D21F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执法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案例指导制度</w:t>
      </w:r>
    </w:p>
    <w:p w14:paraId="0017E80F"/>
    <w:p w14:paraId="49D22211">
      <w:pPr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为进一步规范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市场监管执法人员的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行政执法行为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增强行政主体自身的自律性和行政行为的严密性，确保行政执法案件按规范程序进行，根据《中华人民共和国行政处罚法》的有关规定，制定本制度。</w:t>
      </w:r>
    </w:p>
    <w:p w14:paraId="6BA78BD7">
      <w:pPr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本制度所称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行政案例指导，是指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在区市场监管领域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办结的典型案件，进行收集、分类，对违法行为的事实、性质、情节、社会危害程度基本相同的进行整理、总结，形成指导性案例，作为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本局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行政处罚的参考。</w:t>
      </w:r>
    </w:p>
    <w:p w14:paraId="5644241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　第三条  行政执法指导案例应当从下列行政执法行为中选择：</w:t>
      </w:r>
    </w:p>
    <w:p w14:paraId="61501E74"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（一）具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有普遍意义的；</w:t>
      </w:r>
    </w:p>
    <w:p w14:paraId="5BA9B121">
      <w:pPr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（二）社会普遍关注的；</w:t>
      </w:r>
    </w:p>
    <w:p w14:paraId="20E1318E">
      <w:pP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（三）重点领域的；</w:t>
      </w:r>
    </w:p>
    <w:p w14:paraId="2B88AB3C">
      <w:pPr>
        <w:ind w:firstLine="300" w:firstLineChars="1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（四）容易发生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执法偏差的；</w:t>
      </w:r>
    </w:p>
    <w:p w14:paraId="0A65EBAC">
      <w:pPr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</w:rPr>
        <w:t xml:space="preserve">  （五）法律效果和社会效果较好的。</w:t>
      </w:r>
    </w:p>
    <w:p w14:paraId="4948230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第四条 编撰行政处罚指导案例，应当以行政执法文书为根据，不得变动行政处罚文书的实质性内容。</w:t>
      </w:r>
    </w:p>
    <w:p w14:paraId="0E9205D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第五条 行政处罚指导案例应当包括以下内容：</w:t>
      </w:r>
    </w:p>
    <w:p w14:paraId="7EE1740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50" w:afterAutospacing="0" w:line="420" w:lineRule="atLeast"/>
        <w:ind w:left="630" w:leftChars="0" w:right="0" w:firstLine="0" w:firstLineChars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行政处罚指导案例名称；</w:t>
      </w:r>
    </w:p>
    <w:p w14:paraId="04E1F19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2.案件事实；</w:t>
      </w:r>
    </w:p>
    <w:p w14:paraId="0BD569A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3.适用法律；</w:t>
      </w:r>
    </w:p>
    <w:p w14:paraId="7467743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4.决定内容；</w:t>
      </w:r>
    </w:p>
    <w:p w14:paraId="21A1E19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right="0" w:firstLine="60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5.理由说明；</w:t>
      </w:r>
    </w:p>
    <w:p w14:paraId="2C4E26E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right="0" w:firstLine="600" w:firstLineChars="200"/>
        <w:jc w:val="left"/>
        <w:rPr>
          <w:rFonts w:hint="default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6.发布案例的行政机关名称。</w:t>
      </w:r>
    </w:p>
    <w:p w14:paraId="1BD7852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第七条   发布行政处罚指导案例，应当遵守《中华人民共和国政府信息公开条例》有关规定，对涉及国家秘密的执法信息绝对不允许公开，对涉及商业秘密和个人隐私的信息，一般需要做技术处理或经权利人同意公开后才能公开。</w:t>
      </w:r>
    </w:p>
    <w:p w14:paraId="13B42EF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　　第八条  本制度自发布之日起施行。</w:t>
      </w:r>
    </w:p>
    <w:p w14:paraId="05555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95F9"/>
    <w:multiLevelType w:val="singleLevel"/>
    <w:tmpl w:val="1C1995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U2ODM4YjZhYWQ1MWEwZTVkNTcyYWExMGM2OTUifQ=="/>
  </w:docVars>
  <w:rsids>
    <w:rsidRoot w:val="43013D57"/>
    <w:rsid w:val="018E4327"/>
    <w:rsid w:val="195B53E8"/>
    <w:rsid w:val="1E06269C"/>
    <w:rsid w:val="430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522</Characters>
  <Lines>0</Lines>
  <Paragraphs>0</Paragraphs>
  <TotalTime>7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2022-09-28T06:53:00Z</dcterms:created>
  <dc:creator>NTKO</dc:creator>
  <cp:lastModifiedBy>戴丹</cp:lastModifiedBy>
  <dcterms:modified xsi:type="dcterms:W3CDTF">2025-01-17T06:51:56Z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7010608DFA074EEFA6D80966C01CBA00</vt:lpwstr>
  </property>
  <property fmtid="{D5CDD505-2E9C-101B-9397-08002B2CF9AE}" pid="4" name="KSOTemplateDocerSaveRecord">
    <vt:lpwstr>eyJoZGlkIjoiNWZmNGQ4ZjZjZDQ4MTNmMDczNjg4MmQyMThhZTliM2IiLCJ1c2VySWQiOiI3MDI5Njg3MDcifQ==</vt:lpwstr>
  </property>
</Properties>
</file>