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b/>
          <w:sz w:val="44"/>
          <w:szCs w:val="44"/>
          <w:u w:val="single"/>
        </w:rPr>
      </w:pPr>
    </w:p>
    <w:p>
      <w:pPr>
        <w:spacing w:line="540" w:lineRule="exact"/>
        <w:jc w:val="center"/>
        <w:rPr>
          <w:rFonts w:ascii="宋体" w:hAnsi="宋体"/>
          <w:b/>
          <w:sz w:val="52"/>
          <w:szCs w:val="52"/>
        </w:rPr>
      </w:pPr>
    </w:p>
    <w:p>
      <w:pPr>
        <w:spacing w:line="540" w:lineRule="exact"/>
        <w:jc w:val="center"/>
        <w:rPr>
          <w:rFonts w:ascii="宋体" w:hAnsi="宋体"/>
          <w:b/>
          <w:sz w:val="52"/>
          <w:szCs w:val="52"/>
        </w:rPr>
      </w:pPr>
    </w:p>
    <w:p>
      <w:pPr>
        <w:spacing w:line="540" w:lineRule="exact"/>
        <w:jc w:val="center"/>
        <w:rPr>
          <w:rFonts w:ascii="宋体" w:hAnsi="宋体"/>
          <w:b/>
          <w:sz w:val="52"/>
          <w:szCs w:val="52"/>
        </w:rPr>
      </w:pPr>
    </w:p>
    <w:p>
      <w:pPr>
        <w:spacing w:line="540" w:lineRule="exact"/>
        <w:jc w:val="center"/>
        <w:rPr>
          <w:rFonts w:ascii="宋体" w:hAnsi="宋体"/>
          <w:b/>
          <w:sz w:val="52"/>
          <w:szCs w:val="52"/>
        </w:rPr>
      </w:pPr>
    </w:p>
    <w:p>
      <w:pPr>
        <w:spacing w:line="540" w:lineRule="exact"/>
        <w:jc w:val="center"/>
        <w:rPr>
          <w:rFonts w:ascii="宋体" w:hAnsi="宋体"/>
          <w:b/>
          <w:sz w:val="52"/>
          <w:szCs w:val="52"/>
        </w:rPr>
      </w:pPr>
      <w:r>
        <w:rPr>
          <w:rFonts w:hint="eastAsia" w:ascii="宋体" w:hAnsi="宋体"/>
          <w:b/>
          <w:sz w:val="52"/>
          <w:szCs w:val="52"/>
        </w:rPr>
        <w:t>盘锦市公共采购交易监督管理办公室2021年度部门决算</w:t>
      </w:r>
    </w:p>
    <w:p>
      <w:pPr>
        <w:spacing w:line="540" w:lineRule="exact"/>
        <w:jc w:val="center"/>
        <w:rPr>
          <w:rFonts w:ascii="宋体" w:hAnsi="宋体"/>
          <w:b/>
          <w:sz w:val="52"/>
          <w:szCs w:val="52"/>
        </w:rPr>
      </w:pPr>
      <w:r>
        <w:rPr>
          <w:rFonts w:hint="eastAsia" w:ascii="宋体" w:hAnsi="宋体"/>
          <w:b/>
          <w:sz w:val="52"/>
          <w:szCs w:val="52"/>
        </w:rPr>
        <w:t>公开说明</w:t>
      </w: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color w:val="FF0000"/>
          <w:sz w:val="44"/>
          <w:szCs w:val="44"/>
        </w:rPr>
      </w:pPr>
    </w:p>
    <w:p>
      <w:pPr>
        <w:spacing w:line="540" w:lineRule="exact"/>
        <w:jc w:val="center"/>
        <w:rPr>
          <w:b/>
          <w:color w:val="FF0000"/>
          <w:sz w:val="44"/>
          <w:szCs w:val="44"/>
        </w:rPr>
      </w:pPr>
    </w:p>
    <w:p>
      <w:pPr>
        <w:spacing w:line="540" w:lineRule="exact"/>
        <w:jc w:val="center"/>
        <w:rPr>
          <w:b/>
          <w:color w:val="FF0000"/>
          <w:sz w:val="44"/>
          <w:szCs w:val="44"/>
        </w:rPr>
      </w:pPr>
    </w:p>
    <w:p>
      <w:pPr>
        <w:spacing w:line="540" w:lineRule="exact"/>
        <w:jc w:val="center"/>
        <w:rPr>
          <w:b/>
          <w:color w:val="FF0000"/>
          <w:sz w:val="44"/>
          <w:szCs w:val="44"/>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rPr>
      </w:pPr>
    </w:p>
    <w:p>
      <w:pPr>
        <w:spacing w:line="540" w:lineRule="exact"/>
        <w:jc w:val="center"/>
        <w:rPr>
          <w:b/>
          <w:sz w:val="44"/>
          <w:szCs w:val="44"/>
        </w:rPr>
      </w:pPr>
    </w:p>
    <w:p>
      <w:pPr>
        <w:spacing w:line="540" w:lineRule="exact"/>
        <w:jc w:val="center"/>
        <w:rPr>
          <w:b/>
          <w:sz w:val="44"/>
          <w:szCs w:val="44"/>
        </w:rPr>
      </w:pPr>
    </w:p>
    <w:p>
      <w:pPr>
        <w:spacing w:line="540" w:lineRule="exact"/>
        <w:jc w:val="center"/>
        <w:rPr>
          <w:b/>
          <w:sz w:val="44"/>
          <w:szCs w:val="44"/>
        </w:rPr>
      </w:pPr>
    </w:p>
    <w:p>
      <w:pPr>
        <w:spacing w:line="540" w:lineRule="exact"/>
        <w:jc w:val="center"/>
        <w:rPr>
          <w:b/>
          <w:sz w:val="44"/>
          <w:szCs w:val="44"/>
        </w:rPr>
      </w:pPr>
    </w:p>
    <w:p>
      <w:pPr>
        <w:spacing w:line="540" w:lineRule="exact"/>
        <w:jc w:val="center"/>
        <w:rPr>
          <w:b/>
          <w:sz w:val="44"/>
          <w:szCs w:val="44"/>
        </w:rPr>
      </w:pPr>
      <w:r>
        <w:rPr>
          <w:rFonts w:hint="eastAsia"/>
          <w:b/>
          <w:sz w:val="44"/>
          <w:szCs w:val="44"/>
        </w:rPr>
        <w:t>目    录</w:t>
      </w:r>
    </w:p>
    <w:p>
      <w:pPr>
        <w:spacing w:line="540" w:lineRule="exact"/>
        <w:rPr>
          <w:b/>
          <w:sz w:val="44"/>
          <w:szCs w:val="44"/>
          <w:u w:val="single"/>
        </w:rPr>
      </w:pPr>
    </w:p>
    <w:p>
      <w:pPr>
        <w:spacing w:line="540" w:lineRule="exact"/>
        <w:rPr>
          <w:rFonts w:ascii="黑体" w:hAnsi="黑体" w:eastAsia="黑体"/>
          <w:sz w:val="32"/>
          <w:szCs w:val="32"/>
        </w:rPr>
      </w:pPr>
      <w:r>
        <w:rPr>
          <w:rFonts w:hint="eastAsia" w:ascii="黑体" w:hAnsi="黑体" w:eastAsia="黑体"/>
          <w:sz w:val="32"/>
          <w:szCs w:val="32"/>
        </w:rPr>
        <w:t>第一部分    部门概况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主要职责和机构设置情况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部门决算单位构成</w:t>
      </w:r>
    </w:p>
    <w:p>
      <w:pPr>
        <w:spacing w:line="540" w:lineRule="exact"/>
        <w:rPr>
          <w:rFonts w:ascii="黑体" w:hAnsi="黑体" w:eastAsia="黑体"/>
          <w:sz w:val="32"/>
          <w:szCs w:val="32"/>
        </w:rPr>
      </w:pPr>
      <w:r>
        <w:rPr>
          <w:rFonts w:hint="eastAsia" w:ascii="黑体" w:hAnsi="黑体" w:eastAsia="黑体"/>
          <w:sz w:val="32"/>
          <w:szCs w:val="32"/>
        </w:rPr>
        <w:t>第二部分    2021年度部门决算情况说明</w:t>
      </w:r>
    </w:p>
    <w:p>
      <w:pPr>
        <w:spacing w:line="540" w:lineRule="exact"/>
        <w:rPr>
          <w:rFonts w:ascii="仿宋_GB2312" w:eastAsia="仿宋_GB2312"/>
          <w:sz w:val="32"/>
          <w:szCs w:val="32"/>
        </w:rPr>
      </w:pPr>
      <w:r>
        <w:rPr>
          <w:rFonts w:hint="eastAsia" w:ascii="仿宋_GB2312" w:eastAsia="仿宋_GB2312"/>
          <w:sz w:val="32"/>
          <w:szCs w:val="32"/>
        </w:rPr>
        <w:t>一、收入支出决算总体情况说明</w:t>
      </w:r>
    </w:p>
    <w:p>
      <w:pPr>
        <w:spacing w:line="540" w:lineRule="exact"/>
        <w:rPr>
          <w:rFonts w:ascii="仿宋_GB2312" w:eastAsia="仿宋_GB2312"/>
          <w:sz w:val="32"/>
          <w:szCs w:val="32"/>
        </w:rPr>
      </w:pPr>
      <w:r>
        <w:rPr>
          <w:rFonts w:hint="eastAsia" w:ascii="仿宋_GB2312" w:eastAsia="仿宋_GB2312"/>
          <w:sz w:val="32"/>
          <w:szCs w:val="32"/>
        </w:rPr>
        <w:t>二、财政拨款收入支出决算情况说明</w:t>
      </w:r>
    </w:p>
    <w:p>
      <w:pPr>
        <w:spacing w:line="540" w:lineRule="exact"/>
        <w:rPr>
          <w:rFonts w:ascii="仿宋_GB2312" w:eastAsia="仿宋_GB2312"/>
          <w:sz w:val="32"/>
          <w:szCs w:val="32"/>
        </w:rPr>
      </w:pPr>
      <w:r>
        <w:rPr>
          <w:rFonts w:hint="eastAsia" w:ascii="仿宋_GB2312" w:eastAsia="仿宋_GB2312"/>
          <w:sz w:val="32"/>
          <w:szCs w:val="32"/>
        </w:rPr>
        <w:t>三、一般公共预算财政拨款“三公”经费支出决算情况说明</w:t>
      </w:r>
    </w:p>
    <w:p>
      <w:pPr>
        <w:spacing w:line="540" w:lineRule="exact"/>
        <w:rPr>
          <w:rFonts w:ascii="仿宋_GB2312" w:eastAsia="仿宋_GB2312"/>
          <w:sz w:val="32"/>
          <w:szCs w:val="32"/>
        </w:rPr>
      </w:pPr>
      <w:r>
        <w:rPr>
          <w:rFonts w:hint="eastAsia" w:ascii="仿宋_GB2312" w:eastAsia="仿宋_GB2312"/>
          <w:sz w:val="32"/>
          <w:szCs w:val="32"/>
        </w:rPr>
        <w:t>四、一般公共预算财政拨款基本支出决算情况说明</w:t>
      </w:r>
    </w:p>
    <w:p>
      <w:pPr>
        <w:spacing w:line="540" w:lineRule="exact"/>
        <w:rPr>
          <w:rFonts w:ascii="仿宋_GB2312" w:eastAsia="仿宋_GB2312"/>
          <w:sz w:val="32"/>
          <w:szCs w:val="32"/>
        </w:rPr>
      </w:pPr>
      <w:r>
        <w:rPr>
          <w:rFonts w:hint="eastAsia" w:ascii="仿宋_GB2312" w:eastAsia="仿宋_GB2312"/>
          <w:sz w:val="32"/>
          <w:szCs w:val="32"/>
        </w:rPr>
        <w:t>五、其他重要事项的情况说明</w:t>
      </w:r>
    </w:p>
    <w:p>
      <w:pPr>
        <w:spacing w:line="540" w:lineRule="exact"/>
        <w:rPr>
          <w:rFonts w:ascii="黑体" w:hAnsi="黑体" w:eastAsia="黑体"/>
          <w:sz w:val="32"/>
          <w:szCs w:val="32"/>
        </w:rPr>
      </w:pPr>
      <w:r>
        <w:rPr>
          <w:rFonts w:hint="eastAsia" w:ascii="黑体" w:hAnsi="黑体" w:eastAsia="黑体"/>
          <w:sz w:val="32"/>
          <w:szCs w:val="32"/>
        </w:rPr>
        <w:t>第三部分    名词解释</w:t>
      </w:r>
    </w:p>
    <w:p>
      <w:pPr>
        <w:spacing w:line="540" w:lineRule="exact"/>
        <w:rPr>
          <w:rFonts w:ascii="黑体" w:hAnsi="黑体" w:eastAsia="黑体"/>
          <w:sz w:val="32"/>
          <w:szCs w:val="32"/>
        </w:rPr>
      </w:pPr>
      <w:r>
        <w:rPr>
          <w:rFonts w:hint="eastAsia" w:ascii="黑体" w:hAnsi="黑体" w:eastAsia="黑体"/>
          <w:sz w:val="32"/>
          <w:szCs w:val="32"/>
        </w:rPr>
        <w:t>第四部分    2021年度部门决算报表</w:t>
      </w:r>
    </w:p>
    <w:p>
      <w:pPr>
        <w:spacing w:line="540" w:lineRule="exact"/>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pPr>
        <w:spacing w:line="540" w:lineRule="exact"/>
        <w:rPr>
          <w:rFonts w:ascii="仿宋_GB2312" w:eastAsia="仿宋_GB2312"/>
          <w:sz w:val="32"/>
          <w:szCs w:val="32"/>
        </w:rPr>
      </w:pPr>
      <w:r>
        <w:rPr>
          <w:rFonts w:hint="eastAsia" w:ascii="仿宋_GB2312" w:eastAsia="仿宋_GB2312"/>
          <w:sz w:val="32"/>
          <w:szCs w:val="32"/>
        </w:rPr>
        <w:t>二、收入决算表</w:t>
      </w:r>
    </w:p>
    <w:p>
      <w:pPr>
        <w:spacing w:line="540" w:lineRule="exact"/>
        <w:rPr>
          <w:rFonts w:ascii="仿宋_GB2312" w:eastAsia="仿宋_GB2312"/>
          <w:sz w:val="32"/>
          <w:szCs w:val="32"/>
        </w:rPr>
      </w:pPr>
      <w:r>
        <w:rPr>
          <w:rFonts w:hint="eastAsia" w:ascii="仿宋_GB2312" w:eastAsia="仿宋_GB2312"/>
          <w:sz w:val="32"/>
          <w:szCs w:val="32"/>
        </w:rPr>
        <w:t>三、支出决算表</w:t>
      </w:r>
    </w:p>
    <w:p>
      <w:pPr>
        <w:spacing w:line="540" w:lineRule="exact"/>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pPr>
        <w:spacing w:line="540" w:lineRule="exact"/>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pPr>
        <w:spacing w:line="540" w:lineRule="exact"/>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pPr>
        <w:spacing w:line="540" w:lineRule="exact"/>
        <w:rPr>
          <w:rFonts w:ascii="仿宋_GB2312" w:eastAsia="仿宋_GB2312"/>
          <w:sz w:val="32"/>
          <w:szCs w:val="32"/>
        </w:rPr>
      </w:pPr>
      <w:r>
        <w:rPr>
          <w:rFonts w:hint="eastAsia" w:ascii="仿宋_GB2312" w:eastAsia="仿宋_GB2312"/>
          <w:sz w:val="32"/>
          <w:szCs w:val="32"/>
        </w:rPr>
        <w:t>七、</w:t>
      </w:r>
      <w:r>
        <w:rPr>
          <w:rFonts w:ascii="仿宋_GB2312" w:eastAsia="仿宋_GB2312"/>
          <w:sz w:val="32"/>
          <w:szCs w:val="32"/>
        </w:rPr>
        <w:t>政府性基金预算财政拨款支出决算表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八、一般公共预算财政拨款“三公”经费支出决算表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九、国有资本经营预算财政拨款支出决算表</w:t>
      </w:r>
    </w:p>
    <w:p>
      <w:pPr>
        <w:spacing w:line="540" w:lineRule="exact"/>
        <w:jc w:val="center"/>
        <w:rPr>
          <w:rFonts w:ascii="黑体" w:hAnsi="黑体" w:eastAsia="黑体"/>
          <w:b/>
          <w:sz w:val="44"/>
          <w:szCs w:val="44"/>
          <w:u w:val="single"/>
        </w:rPr>
      </w:pPr>
    </w:p>
    <w:p>
      <w:pPr>
        <w:spacing w:line="540" w:lineRule="exact"/>
        <w:jc w:val="center"/>
        <w:rPr>
          <w:rFonts w:ascii="宋体" w:hAnsi="宋体"/>
          <w:b/>
          <w:sz w:val="36"/>
          <w:szCs w:val="36"/>
        </w:rPr>
      </w:pPr>
      <w:r>
        <w:rPr>
          <w:rFonts w:hint="eastAsia"/>
          <w:b/>
          <w:sz w:val="44"/>
          <w:szCs w:val="44"/>
          <w:u w:val="single"/>
        </w:rPr>
        <w:br w:type="page"/>
      </w:r>
      <w:r>
        <w:rPr>
          <w:rFonts w:hint="eastAsia" w:ascii="宋体" w:hAnsi="宋体"/>
          <w:b/>
          <w:sz w:val="36"/>
          <w:szCs w:val="36"/>
        </w:rPr>
        <w:t>第一部分 部门概况</w:t>
      </w:r>
    </w:p>
    <w:p>
      <w:pPr>
        <w:spacing w:line="540" w:lineRule="exact"/>
        <w:ind w:firstLine="640" w:firstLineChars="200"/>
        <w:jc w:val="left"/>
        <w:rPr>
          <w:rFonts w:ascii="黑体" w:eastAsia="黑体"/>
          <w:sz w:val="32"/>
          <w:szCs w:val="32"/>
        </w:rPr>
      </w:pPr>
    </w:p>
    <w:p>
      <w:pPr>
        <w:spacing w:line="540" w:lineRule="exact"/>
        <w:ind w:firstLine="640" w:firstLineChars="200"/>
        <w:jc w:val="left"/>
        <w:rPr>
          <w:rFonts w:ascii="黑体" w:eastAsia="黑体"/>
          <w:sz w:val="32"/>
          <w:szCs w:val="32"/>
        </w:rPr>
      </w:pPr>
      <w:r>
        <w:rPr>
          <w:rFonts w:hint="eastAsia" w:ascii="黑体" w:eastAsia="黑体"/>
          <w:sz w:val="32"/>
          <w:szCs w:val="32"/>
        </w:rPr>
        <w:t>一、主要职责和机构设置情况</w:t>
      </w:r>
    </w:p>
    <w:p>
      <w:pPr>
        <w:ind w:firstLine="640" w:firstLineChars="200"/>
        <w:rPr>
          <w:rFonts w:ascii="仿宋_GB2312" w:eastAsia="仿宋_GB2312"/>
          <w:sz w:val="32"/>
          <w:szCs w:val="32"/>
        </w:rPr>
      </w:pPr>
      <w:r>
        <w:rPr>
          <w:rFonts w:hint="eastAsia" w:ascii="仿宋_GB2312" w:eastAsia="仿宋_GB2312"/>
          <w:sz w:val="32"/>
          <w:szCs w:val="32"/>
        </w:rPr>
        <w:t>盘锦市公共采购交易监督管理办公室主要职责：</w:t>
      </w:r>
    </w:p>
    <w:p>
      <w:pPr>
        <w:ind w:firstLine="640" w:firstLineChars="200"/>
        <w:rPr>
          <w:rFonts w:ascii="仿宋_GB2312" w:eastAsia="仿宋_GB2312"/>
          <w:sz w:val="32"/>
          <w:szCs w:val="32"/>
        </w:rPr>
      </w:pPr>
      <w:r>
        <w:rPr>
          <w:rFonts w:hint="eastAsia" w:ascii="仿宋_GB2312" w:eastAsia="仿宋_GB2312"/>
          <w:sz w:val="32"/>
          <w:szCs w:val="32"/>
        </w:rPr>
        <w:t>（一）接受市政府授权或委托，负责公共采购交易（包括政府采购、公共资源交易）活动的综合管理、监督和协调，解决管理制度不统一、采购交易活动部分环节监督缺位的问题。</w:t>
      </w:r>
    </w:p>
    <w:p>
      <w:pPr>
        <w:ind w:firstLine="640" w:firstLineChars="200"/>
        <w:rPr>
          <w:rFonts w:ascii="仿宋_GB2312" w:eastAsia="仿宋_GB2312"/>
          <w:sz w:val="32"/>
          <w:szCs w:val="32"/>
        </w:rPr>
      </w:pPr>
      <w:r>
        <w:rPr>
          <w:rFonts w:hint="eastAsia" w:ascii="仿宋_GB2312" w:eastAsia="仿宋_GB2312"/>
          <w:sz w:val="32"/>
          <w:szCs w:val="32"/>
        </w:rPr>
        <w:t>（二）按规定指导、协调全市公共采购交易工作，落实公共采购交易综合性地方法规、规章和政策，协调处理公共采购交易过程中的争议和矛盾，对进入中心运作的采购交易活动实施全程监督。</w:t>
      </w:r>
    </w:p>
    <w:p>
      <w:pPr>
        <w:ind w:firstLine="640" w:firstLineChars="200"/>
        <w:rPr>
          <w:rFonts w:ascii="仿宋_GB2312" w:eastAsia="仿宋_GB2312"/>
          <w:sz w:val="32"/>
          <w:szCs w:val="32"/>
        </w:rPr>
      </w:pPr>
      <w:r>
        <w:rPr>
          <w:rFonts w:hint="eastAsia" w:ascii="仿宋_GB2312" w:eastAsia="仿宋_GB2312"/>
          <w:sz w:val="32"/>
          <w:szCs w:val="32"/>
        </w:rPr>
        <w:t>（三）配合执法执纪部门对采购交易过程中的违法违规行为进行查处。</w:t>
      </w:r>
    </w:p>
    <w:p>
      <w:pPr>
        <w:ind w:firstLine="640" w:firstLineChars="200"/>
        <w:rPr>
          <w:rFonts w:ascii="仿宋_GB2312" w:eastAsia="仿宋_GB2312"/>
          <w:sz w:val="32"/>
          <w:szCs w:val="32"/>
        </w:rPr>
      </w:pPr>
      <w:r>
        <w:rPr>
          <w:rFonts w:hint="eastAsia" w:ascii="仿宋_GB2312" w:eastAsia="仿宋_GB2312"/>
          <w:sz w:val="32"/>
          <w:szCs w:val="32"/>
        </w:rPr>
        <w:t>（四）负责规划、指导市县级建立统一的公共采购交易平台，制订中心的运行规范和管理制度并监督实施。</w:t>
      </w:r>
    </w:p>
    <w:p>
      <w:pPr>
        <w:ind w:firstLine="640" w:firstLineChars="200"/>
        <w:rPr>
          <w:rFonts w:ascii="仿宋_GB2312" w:eastAsia="仿宋_GB2312"/>
          <w:sz w:val="32"/>
          <w:szCs w:val="32"/>
        </w:rPr>
      </w:pPr>
      <w:r>
        <w:rPr>
          <w:rFonts w:hint="eastAsia" w:ascii="仿宋_GB2312" w:eastAsia="仿宋_GB2312"/>
          <w:sz w:val="32"/>
          <w:szCs w:val="32"/>
        </w:rPr>
        <w:t>（五）负责全市公共采购交易业务的综合分析和评价，对公共采购交易工作中重大问题进行调研，向市公共采购交易管理委员会报告情况并提出政策性建议。</w:t>
      </w:r>
    </w:p>
    <w:p>
      <w:pPr>
        <w:ind w:firstLine="640" w:firstLineChars="200"/>
        <w:rPr>
          <w:rFonts w:ascii="仿宋_GB2312" w:eastAsia="仿宋_GB2312"/>
          <w:sz w:val="32"/>
          <w:szCs w:val="32"/>
        </w:rPr>
      </w:pPr>
      <w:r>
        <w:rPr>
          <w:rFonts w:hint="eastAsia" w:ascii="仿宋_GB2312" w:eastAsia="仿宋_GB2312"/>
          <w:sz w:val="32"/>
          <w:szCs w:val="32"/>
        </w:rPr>
        <w:t>（六）负责市综合评标专家库的建立和管理工作。</w:t>
      </w:r>
    </w:p>
    <w:p>
      <w:pPr>
        <w:spacing w:line="540" w:lineRule="exact"/>
        <w:ind w:firstLine="640" w:firstLineChars="200"/>
        <w:jc w:val="left"/>
        <w:rPr>
          <w:rFonts w:ascii="仿宋" w:hAnsi="仿宋" w:eastAsia="仿宋"/>
          <w:sz w:val="32"/>
          <w:szCs w:val="32"/>
        </w:rPr>
      </w:pPr>
      <w:r>
        <w:rPr>
          <w:rFonts w:hint="eastAsia" w:ascii="仿宋" w:hAnsi="仿宋" w:eastAsia="仿宋"/>
          <w:sz w:val="32"/>
          <w:szCs w:val="32"/>
        </w:rPr>
        <w:t>根据本部门主要职责，内设机构如下：</w:t>
      </w:r>
    </w:p>
    <w:p>
      <w:pPr>
        <w:ind w:firstLine="640" w:firstLineChars="200"/>
        <w:rPr>
          <w:rFonts w:ascii="仿宋_GB2312" w:eastAsia="仿宋_GB2312"/>
          <w:sz w:val="32"/>
          <w:szCs w:val="32"/>
        </w:rPr>
      </w:pPr>
      <w:r>
        <w:rPr>
          <w:rFonts w:hint="eastAsia" w:ascii="仿宋_GB2312" w:eastAsia="仿宋_GB2312"/>
          <w:sz w:val="32"/>
          <w:szCs w:val="32"/>
        </w:rPr>
        <w:t>1.办公室：负责文秘、机要、财务、档案、资产、人事、宣传和后勤服务工作；负责公共采购交易项目投标保证金和履约保证金的缴退工作。</w:t>
      </w:r>
    </w:p>
    <w:p>
      <w:pPr>
        <w:ind w:firstLine="640" w:firstLineChars="200"/>
        <w:rPr>
          <w:rFonts w:ascii="仿宋_GB2312" w:eastAsia="仿宋_GB2312"/>
          <w:sz w:val="32"/>
          <w:szCs w:val="32"/>
        </w:rPr>
      </w:pPr>
      <w:r>
        <w:rPr>
          <w:rFonts w:hint="eastAsia" w:ascii="仿宋_GB2312" w:eastAsia="仿宋_GB2312"/>
          <w:sz w:val="32"/>
          <w:szCs w:val="32"/>
        </w:rPr>
        <w:t>2.综合管理科：负责拟订公共采购交易地方性制度及规范性文件，负责公共采购交易综合性地方法规、规章和政策的落实；负责采购交易业务的受理、方式的审核和综合协调工作；受理质疑、调查、督办、协助相关部门投诉处理工作；按规定指导、协调全市采购交易工作。</w:t>
      </w:r>
    </w:p>
    <w:p>
      <w:pPr>
        <w:ind w:firstLine="640" w:firstLineChars="200"/>
        <w:rPr>
          <w:rFonts w:ascii="仿宋_GB2312" w:eastAsia="仿宋_GB2312"/>
          <w:sz w:val="32"/>
          <w:szCs w:val="32"/>
        </w:rPr>
      </w:pPr>
      <w:r>
        <w:rPr>
          <w:rFonts w:hint="eastAsia" w:ascii="仿宋_GB2312" w:eastAsia="仿宋_GB2312"/>
          <w:sz w:val="32"/>
          <w:szCs w:val="32"/>
        </w:rPr>
        <w:t>3.统计评价科：组织公共采购交易合同的签约与验收；负责公共采购项目的统计与评价；负责综合评审专家、招标代理机构、会员等基础数据库的建设、管理及使用。</w:t>
      </w:r>
    </w:p>
    <w:p>
      <w:pPr>
        <w:ind w:firstLine="640" w:firstLineChars="200"/>
        <w:rPr>
          <w:rFonts w:ascii="仿宋_GB2312" w:eastAsia="仿宋_GB2312"/>
          <w:sz w:val="32"/>
          <w:szCs w:val="32"/>
        </w:rPr>
      </w:pPr>
      <w:r>
        <w:rPr>
          <w:rFonts w:hint="eastAsia" w:ascii="仿宋_GB2312" w:eastAsia="仿宋_GB2312"/>
          <w:sz w:val="32"/>
          <w:szCs w:val="32"/>
        </w:rPr>
        <w:t>4.采购监管科：负责落实采购需求，制订采购方案、审核采购文件。</w:t>
      </w:r>
    </w:p>
    <w:p>
      <w:pPr>
        <w:ind w:firstLine="640" w:firstLineChars="200"/>
        <w:rPr>
          <w:rFonts w:ascii="仿宋_GB2312" w:eastAsia="仿宋_GB2312"/>
          <w:sz w:val="32"/>
          <w:szCs w:val="32"/>
        </w:rPr>
      </w:pPr>
      <w:r>
        <w:rPr>
          <w:rFonts w:hint="eastAsia" w:ascii="仿宋_GB2312" w:eastAsia="仿宋_GB2312"/>
          <w:sz w:val="32"/>
          <w:szCs w:val="32"/>
        </w:rPr>
        <w:t>5.交易监管科：负责制订工程及其它类公共资源交易招投标代理机构选择方案；负责审核招标文件；协调相关部门做好交易前的准备工作。</w:t>
      </w:r>
    </w:p>
    <w:p>
      <w:pPr>
        <w:spacing w:line="520" w:lineRule="exact"/>
        <w:ind w:firstLine="640" w:firstLineChars="200"/>
        <w:rPr>
          <w:rFonts w:ascii="仿宋_GB2312" w:hAnsi="仿宋" w:eastAsia="仿宋_GB2312"/>
          <w:sz w:val="32"/>
          <w:szCs w:val="32"/>
        </w:rPr>
      </w:pPr>
      <w:r>
        <w:rPr>
          <w:rFonts w:hint="eastAsia" w:ascii="楷体_GB2312" w:hAnsi="仿宋" w:eastAsia="楷体_GB2312"/>
          <w:sz w:val="32"/>
          <w:szCs w:val="32"/>
        </w:rPr>
        <w:t>单位人员编制和领导职数：</w:t>
      </w:r>
      <w:r>
        <w:rPr>
          <w:rFonts w:hint="eastAsia" w:ascii="仿宋_GB2312" w:hAnsi="仿宋" w:eastAsia="仿宋_GB2312"/>
          <w:sz w:val="32"/>
          <w:szCs w:val="32"/>
        </w:rPr>
        <w:t>盘锦市公共采购交易监督管理办公室人员编制19名，单位领导职数3名，其中，主任职数1名(县处级)，副主任职数2名(副县处级);内设机构领导职数6名，其中，正职5名(正科级)，副职1名(副科级)。</w:t>
      </w:r>
    </w:p>
    <w:p>
      <w:pPr>
        <w:spacing w:line="540" w:lineRule="exact"/>
        <w:ind w:firstLine="640" w:firstLineChars="200"/>
        <w:jc w:val="left"/>
        <w:rPr>
          <w:rFonts w:ascii="黑体" w:eastAsia="黑体"/>
          <w:sz w:val="32"/>
          <w:szCs w:val="32"/>
        </w:rPr>
      </w:pPr>
      <w:r>
        <w:rPr>
          <w:rFonts w:hint="eastAsia" w:ascii="黑体" w:eastAsia="黑体"/>
          <w:sz w:val="32"/>
          <w:szCs w:val="32"/>
        </w:rPr>
        <w:t>二、部门决算单位构成</w:t>
      </w:r>
    </w:p>
    <w:p>
      <w:pPr>
        <w:spacing w:line="540" w:lineRule="exact"/>
        <w:ind w:firstLine="640" w:firstLineChars="200"/>
        <w:jc w:val="left"/>
        <w:rPr>
          <w:rFonts w:ascii="仿宋" w:hAnsi="仿宋" w:eastAsia="仿宋"/>
          <w:sz w:val="32"/>
          <w:szCs w:val="32"/>
        </w:rPr>
      </w:pPr>
      <w:r>
        <w:rPr>
          <w:rFonts w:hint="eastAsia" w:ascii="仿宋" w:hAnsi="仿宋" w:eastAsia="仿宋"/>
          <w:bCs/>
          <w:sz w:val="32"/>
          <w:szCs w:val="32"/>
        </w:rPr>
        <w:t>纳入盘锦市公共采购交易监督管理办公室202</w:t>
      </w:r>
      <w:r>
        <w:rPr>
          <w:rFonts w:hint="eastAsia" w:ascii="仿宋" w:hAnsi="仿宋" w:eastAsia="仿宋"/>
          <w:bCs/>
          <w:sz w:val="32"/>
          <w:szCs w:val="32"/>
          <w:lang w:val="en-US" w:eastAsia="zh-CN"/>
        </w:rPr>
        <w:t>1</w:t>
      </w:r>
      <w:r>
        <w:rPr>
          <w:rFonts w:hint="eastAsia" w:ascii="仿宋" w:hAnsi="仿宋" w:eastAsia="仿宋"/>
          <w:bCs/>
          <w:sz w:val="32"/>
          <w:szCs w:val="32"/>
        </w:rPr>
        <w:t>年部门决算编制范围的预算单位包括：盘锦市公共采购交易监督管</w:t>
      </w:r>
      <w:r>
        <w:rPr>
          <w:rFonts w:hint="eastAsia" w:ascii="仿宋" w:hAnsi="仿宋" w:eastAsia="仿宋"/>
          <w:sz w:val="32"/>
          <w:szCs w:val="32"/>
        </w:rPr>
        <w:t>理办公室</w:t>
      </w:r>
      <w:r>
        <w:rPr>
          <w:rFonts w:hint="eastAsia" w:ascii="仿宋" w:hAnsi="仿宋" w:eastAsia="仿宋"/>
          <w:sz w:val="32"/>
          <w:szCs w:val="32"/>
          <w:lang w:eastAsia="zh-CN"/>
        </w:rPr>
        <w:t>一户单位</w:t>
      </w:r>
      <w:r>
        <w:rPr>
          <w:rFonts w:hint="eastAsia" w:ascii="仿宋" w:hAnsi="仿宋" w:eastAsia="仿宋"/>
          <w:sz w:val="32"/>
          <w:szCs w:val="32"/>
        </w:rPr>
        <w:t>。</w:t>
      </w:r>
    </w:p>
    <w:p>
      <w:pPr>
        <w:spacing w:line="540" w:lineRule="exact"/>
        <w:ind w:firstLine="1440" w:firstLineChars="450"/>
        <w:rPr>
          <w:rFonts w:ascii="仿宋_GB2312" w:eastAsia="仿宋_GB2312"/>
          <w:sz w:val="32"/>
          <w:szCs w:val="32"/>
        </w:rPr>
      </w:pPr>
    </w:p>
    <w:p>
      <w:pPr>
        <w:spacing w:line="540" w:lineRule="exact"/>
        <w:ind w:firstLine="1626" w:firstLineChars="450"/>
        <w:rPr>
          <w:rFonts w:ascii="宋体" w:hAnsi="宋体"/>
          <w:b/>
          <w:sz w:val="36"/>
          <w:szCs w:val="36"/>
        </w:rPr>
      </w:pPr>
      <w:r>
        <w:rPr>
          <w:rFonts w:hint="eastAsia" w:ascii="宋体" w:hAnsi="宋体"/>
          <w:b/>
          <w:sz w:val="36"/>
          <w:szCs w:val="36"/>
        </w:rPr>
        <w:t>第二部分 2021年度部门决算情况说明</w:t>
      </w:r>
    </w:p>
    <w:p>
      <w:pPr>
        <w:spacing w:line="540" w:lineRule="exact"/>
        <w:rPr>
          <w:rFonts w:ascii="宋体" w:hAnsi="宋体"/>
          <w:b/>
          <w:sz w:val="36"/>
          <w:szCs w:val="36"/>
        </w:rPr>
      </w:pPr>
    </w:p>
    <w:p>
      <w:pPr>
        <w:pStyle w:val="9"/>
        <w:numPr>
          <w:ilvl w:val="0"/>
          <w:numId w:val="2"/>
        </w:numPr>
        <w:spacing w:line="540" w:lineRule="exact"/>
        <w:ind w:firstLineChars="0"/>
        <w:rPr>
          <w:rFonts w:ascii="黑体" w:hAnsi="黑体" w:eastAsia="黑体"/>
          <w:sz w:val="32"/>
          <w:szCs w:val="32"/>
        </w:rPr>
      </w:pPr>
      <w:r>
        <w:rPr>
          <w:rFonts w:hint="eastAsia" w:ascii="黑体" w:hAnsi="黑体" w:eastAsia="黑体"/>
          <w:sz w:val="32"/>
          <w:szCs w:val="32"/>
        </w:rPr>
        <w:t>收入支出决算总体情况说明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w:t>
      </w:r>
      <w:r>
        <w:rPr>
          <w:rFonts w:ascii="楷体_GB2312" w:hAnsi="宋体" w:eastAsia="楷体_GB2312"/>
          <w:b/>
          <w:sz w:val="32"/>
          <w:szCs w:val="32"/>
        </w:rPr>
        <w:t>270</w:t>
      </w:r>
      <w:r>
        <w:rPr>
          <w:rFonts w:hint="eastAsia" w:ascii="楷体_GB2312" w:hAnsi="宋体" w:eastAsia="楷体_GB2312"/>
          <w:b/>
          <w:sz w:val="32"/>
          <w:szCs w:val="32"/>
        </w:rPr>
        <w:t>.</w:t>
      </w:r>
      <w:r>
        <w:rPr>
          <w:rFonts w:ascii="楷体_GB2312" w:hAnsi="宋体" w:eastAsia="楷体_GB2312"/>
          <w:b/>
          <w:sz w:val="32"/>
          <w:szCs w:val="32"/>
        </w:rPr>
        <w:t>30</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ascii="楷体_GB2312" w:hAnsi="宋体" w:eastAsia="楷体_GB2312"/>
          <w:sz w:val="32"/>
          <w:szCs w:val="32"/>
        </w:rPr>
        <w:t>270</w:t>
      </w:r>
      <w:r>
        <w:rPr>
          <w:rFonts w:hint="eastAsia" w:ascii="楷体_GB2312" w:hAnsi="宋体" w:eastAsia="楷体_GB2312"/>
          <w:sz w:val="32"/>
          <w:szCs w:val="32"/>
        </w:rPr>
        <w:t>.</w:t>
      </w:r>
      <w:r>
        <w:rPr>
          <w:rFonts w:ascii="楷体_GB2312" w:hAnsi="宋体" w:eastAsia="楷体_GB2312"/>
          <w:sz w:val="32"/>
          <w:szCs w:val="32"/>
        </w:rPr>
        <w:t>30</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hAnsi="宋体" w:eastAsia="仿宋_GB2312"/>
          <w:sz w:val="32"/>
          <w:szCs w:val="32"/>
        </w:rPr>
        <w:t>100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ascii="楷体_GB2312" w:hAnsi="宋体" w:eastAsia="楷体_GB2312"/>
          <w:sz w:val="32"/>
          <w:szCs w:val="32"/>
        </w:rPr>
        <w:t>270</w:t>
      </w:r>
      <w:r>
        <w:rPr>
          <w:rFonts w:hint="eastAsia" w:ascii="楷体_GB2312" w:hAnsi="宋体" w:eastAsia="楷体_GB2312"/>
          <w:sz w:val="32"/>
          <w:szCs w:val="32"/>
        </w:rPr>
        <w:t>.</w:t>
      </w:r>
      <w:r>
        <w:rPr>
          <w:rFonts w:ascii="楷体_GB2312" w:hAnsi="宋体" w:eastAsia="楷体_GB2312"/>
          <w:sz w:val="32"/>
          <w:szCs w:val="32"/>
        </w:rPr>
        <w:t>30</w:t>
      </w:r>
      <w:r>
        <w:rPr>
          <w:rFonts w:hint="eastAsia" w:ascii="仿宋_GB2312" w:hAnsi="宋体" w:eastAsia="仿宋_GB2312"/>
          <w:sz w:val="32"/>
          <w:szCs w:val="32"/>
        </w:rPr>
        <w:t>万元，政府性基金收入0万元，国有资本经营预算财政拨款收入0万元。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2.上级补助收入0万元，占收入总计的0%。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3.事业收入0万元，占收入总计的0%。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5.附属单位上缴收入0万元，占收入总计的0%。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7.使用非财政拨款结余0万元，占收入总计的0%。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8.上年结转和结余0万元，占收入总计的0%。</w:t>
      </w:r>
    </w:p>
    <w:p>
      <w:pPr>
        <w:spacing w:line="540" w:lineRule="exact"/>
        <w:ind w:firstLine="660"/>
        <w:rPr>
          <w:rFonts w:hint="eastAsia" w:ascii="仿宋_GB2312" w:hAnsi="宋体" w:eastAsia="仿宋_GB2312"/>
          <w:sz w:val="32"/>
          <w:szCs w:val="32"/>
          <w:highlight w:val="yellow"/>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eastAsia="zh-CN"/>
        </w:rPr>
        <w:t>减少</w:t>
      </w:r>
      <w:r>
        <w:rPr>
          <w:rFonts w:hint="eastAsia" w:ascii="仿宋_GB2312" w:hAnsi="宋体" w:eastAsia="仿宋_GB2312"/>
          <w:sz w:val="32"/>
          <w:szCs w:val="32"/>
          <w:lang w:val="en-US" w:eastAsia="zh-CN"/>
        </w:rPr>
        <w:t>104.72</w:t>
      </w:r>
      <w:r>
        <w:rPr>
          <w:rFonts w:hint="eastAsia" w:ascii="仿宋_GB2312" w:hAnsi="宋体" w:eastAsia="仿宋_GB2312"/>
          <w:sz w:val="32"/>
          <w:szCs w:val="32"/>
        </w:rPr>
        <w:t>万元，降低</w:t>
      </w:r>
      <w:r>
        <w:rPr>
          <w:rFonts w:hint="eastAsia" w:ascii="仿宋_GB2312" w:hAnsi="宋体" w:eastAsia="仿宋_GB2312"/>
          <w:sz w:val="32"/>
          <w:szCs w:val="32"/>
          <w:lang w:val="en-US" w:eastAsia="zh-CN"/>
        </w:rPr>
        <w:t>27.9</w:t>
      </w:r>
      <w:r>
        <w:rPr>
          <w:rFonts w:hint="eastAsia" w:ascii="仿宋_GB2312" w:hAnsi="宋体" w:eastAsia="仿宋_GB2312"/>
          <w:sz w:val="32"/>
          <w:szCs w:val="32"/>
        </w:rPr>
        <w:t>%，主要原因：</w:t>
      </w:r>
      <w:r>
        <w:rPr>
          <w:rFonts w:hint="eastAsia" w:ascii="仿宋_GB2312" w:hAnsi="黑体" w:eastAsia="仿宋_GB2312"/>
          <w:sz w:val="32"/>
          <w:szCs w:val="32"/>
          <w:highlight w:val="yellow"/>
          <w:lang w:eastAsia="zh-CN"/>
        </w:rPr>
        <w:t>本年项目支出减少，对应的财政拨款收入减少。</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w:t>
      </w:r>
      <w:r>
        <w:rPr>
          <w:rFonts w:ascii="楷体_GB2312" w:hAnsi="宋体" w:eastAsia="楷体_GB2312"/>
          <w:b/>
          <w:sz w:val="32"/>
          <w:szCs w:val="32"/>
        </w:rPr>
        <w:t>270</w:t>
      </w:r>
      <w:r>
        <w:rPr>
          <w:rFonts w:hint="eastAsia" w:ascii="楷体_GB2312" w:hAnsi="宋体" w:eastAsia="楷体_GB2312"/>
          <w:b/>
          <w:sz w:val="32"/>
          <w:szCs w:val="32"/>
        </w:rPr>
        <w:t>.</w:t>
      </w:r>
      <w:r>
        <w:rPr>
          <w:rFonts w:ascii="楷体_GB2312" w:hAnsi="宋体" w:eastAsia="楷体_GB2312"/>
          <w:b/>
          <w:sz w:val="32"/>
          <w:szCs w:val="32"/>
        </w:rPr>
        <w:t>30</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ascii="仿宋_GB2312" w:hAnsi="宋体" w:eastAsia="仿宋_GB2312"/>
          <w:sz w:val="32"/>
          <w:szCs w:val="32"/>
        </w:rPr>
        <w:t>263</w:t>
      </w:r>
      <w:r>
        <w:rPr>
          <w:rFonts w:hint="eastAsia" w:ascii="仿宋_GB2312" w:hAnsi="宋体" w:eastAsia="仿宋_GB2312"/>
          <w:sz w:val="32"/>
          <w:szCs w:val="32"/>
        </w:rPr>
        <w:t>.</w:t>
      </w:r>
      <w:r>
        <w:rPr>
          <w:rFonts w:ascii="仿宋_GB2312" w:hAnsi="宋体" w:eastAsia="仿宋_GB2312"/>
          <w:sz w:val="32"/>
          <w:szCs w:val="32"/>
        </w:rPr>
        <w:t>16</w:t>
      </w:r>
      <w:r>
        <w:rPr>
          <w:rFonts w:hint="eastAsia" w:ascii="仿宋_GB2312" w:hAnsi="宋体" w:eastAsia="仿宋_GB2312"/>
          <w:sz w:val="32"/>
          <w:szCs w:val="32"/>
        </w:rPr>
        <w:t>万元，占支出总计的97.36%。主要是为保障机构正常运转、完成日常工作任务而发生的各项支出，其中：工资福利支出</w:t>
      </w:r>
      <w:r>
        <w:rPr>
          <w:rFonts w:ascii="仿宋_GB2312" w:hAnsi="宋体" w:eastAsia="仿宋_GB2312"/>
          <w:sz w:val="32"/>
          <w:szCs w:val="32"/>
        </w:rPr>
        <w:t>238</w:t>
      </w:r>
      <w:r>
        <w:rPr>
          <w:rFonts w:hint="eastAsia" w:ascii="仿宋_GB2312" w:hAnsi="宋体" w:eastAsia="仿宋_GB2312"/>
          <w:sz w:val="32"/>
          <w:szCs w:val="32"/>
        </w:rPr>
        <w:t>.</w:t>
      </w:r>
      <w:r>
        <w:rPr>
          <w:rFonts w:ascii="仿宋_GB2312" w:hAnsi="宋体" w:eastAsia="仿宋_GB2312"/>
          <w:sz w:val="32"/>
          <w:szCs w:val="32"/>
        </w:rPr>
        <w:t>8</w:t>
      </w:r>
      <w:r>
        <w:rPr>
          <w:rFonts w:hint="eastAsia" w:ascii="仿宋_GB2312" w:hAnsi="宋体" w:eastAsia="仿宋_GB2312"/>
          <w:sz w:val="32"/>
          <w:szCs w:val="32"/>
        </w:rPr>
        <w:t>2万元，对个人和家庭的补助支出0.</w:t>
      </w:r>
      <w:r>
        <w:rPr>
          <w:rFonts w:ascii="仿宋_GB2312" w:hAnsi="宋体" w:eastAsia="仿宋_GB2312"/>
          <w:sz w:val="32"/>
          <w:szCs w:val="32"/>
        </w:rPr>
        <w:t>6</w:t>
      </w:r>
      <w:r>
        <w:rPr>
          <w:rFonts w:hint="eastAsia" w:ascii="仿宋_GB2312" w:hAnsi="宋体" w:eastAsia="仿宋_GB2312"/>
          <w:sz w:val="32"/>
          <w:szCs w:val="32"/>
        </w:rPr>
        <w:t>5万元，商品和服务支出</w:t>
      </w:r>
      <w:r>
        <w:rPr>
          <w:rFonts w:ascii="仿宋_GB2312" w:hAnsi="宋体" w:eastAsia="仿宋_GB2312"/>
          <w:sz w:val="32"/>
          <w:szCs w:val="32"/>
        </w:rPr>
        <w:t>23</w:t>
      </w:r>
      <w:r>
        <w:rPr>
          <w:rFonts w:hint="eastAsia" w:ascii="仿宋_GB2312" w:hAnsi="宋体" w:eastAsia="仿宋_GB2312"/>
          <w:sz w:val="32"/>
          <w:szCs w:val="32"/>
        </w:rPr>
        <w:t>.</w:t>
      </w:r>
      <w:r>
        <w:rPr>
          <w:rFonts w:ascii="仿宋_GB2312" w:hAnsi="宋体" w:eastAsia="仿宋_GB2312"/>
          <w:sz w:val="32"/>
          <w:szCs w:val="32"/>
        </w:rPr>
        <w:t>70</w:t>
      </w:r>
      <w:r>
        <w:rPr>
          <w:rFonts w:hint="eastAsia" w:ascii="仿宋_GB2312" w:hAnsi="宋体" w:eastAsia="仿宋_GB2312"/>
          <w:sz w:val="32"/>
          <w:szCs w:val="32"/>
        </w:rPr>
        <w:t>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2.项目支出</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1</w:t>
      </w:r>
      <w:r>
        <w:rPr>
          <w:rFonts w:hint="eastAsia" w:ascii="仿宋_GB2312" w:hAnsi="宋体" w:eastAsia="仿宋_GB2312"/>
          <w:sz w:val="32"/>
          <w:szCs w:val="32"/>
        </w:rPr>
        <w:t>4万元，占支出总计的2.64%。主要包括公共采购交易管理经费2.07万元、法律顾问聘用3万元、系统维护服务费2.07万元。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3.上缴上级支出0万元，占支出总计的0%。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4.经营支出0万元，占支出总计的0%。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5.对附属单位补助支出0万元，占支出总计的0%。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与上年相比，今年支出减少104.72万元，降低27.92%，主要原因：</w:t>
      </w:r>
      <w:r>
        <w:rPr>
          <w:rFonts w:hint="eastAsia" w:ascii="仿宋_GB2312" w:hAnsi="黑体" w:eastAsia="仿宋_GB2312"/>
          <w:sz w:val="32"/>
          <w:szCs w:val="32"/>
        </w:rPr>
        <w:t>2021年度减少了评审费等项目支出</w:t>
      </w:r>
      <w:r>
        <w:rPr>
          <w:rFonts w:hint="eastAsia" w:ascii="仿宋_GB2312" w:hAnsi="宋体" w:eastAsia="仿宋_GB2312"/>
          <w:sz w:val="32"/>
          <w:szCs w:val="32"/>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（三）年末结转和结余0万元。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lang w:eastAsia="zh-CN"/>
        </w:rPr>
        <w:t>本年无财政拨款结转结余，较上年相比减少</w:t>
      </w:r>
      <w:r>
        <w:rPr>
          <w:rFonts w:hint="eastAsia" w:ascii="仿宋_GB2312" w:hAnsi="宋体" w:eastAsia="仿宋_GB2312"/>
          <w:sz w:val="32"/>
          <w:szCs w:val="32"/>
          <w:lang w:val="en-US" w:eastAsia="zh-CN"/>
        </w:rPr>
        <w:t>5.5万元，下降100.0%，</w:t>
      </w:r>
      <w:r>
        <w:rPr>
          <w:rFonts w:hint="eastAsia" w:ascii="仿宋_GB2312" w:hAnsi="宋体" w:eastAsia="仿宋_GB2312"/>
          <w:sz w:val="32"/>
          <w:szCs w:val="32"/>
          <w:lang w:eastAsia="zh-CN"/>
        </w:rPr>
        <w:t>主要是本年国库集中支付结余核算方式发生改变，当年财政拨款结转结余为零</w:t>
      </w:r>
      <w:r>
        <w:rPr>
          <w:rFonts w:hint="eastAsia" w:ascii="仿宋_GB2312" w:hAnsi="宋体" w:eastAsia="仿宋_GB2312"/>
          <w:sz w:val="32"/>
          <w:szCs w:val="32"/>
        </w:rPr>
        <w:t>。</w:t>
      </w:r>
    </w:p>
    <w:p>
      <w:pPr>
        <w:spacing w:line="540" w:lineRule="exact"/>
        <w:ind w:firstLine="660"/>
        <w:rPr>
          <w:rFonts w:ascii="黑体" w:hAnsi="黑体" w:eastAsia="黑体"/>
          <w:sz w:val="32"/>
          <w:szCs w:val="32"/>
        </w:rPr>
      </w:pPr>
      <w:r>
        <w:rPr>
          <w:rFonts w:hint="eastAsia" w:ascii="黑体" w:hAnsi="黑体" w:eastAsia="黑体"/>
          <w:sz w:val="32"/>
          <w:szCs w:val="32"/>
        </w:rPr>
        <w:t>二、财政拨款支出决算情况说明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2021年度财政拨款支出</w:t>
      </w:r>
      <w:r>
        <w:rPr>
          <w:rFonts w:ascii="楷体_GB2312" w:hAnsi="宋体" w:eastAsia="楷体_GB2312"/>
          <w:sz w:val="32"/>
          <w:szCs w:val="32"/>
        </w:rPr>
        <w:t>270</w:t>
      </w:r>
      <w:r>
        <w:rPr>
          <w:rFonts w:hint="eastAsia" w:ascii="楷体_GB2312" w:hAnsi="宋体" w:eastAsia="楷体_GB2312"/>
          <w:sz w:val="32"/>
          <w:szCs w:val="32"/>
        </w:rPr>
        <w:t>.</w:t>
      </w:r>
      <w:r>
        <w:rPr>
          <w:rFonts w:ascii="楷体_GB2312" w:hAnsi="宋体" w:eastAsia="楷体_GB2312"/>
          <w:sz w:val="32"/>
          <w:szCs w:val="32"/>
        </w:rPr>
        <w:t>30</w:t>
      </w:r>
      <w:r>
        <w:rPr>
          <w:rFonts w:hint="eastAsia" w:ascii="仿宋_GB2312" w:hAnsi="宋体" w:eastAsia="仿宋_GB2312"/>
          <w:sz w:val="32"/>
          <w:szCs w:val="32"/>
        </w:rPr>
        <w:t>万元，其中：基本支出</w:t>
      </w:r>
      <w:r>
        <w:rPr>
          <w:rFonts w:ascii="仿宋_GB2312" w:hAnsi="宋体" w:eastAsia="仿宋_GB2312"/>
          <w:sz w:val="32"/>
          <w:szCs w:val="32"/>
        </w:rPr>
        <w:t>263</w:t>
      </w:r>
      <w:r>
        <w:rPr>
          <w:rFonts w:hint="eastAsia" w:ascii="仿宋_GB2312" w:hAnsi="宋体" w:eastAsia="仿宋_GB2312"/>
          <w:sz w:val="32"/>
          <w:szCs w:val="32"/>
        </w:rPr>
        <w:t>.</w:t>
      </w:r>
      <w:r>
        <w:rPr>
          <w:rFonts w:ascii="仿宋_GB2312" w:hAnsi="宋体" w:eastAsia="仿宋_GB2312"/>
          <w:sz w:val="32"/>
          <w:szCs w:val="32"/>
        </w:rPr>
        <w:t>16</w:t>
      </w:r>
      <w:r>
        <w:rPr>
          <w:rFonts w:hint="eastAsia" w:ascii="仿宋_GB2312" w:hAnsi="宋体" w:eastAsia="仿宋_GB2312"/>
          <w:sz w:val="32"/>
          <w:szCs w:val="32"/>
        </w:rPr>
        <w:t>万元，项目支出</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1</w:t>
      </w:r>
      <w:r>
        <w:rPr>
          <w:rFonts w:hint="eastAsia" w:ascii="仿宋_GB2312" w:hAnsi="宋体" w:eastAsia="仿宋_GB2312"/>
          <w:sz w:val="32"/>
          <w:szCs w:val="32"/>
        </w:rPr>
        <w:t>4万元。与</w:t>
      </w:r>
      <w:r>
        <w:rPr>
          <w:rFonts w:ascii="仿宋_GB2312" w:hAnsi="宋体" w:eastAsia="仿宋_GB2312"/>
          <w:sz w:val="32"/>
          <w:szCs w:val="32"/>
        </w:rPr>
        <w:t>上年相比，</w:t>
      </w:r>
      <w:r>
        <w:rPr>
          <w:rFonts w:hint="eastAsia" w:ascii="仿宋_GB2312" w:hAnsi="宋体" w:eastAsia="仿宋_GB2312"/>
          <w:sz w:val="32"/>
          <w:szCs w:val="32"/>
        </w:rPr>
        <w:t>财政拨款支出减少104.72万元，下降27.92%，主要原因：</w:t>
      </w:r>
      <w:r>
        <w:rPr>
          <w:rFonts w:hint="eastAsia" w:ascii="仿宋_GB2312" w:hAnsi="黑体" w:eastAsia="仿宋_GB2312"/>
          <w:sz w:val="32"/>
          <w:szCs w:val="32"/>
        </w:rPr>
        <w:t>2021年度减少了评审费等项目支出</w:t>
      </w:r>
      <w:r>
        <w:rPr>
          <w:rFonts w:hint="eastAsia" w:ascii="仿宋_GB2312" w:hAnsi="宋体" w:eastAsia="仿宋_GB2312"/>
          <w:sz w:val="32"/>
          <w:szCs w:val="32"/>
        </w:rPr>
        <w:t>。与年初预算相比，2021年度财政拨款支出完成年初预算的100，其中：基本支出完成年初预算的100%，项目完成年初预算的100%。</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（二）一般公共预算财政拨款支出情况。</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2021年度一般公共预算财政拨款支出</w:t>
      </w:r>
      <w:r>
        <w:rPr>
          <w:rFonts w:ascii="楷体_GB2312" w:hAnsi="宋体" w:eastAsia="楷体_GB2312"/>
          <w:sz w:val="32"/>
          <w:szCs w:val="32"/>
        </w:rPr>
        <w:t>270</w:t>
      </w:r>
      <w:r>
        <w:rPr>
          <w:rFonts w:hint="eastAsia" w:ascii="楷体_GB2312" w:hAnsi="宋体" w:eastAsia="楷体_GB2312"/>
          <w:sz w:val="32"/>
          <w:szCs w:val="32"/>
        </w:rPr>
        <w:t>.</w:t>
      </w:r>
      <w:r>
        <w:rPr>
          <w:rFonts w:ascii="楷体_GB2312" w:hAnsi="宋体" w:eastAsia="楷体_GB2312"/>
          <w:sz w:val="32"/>
          <w:szCs w:val="32"/>
        </w:rPr>
        <w:t>30</w:t>
      </w:r>
      <w:r>
        <w:rPr>
          <w:rFonts w:hint="eastAsia" w:ascii="仿宋_GB2312" w:hAnsi="宋体" w:eastAsia="仿宋_GB2312"/>
          <w:sz w:val="32"/>
          <w:szCs w:val="32"/>
        </w:rPr>
        <w:t>万元，按支出功能分类科目分，包括：一般公共服务支出</w:t>
      </w:r>
      <w:r>
        <w:rPr>
          <w:rFonts w:ascii="仿宋_GB2312" w:hAnsi="宋体" w:eastAsia="仿宋_GB2312"/>
          <w:sz w:val="32"/>
          <w:szCs w:val="32"/>
        </w:rPr>
        <w:t>230</w:t>
      </w:r>
      <w:r>
        <w:rPr>
          <w:rFonts w:hint="eastAsia" w:ascii="仿宋_GB2312" w:hAnsi="宋体" w:eastAsia="仿宋_GB2312"/>
          <w:sz w:val="32"/>
          <w:szCs w:val="32"/>
        </w:rPr>
        <w:t>.</w:t>
      </w:r>
      <w:r>
        <w:rPr>
          <w:rFonts w:ascii="仿宋_GB2312" w:hAnsi="宋体" w:eastAsia="仿宋_GB2312"/>
          <w:sz w:val="32"/>
          <w:szCs w:val="32"/>
        </w:rPr>
        <w:t>7</w:t>
      </w:r>
      <w:r>
        <w:rPr>
          <w:rFonts w:hint="eastAsia" w:ascii="仿宋_GB2312" w:hAnsi="宋体" w:eastAsia="仿宋_GB2312"/>
          <w:sz w:val="32"/>
          <w:szCs w:val="32"/>
        </w:rPr>
        <w:t>7万元，占85.38</w:t>
      </w:r>
      <w:r>
        <w:rPr>
          <w:rFonts w:ascii="仿宋_GB2312" w:hAnsi="宋体" w:eastAsia="仿宋_GB2312"/>
          <w:sz w:val="32"/>
          <w:szCs w:val="32"/>
        </w:rPr>
        <w:t>%</w:t>
      </w:r>
      <w:r>
        <w:rPr>
          <w:rFonts w:hint="eastAsia" w:ascii="仿宋_GB2312" w:hAnsi="宋体" w:eastAsia="仿宋_GB2312"/>
          <w:sz w:val="32"/>
          <w:szCs w:val="32"/>
        </w:rPr>
        <w:t>、社会保障和就业支出</w:t>
      </w:r>
      <w:r>
        <w:rPr>
          <w:rFonts w:ascii="仿宋_GB2312" w:hAnsi="宋体" w:eastAsia="仿宋_GB2312"/>
          <w:sz w:val="32"/>
          <w:szCs w:val="32"/>
        </w:rPr>
        <w:t>18</w:t>
      </w:r>
      <w:r>
        <w:rPr>
          <w:rFonts w:hint="eastAsia" w:ascii="仿宋_GB2312" w:hAnsi="宋体" w:eastAsia="仿宋_GB2312"/>
          <w:sz w:val="32"/>
          <w:szCs w:val="32"/>
        </w:rPr>
        <w:t>.</w:t>
      </w:r>
      <w:r>
        <w:rPr>
          <w:rFonts w:ascii="仿宋_GB2312" w:hAnsi="宋体" w:eastAsia="仿宋_GB2312"/>
          <w:sz w:val="32"/>
          <w:szCs w:val="32"/>
        </w:rPr>
        <w:t>72</w:t>
      </w:r>
      <w:r>
        <w:rPr>
          <w:rFonts w:hint="eastAsia" w:ascii="仿宋_GB2312" w:hAnsi="宋体" w:eastAsia="仿宋_GB2312"/>
          <w:sz w:val="32"/>
          <w:szCs w:val="32"/>
        </w:rPr>
        <w:t>万元，占6.93%、卫生健康支出</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97</w:t>
      </w:r>
      <w:r>
        <w:rPr>
          <w:rFonts w:hint="eastAsia" w:ascii="仿宋_GB2312" w:hAnsi="宋体" w:eastAsia="仿宋_GB2312"/>
          <w:sz w:val="32"/>
          <w:szCs w:val="32"/>
        </w:rPr>
        <w:t>万元，占2.95%、住房保障支出</w:t>
      </w:r>
      <w:r>
        <w:rPr>
          <w:rFonts w:ascii="仿宋_GB2312" w:hAnsi="宋体" w:eastAsia="仿宋_GB2312"/>
          <w:sz w:val="32"/>
          <w:szCs w:val="32"/>
        </w:rPr>
        <w:t>12</w:t>
      </w:r>
      <w:r>
        <w:rPr>
          <w:rFonts w:hint="eastAsia" w:ascii="仿宋_GB2312" w:hAnsi="宋体" w:eastAsia="仿宋_GB2312"/>
          <w:sz w:val="32"/>
          <w:szCs w:val="32"/>
        </w:rPr>
        <w:t>.</w:t>
      </w:r>
      <w:r>
        <w:rPr>
          <w:rFonts w:ascii="仿宋_GB2312" w:hAnsi="宋体" w:eastAsia="仿宋_GB2312"/>
          <w:sz w:val="32"/>
          <w:szCs w:val="32"/>
        </w:rPr>
        <w:t>85</w:t>
      </w:r>
      <w:r>
        <w:rPr>
          <w:rFonts w:hint="eastAsia" w:ascii="仿宋_GB2312" w:hAnsi="宋体" w:eastAsia="仿宋_GB2312"/>
          <w:sz w:val="32"/>
          <w:szCs w:val="32"/>
        </w:rPr>
        <w:t>万元，占4.75%。</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1.一般公共服务支出</w:t>
      </w:r>
      <w:r>
        <w:rPr>
          <w:rFonts w:ascii="仿宋_GB2312" w:hAnsi="宋体" w:eastAsia="仿宋_GB2312"/>
          <w:sz w:val="32"/>
          <w:szCs w:val="32"/>
        </w:rPr>
        <w:t>230</w:t>
      </w:r>
      <w:r>
        <w:rPr>
          <w:rFonts w:hint="eastAsia" w:ascii="仿宋_GB2312" w:hAnsi="宋体" w:eastAsia="仿宋_GB2312"/>
          <w:sz w:val="32"/>
          <w:szCs w:val="32"/>
        </w:rPr>
        <w:t>.</w:t>
      </w:r>
      <w:r>
        <w:rPr>
          <w:rFonts w:ascii="仿宋_GB2312" w:hAnsi="宋体" w:eastAsia="仿宋_GB2312"/>
          <w:sz w:val="32"/>
          <w:szCs w:val="32"/>
        </w:rPr>
        <w:t>7</w:t>
      </w:r>
      <w:r>
        <w:rPr>
          <w:rFonts w:hint="eastAsia" w:ascii="仿宋_GB2312" w:hAnsi="宋体" w:eastAsia="仿宋_GB2312"/>
          <w:sz w:val="32"/>
          <w:szCs w:val="32"/>
        </w:rPr>
        <w:t>7万元，具体包括：</w:t>
      </w:r>
    </w:p>
    <w:p>
      <w:pPr>
        <w:autoSpaceDE w:val="0"/>
        <w:autoSpaceDN w:val="0"/>
        <w:adjustRightInd w:val="0"/>
        <w:spacing w:line="540" w:lineRule="exact"/>
        <w:ind w:firstLine="660"/>
        <w:rPr>
          <w:rFonts w:ascii="仿宋" w:hAnsi="仿宋" w:eastAsia="仿宋"/>
          <w:sz w:val="32"/>
          <w:szCs w:val="32"/>
        </w:rPr>
      </w:pPr>
      <w:r>
        <w:rPr>
          <w:rFonts w:hint="eastAsia" w:ascii="仿宋_GB2312" w:hAnsi="宋体" w:eastAsia="仿宋_GB2312"/>
          <w:sz w:val="32"/>
          <w:szCs w:val="32"/>
        </w:rPr>
        <w:t>（1）</w:t>
      </w:r>
      <w:r>
        <w:rPr>
          <w:rFonts w:hint="eastAsia" w:ascii="仿宋" w:hAnsi="仿宋" w:eastAsia="仿宋"/>
          <w:sz w:val="32"/>
          <w:szCs w:val="32"/>
        </w:rPr>
        <w:t>一般公共服务支出（类）政府办公厅（室）及相关机构事务（款）</w:t>
      </w:r>
      <w:r>
        <w:rPr>
          <w:rFonts w:hint="eastAsia" w:ascii="仿宋_GB2312" w:hAnsi="宋体" w:eastAsia="仿宋_GB2312"/>
          <w:sz w:val="32"/>
          <w:szCs w:val="32"/>
        </w:rPr>
        <w:t>事业运行（项）</w:t>
      </w:r>
      <w:r>
        <w:rPr>
          <w:rFonts w:ascii="仿宋_GB2312" w:hAnsi="宋体" w:eastAsia="仿宋_GB2312"/>
          <w:sz w:val="32"/>
          <w:szCs w:val="32"/>
        </w:rPr>
        <w:t>223</w:t>
      </w:r>
      <w:r>
        <w:rPr>
          <w:rFonts w:hint="eastAsia" w:ascii="仿宋_GB2312" w:hAnsi="宋体" w:eastAsia="仿宋_GB2312"/>
          <w:sz w:val="32"/>
          <w:szCs w:val="32"/>
        </w:rPr>
        <w:t>.</w:t>
      </w:r>
      <w:r>
        <w:rPr>
          <w:rFonts w:ascii="仿宋_GB2312" w:hAnsi="宋体" w:eastAsia="仿宋_GB2312"/>
          <w:sz w:val="32"/>
          <w:szCs w:val="32"/>
        </w:rPr>
        <w:t>6</w:t>
      </w:r>
      <w:r>
        <w:rPr>
          <w:rFonts w:hint="eastAsia" w:ascii="仿宋_GB2312" w:hAnsi="宋体" w:eastAsia="仿宋_GB2312"/>
          <w:sz w:val="32"/>
          <w:szCs w:val="32"/>
        </w:rPr>
        <w:t>2万元，主要是工资福利支出</w:t>
      </w:r>
      <w:r>
        <w:rPr>
          <w:rFonts w:ascii="仿宋_GB2312" w:hAnsi="宋体" w:eastAsia="仿宋_GB2312"/>
          <w:sz w:val="32"/>
          <w:szCs w:val="32"/>
        </w:rPr>
        <w:t>199</w:t>
      </w:r>
      <w:r>
        <w:rPr>
          <w:rFonts w:hint="eastAsia" w:ascii="仿宋_GB2312" w:hAnsi="宋体" w:eastAsia="仿宋_GB2312"/>
          <w:sz w:val="32"/>
          <w:szCs w:val="32"/>
        </w:rPr>
        <w:t>.</w:t>
      </w:r>
      <w:r>
        <w:rPr>
          <w:rFonts w:ascii="仿宋_GB2312" w:hAnsi="宋体" w:eastAsia="仿宋_GB2312"/>
          <w:sz w:val="32"/>
          <w:szCs w:val="32"/>
        </w:rPr>
        <w:t>95</w:t>
      </w:r>
      <w:r>
        <w:rPr>
          <w:rFonts w:hint="eastAsia" w:ascii="仿宋_GB2312" w:hAnsi="宋体" w:eastAsia="仿宋_GB2312"/>
          <w:sz w:val="32"/>
          <w:szCs w:val="32"/>
        </w:rPr>
        <w:t>万元;</w:t>
      </w:r>
      <w:r>
        <w:rPr>
          <w:rFonts w:hint="eastAsia" w:ascii="仿宋" w:hAnsi="仿宋" w:eastAsia="仿宋"/>
          <w:sz w:val="32"/>
        </w:rPr>
        <w:t>商品和服务支出</w:t>
      </w:r>
      <w:r>
        <w:rPr>
          <w:rFonts w:ascii="仿宋" w:hAnsi="仿宋" w:eastAsia="仿宋"/>
          <w:sz w:val="32"/>
          <w:szCs w:val="32"/>
        </w:rPr>
        <w:t>23</w:t>
      </w:r>
      <w:r>
        <w:rPr>
          <w:rFonts w:hint="eastAsia" w:ascii="仿宋" w:hAnsi="仿宋" w:eastAsia="仿宋"/>
          <w:sz w:val="32"/>
          <w:szCs w:val="32"/>
        </w:rPr>
        <w:t>.</w:t>
      </w:r>
      <w:r>
        <w:rPr>
          <w:rFonts w:ascii="仿宋" w:hAnsi="仿宋" w:eastAsia="仿宋"/>
          <w:sz w:val="32"/>
          <w:szCs w:val="32"/>
        </w:rPr>
        <w:t>55</w:t>
      </w:r>
      <w:r>
        <w:rPr>
          <w:rFonts w:hint="eastAsia" w:ascii="仿宋" w:hAnsi="仿宋" w:eastAsia="仿宋"/>
          <w:sz w:val="32"/>
        </w:rPr>
        <w:t>万元，其中：办公费</w:t>
      </w:r>
      <w:r>
        <w:rPr>
          <w:rFonts w:ascii="仿宋" w:hAnsi="仿宋" w:eastAsia="仿宋"/>
          <w:sz w:val="32"/>
        </w:rPr>
        <w:t>3</w:t>
      </w:r>
      <w:r>
        <w:rPr>
          <w:rFonts w:hint="eastAsia" w:ascii="仿宋" w:hAnsi="仿宋" w:eastAsia="仿宋"/>
          <w:sz w:val="32"/>
        </w:rPr>
        <w:t>.</w:t>
      </w:r>
      <w:r>
        <w:rPr>
          <w:rFonts w:ascii="仿宋" w:hAnsi="仿宋" w:eastAsia="仿宋"/>
          <w:sz w:val="32"/>
        </w:rPr>
        <w:t>8</w:t>
      </w:r>
      <w:r>
        <w:rPr>
          <w:rFonts w:hint="eastAsia" w:ascii="仿宋" w:hAnsi="仿宋" w:eastAsia="仿宋"/>
          <w:sz w:val="32"/>
        </w:rPr>
        <w:t>2万元、咨询费0.5万元、手续费0.02万元、邮电费1.38万元、维护费0.08万元、工会经费2.15万元、福利费0.12万元、公务用车运行维护费1.26万元、其他交通费用11.75万元、其他商品和服务支出2.48万元</w:t>
      </w:r>
      <w:r>
        <w:rPr>
          <w:rFonts w:hint="eastAsia" w:ascii="仿宋" w:hAnsi="仿宋" w:eastAsia="仿宋"/>
          <w:sz w:val="32"/>
          <w:szCs w:val="32"/>
        </w:rPr>
        <w:t>。完成年初预算的100%。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w:t>
      </w:r>
      <w:r>
        <w:rPr>
          <w:rFonts w:hint="eastAsia" w:ascii="仿宋" w:hAnsi="仿宋" w:eastAsia="仿宋"/>
          <w:sz w:val="32"/>
          <w:szCs w:val="32"/>
        </w:rPr>
        <w:t>一般公共服务支出（类）政府办公厅（室）及相关机构事务（款）</w:t>
      </w:r>
      <w:r>
        <w:rPr>
          <w:rFonts w:hint="eastAsia" w:ascii="仿宋_GB2312" w:hAnsi="宋体" w:eastAsia="仿宋_GB2312"/>
          <w:sz w:val="32"/>
          <w:szCs w:val="32"/>
        </w:rPr>
        <w:t>其他政府办公厅（室）及相关机构事务支出（项）7.14万元。主要是项目支出，公共采购交易管理经费2.07万元、法律顾问聘用3万元、系统维护服务费2.07万元。</w:t>
      </w:r>
      <w:r>
        <w:rPr>
          <w:rFonts w:hint="eastAsia" w:ascii="仿宋" w:hAnsi="仿宋" w:eastAsia="仿宋"/>
          <w:sz w:val="32"/>
          <w:szCs w:val="32"/>
        </w:rPr>
        <w:t>完成年初预算的100%。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2.社会保障和就业支出</w:t>
      </w:r>
      <w:r>
        <w:rPr>
          <w:rFonts w:ascii="仿宋_GB2312" w:hAnsi="宋体" w:eastAsia="仿宋_GB2312"/>
          <w:sz w:val="32"/>
          <w:szCs w:val="32"/>
        </w:rPr>
        <w:t>18</w:t>
      </w:r>
      <w:r>
        <w:rPr>
          <w:rFonts w:hint="eastAsia" w:ascii="仿宋_GB2312" w:hAnsi="宋体" w:eastAsia="仿宋_GB2312"/>
          <w:sz w:val="32"/>
          <w:szCs w:val="32"/>
        </w:rPr>
        <w:t>.</w:t>
      </w:r>
      <w:r>
        <w:rPr>
          <w:rFonts w:ascii="仿宋_GB2312" w:hAnsi="宋体" w:eastAsia="仿宋_GB2312"/>
          <w:sz w:val="32"/>
          <w:szCs w:val="32"/>
        </w:rPr>
        <w:t>72</w:t>
      </w:r>
      <w:r>
        <w:rPr>
          <w:rFonts w:hint="eastAsia" w:ascii="仿宋_GB2312" w:hAnsi="宋体" w:eastAsia="仿宋_GB2312"/>
          <w:sz w:val="32"/>
          <w:szCs w:val="32"/>
        </w:rPr>
        <w:t>万元，具体包括：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（1）社会保障和就业支出（类）行政事业单位养老支出（款）事业单位离退休（项）0.68万元，主要是退休人员取暖费0.53万元,独生子女费及书报费0.15万元，完成年初预算的100%。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（2）社会保障和就业支出（类）行政事业单位养老支出（款）机关事业单位基本养老保险缴费支出（项）</w:t>
      </w:r>
      <w:r>
        <w:rPr>
          <w:rFonts w:ascii="仿宋_GB2312" w:hAnsi="宋体" w:eastAsia="仿宋_GB2312"/>
          <w:sz w:val="32"/>
          <w:szCs w:val="32"/>
        </w:rPr>
        <w:t>18</w:t>
      </w:r>
      <w:r>
        <w:rPr>
          <w:rFonts w:hint="eastAsia" w:ascii="仿宋_GB2312" w:hAnsi="宋体" w:eastAsia="仿宋_GB2312"/>
          <w:sz w:val="32"/>
          <w:szCs w:val="32"/>
        </w:rPr>
        <w:t>.</w:t>
      </w:r>
      <w:r>
        <w:rPr>
          <w:rFonts w:ascii="仿宋_GB2312" w:hAnsi="宋体" w:eastAsia="仿宋_GB2312"/>
          <w:sz w:val="32"/>
          <w:szCs w:val="32"/>
        </w:rPr>
        <w:t>0</w:t>
      </w:r>
      <w:r>
        <w:rPr>
          <w:rFonts w:hint="eastAsia" w:ascii="仿宋_GB2312" w:hAnsi="宋体" w:eastAsia="仿宋_GB2312"/>
          <w:sz w:val="32"/>
          <w:szCs w:val="32"/>
        </w:rPr>
        <w:t>4万元，主要是养老保险支出</w:t>
      </w:r>
      <w:r>
        <w:rPr>
          <w:rFonts w:ascii="仿宋_GB2312" w:hAnsi="宋体" w:eastAsia="仿宋_GB2312"/>
          <w:sz w:val="32"/>
          <w:szCs w:val="32"/>
        </w:rPr>
        <w:t>18</w:t>
      </w:r>
      <w:r>
        <w:rPr>
          <w:rFonts w:hint="eastAsia" w:ascii="仿宋_GB2312" w:hAnsi="宋体" w:eastAsia="仿宋_GB2312"/>
          <w:sz w:val="32"/>
          <w:szCs w:val="32"/>
        </w:rPr>
        <w:t>.</w:t>
      </w:r>
      <w:r>
        <w:rPr>
          <w:rFonts w:ascii="仿宋_GB2312" w:hAnsi="宋体" w:eastAsia="仿宋_GB2312"/>
          <w:sz w:val="32"/>
          <w:szCs w:val="32"/>
        </w:rPr>
        <w:t>0</w:t>
      </w:r>
      <w:r>
        <w:rPr>
          <w:rFonts w:hint="eastAsia" w:ascii="仿宋_GB2312" w:hAnsi="宋体" w:eastAsia="仿宋_GB2312"/>
          <w:sz w:val="32"/>
          <w:szCs w:val="32"/>
        </w:rPr>
        <w:t>4万元，完成年初预算的100%。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3.卫生健康支出</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97</w:t>
      </w:r>
      <w:r>
        <w:rPr>
          <w:rFonts w:hint="eastAsia" w:ascii="仿宋_GB2312" w:hAnsi="宋体" w:eastAsia="仿宋_GB2312"/>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（1）卫生健康支出（类）行政事业单位医疗（款）事业单位医疗（项）</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88</w:t>
      </w:r>
      <w:r>
        <w:rPr>
          <w:rFonts w:hint="eastAsia" w:ascii="仿宋_GB2312" w:hAnsi="宋体" w:eastAsia="仿宋_GB2312"/>
          <w:sz w:val="32"/>
          <w:szCs w:val="32"/>
        </w:rPr>
        <w:t>万元，主要是缴纳职工医保7.88万元，完成年初预算的100%。</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（2）卫生健康支出（类）行政事业单位医疗（款）其他行政事业单位医疗支出（项）0.0</w:t>
      </w:r>
      <w:r>
        <w:rPr>
          <w:rFonts w:ascii="仿宋_GB2312" w:hAnsi="宋体" w:eastAsia="仿宋_GB2312"/>
          <w:sz w:val="32"/>
          <w:szCs w:val="32"/>
        </w:rPr>
        <w:t>9</w:t>
      </w:r>
      <w:r>
        <w:rPr>
          <w:rFonts w:hint="eastAsia" w:ascii="仿宋_GB2312" w:hAnsi="宋体" w:eastAsia="仿宋_GB2312"/>
          <w:sz w:val="32"/>
          <w:szCs w:val="32"/>
        </w:rPr>
        <w:t>万元，主要是缴纳职工工伤保险0.09万元，完成年初预算的100%。</w:t>
      </w:r>
    </w:p>
    <w:p>
      <w:pPr>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4.住房保障支出12.85万元，具体包括：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住房公积金12.85万元，主要是缴纳住房公积金12.85万元，完成年初预算的100%。</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pPr>
        <w:spacing w:line="540" w:lineRule="exact"/>
        <w:ind w:firstLine="660"/>
        <w:rPr>
          <w:rFonts w:ascii="仿宋" w:hAnsi="仿宋" w:eastAsia="仿宋"/>
          <w:sz w:val="32"/>
          <w:szCs w:val="32"/>
        </w:rPr>
      </w:pPr>
      <w:r>
        <w:rPr>
          <w:rFonts w:hint="eastAsia" w:ascii="仿宋" w:hAnsi="仿宋" w:eastAsia="仿宋"/>
          <w:sz w:val="32"/>
          <w:szCs w:val="32"/>
        </w:rPr>
        <w:t>2021年度政府性基金预算财政拨款支出0万元，本部门2021年度无政府性基金预算财政拨款支出，无此类资金收支余。</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pPr>
        <w:spacing w:line="540" w:lineRule="exact"/>
        <w:ind w:firstLine="660"/>
        <w:rPr>
          <w:rFonts w:ascii="仿宋" w:hAnsi="仿宋" w:eastAsia="仿宋"/>
          <w:sz w:val="32"/>
          <w:szCs w:val="32"/>
        </w:rPr>
      </w:pPr>
      <w:r>
        <w:rPr>
          <w:rFonts w:hint="eastAsia" w:ascii="仿宋" w:hAnsi="仿宋" w:eastAsia="仿宋"/>
          <w:sz w:val="32"/>
          <w:szCs w:val="32"/>
        </w:rPr>
        <w:t>2021年度国有资本经营预算财政拨款支出0万元，本部门2021年度无国有资本经营预算财政拨款支出，无此类资金收支余。</w:t>
      </w:r>
    </w:p>
    <w:p>
      <w:pPr>
        <w:spacing w:line="540" w:lineRule="exact"/>
        <w:ind w:firstLine="660"/>
        <w:rPr>
          <w:rFonts w:ascii="黑体" w:hAnsi="黑体" w:eastAsia="黑体"/>
          <w:sz w:val="32"/>
          <w:szCs w:val="32"/>
        </w:rPr>
      </w:pPr>
      <w:r>
        <w:rPr>
          <w:rFonts w:hint="eastAsia" w:ascii="黑体" w:hAnsi="黑体" w:eastAsia="黑体"/>
          <w:sz w:val="32"/>
          <w:szCs w:val="32"/>
        </w:rPr>
        <w:t>三、一般公共预算财政拨款“三公”经费支出决算情况说明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安排的“三公”经费支出1.26万元，完成年初预算的31.5%，决算数小于年初预算数的主要原因是厉行节约，压缩三公开支。较上年比增加0.01万元，增长8%,主要原因是根据工作需要，公务用车运行费有所增加。其中：因公出国（境）费0万元，公务接待费0万元，公务用车购置及运行维护费1.26万元。</w:t>
      </w:r>
    </w:p>
    <w:p>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highlight w:val="none"/>
        </w:rPr>
        <w:t>1.因公出国（境）费0万元，占“三公</w:t>
      </w:r>
      <w:r>
        <w:rPr>
          <w:rFonts w:hint="eastAsia" w:ascii="仿宋_GB2312" w:hAnsi="宋体" w:eastAsia="仿宋_GB2312"/>
          <w:sz w:val="32"/>
          <w:szCs w:val="32"/>
        </w:rPr>
        <w:t>”经费支出的0%，</w:t>
      </w:r>
      <w:r>
        <w:rPr>
          <w:rFonts w:hint="eastAsia" w:ascii="仿宋_GB2312" w:hAnsi="宋体" w:eastAsia="仿宋_GB2312"/>
          <w:sz w:val="32"/>
          <w:szCs w:val="32"/>
          <w:lang w:eastAsia="zh-CN"/>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决算数</w:t>
      </w:r>
      <w:r>
        <w:rPr>
          <w:rFonts w:hint="eastAsia" w:ascii="仿宋_GB2312" w:hAnsi="宋体" w:eastAsia="仿宋_GB2312"/>
          <w:sz w:val="32"/>
          <w:szCs w:val="32"/>
          <w:lang w:eastAsia="zh-CN"/>
        </w:rPr>
        <w:t>与</w:t>
      </w:r>
      <w:r>
        <w:rPr>
          <w:rFonts w:hint="eastAsia" w:ascii="仿宋_GB2312" w:hAnsi="宋体" w:eastAsia="仿宋_GB2312"/>
          <w:sz w:val="32"/>
          <w:szCs w:val="32"/>
        </w:rPr>
        <w:t>年初预算数</w:t>
      </w:r>
      <w:r>
        <w:rPr>
          <w:rFonts w:hint="eastAsia" w:ascii="仿宋_GB2312" w:hAnsi="宋体" w:eastAsia="仿宋_GB2312"/>
          <w:sz w:val="32"/>
          <w:szCs w:val="32"/>
          <w:lang w:eastAsia="zh-CN"/>
        </w:rPr>
        <w:t>相等</w:t>
      </w:r>
      <w:r>
        <w:rPr>
          <w:rFonts w:hint="eastAsia" w:ascii="仿宋_GB2312" w:hAnsi="宋体" w:eastAsia="仿宋_GB2312"/>
          <w:sz w:val="32"/>
          <w:szCs w:val="32"/>
          <w:lang w:val="en-US" w:eastAsia="zh-CN"/>
        </w:rPr>
        <w:t>,均为0万元,</w:t>
      </w:r>
      <w:r>
        <w:rPr>
          <w:rFonts w:hint="eastAsia" w:ascii="仿宋_GB2312" w:hAnsi="宋体" w:eastAsia="仿宋_GB2312"/>
          <w:sz w:val="32"/>
          <w:szCs w:val="32"/>
        </w:rPr>
        <w:t>主要原因</w:t>
      </w:r>
      <w:r>
        <w:rPr>
          <w:rFonts w:hint="eastAsia" w:ascii="仿宋_GB2312" w:hAnsi="宋体" w:eastAsia="仿宋_GB2312"/>
          <w:sz w:val="32"/>
          <w:szCs w:val="32"/>
          <w:lang w:eastAsia="zh-CN"/>
        </w:rPr>
        <w:t>是年初未做预算</w:t>
      </w:r>
      <w:r>
        <w:rPr>
          <w:rFonts w:hint="eastAsia" w:ascii="仿宋_GB2312" w:hAnsi="宋体" w:eastAsia="仿宋_GB2312"/>
          <w:sz w:val="32"/>
          <w:szCs w:val="32"/>
          <w:lang w:val="en-US" w:eastAsia="zh-CN"/>
        </w:rPr>
        <w:t>,本年未发生因公出国的事项</w:t>
      </w:r>
      <w:r>
        <w:rPr>
          <w:rFonts w:hint="eastAsia" w:ascii="仿宋_GB2312" w:hAnsi="宋体" w:eastAsia="仿宋_GB2312"/>
          <w:sz w:val="32"/>
          <w:szCs w:val="32"/>
        </w:rPr>
        <w:t>。202</w:t>
      </w:r>
      <w:r>
        <w:rPr>
          <w:rFonts w:hint="eastAsia" w:ascii="仿宋_GB2312" w:hAnsi="宋体" w:eastAsia="仿宋_GB2312"/>
          <w:sz w:val="32"/>
          <w:szCs w:val="32"/>
          <w:lang w:val="en-US" w:eastAsia="zh-CN"/>
        </w:rPr>
        <w:t>1</w:t>
      </w:r>
      <w:r>
        <w:rPr>
          <w:rFonts w:hint="eastAsia" w:ascii="仿宋_GB2312" w:hAnsi="宋体" w:eastAsia="仿宋_GB2312"/>
          <w:sz w:val="32"/>
          <w:szCs w:val="32"/>
        </w:rPr>
        <w:t>年参加出国（境）团组0个，累计0人次，</w:t>
      </w:r>
      <w:r>
        <w:rPr>
          <w:rFonts w:hint="eastAsia" w:ascii="仿宋_GB2312" w:hAnsi="宋体" w:eastAsia="仿宋_GB2312"/>
          <w:sz w:val="32"/>
          <w:szCs w:val="32"/>
          <w:lang w:eastAsia="zh-CN"/>
        </w:rPr>
        <w:t>未参加任何团组</w:t>
      </w:r>
      <w:r>
        <w:rPr>
          <w:rFonts w:hint="eastAsia" w:ascii="仿宋_GB2312" w:hAnsi="宋体" w:eastAsia="仿宋_GB2312"/>
          <w:sz w:val="32"/>
          <w:szCs w:val="32"/>
        </w:rPr>
        <w:t>。202</w:t>
      </w:r>
      <w:r>
        <w:rPr>
          <w:rFonts w:hint="eastAsia" w:ascii="仿宋_GB2312" w:hAnsi="宋体" w:eastAsia="仿宋_GB2312"/>
          <w:sz w:val="32"/>
          <w:szCs w:val="32"/>
          <w:lang w:val="en-US" w:eastAsia="zh-CN"/>
        </w:rPr>
        <w:t>1</w:t>
      </w:r>
      <w:r>
        <w:rPr>
          <w:rFonts w:hint="eastAsia" w:ascii="仿宋_GB2312" w:hAnsi="宋体" w:eastAsia="仿宋_GB2312"/>
          <w:sz w:val="32"/>
          <w:szCs w:val="32"/>
        </w:rPr>
        <w:t>年因公出国（境）费比上年增加0万元，增长0%</w:t>
      </w:r>
      <w:r>
        <w:rPr>
          <w:rFonts w:hint="eastAsia" w:ascii="仿宋_GB2312" w:hAnsi="宋体" w:eastAsia="仿宋_GB2312"/>
          <w:sz w:val="32"/>
          <w:szCs w:val="32"/>
          <w:lang w:eastAsia="zh-CN"/>
        </w:rPr>
        <w:t>，均为</w:t>
      </w:r>
      <w:r>
        <w:rPr>
          <w:rFonts w:hint="eastAsia" w:ascii="仿宋_GB2312" w:hAnsi="宋体" w:eastAsia="仿宋_GB2312"/>
          <w:sz w:val="32"/>
          <w:szCs w:val="32"/>
          <w:lang w:val="en-US" w:eastAsia="zh-CN"/>
        </w:rPr>
        <w:t>0,无任何变动</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2020、2021年本单位均未发生因公出国事项,无因公出国(境)支出</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公务接待费0万元，占“三公”经费支出的0%。完成年初预算的0%，决算数与年初预算数相等,均为0万元,主要原因是年初未做预算。2021年国内公务接待累计0批次、0人、0万元；其中外事接待累计0批次、0人、0万元。2021年公务接待费比上年减少0万元，下降0%</w:t>
      </w:r>
      <w:r>
        <w:rPr>
          <w:rFonts w:hint="eastAsia" w:ascii="仿宋_GB2312" w:hAnsi="宋体" w:eastAsia="仿宋_GB2312"/>
          <w:sz w:val="32"/>
          <w:szCs w:val="32"/>
          <w:lang w:eastAsia="zh-CN"/>
        </w:rPr>
        <w:t>，无任何增减变动，主要是</w:t>
      </w:r>
      <w:r>
        <w:rPr>
          <w:rFonts w:hint="eastAsia" w:ascii="仿宋_GB2312" w:hAnsi="宋体" w:eastAsia="仿宋_GB2312"/>
          <w:sz w:val="32"/>
          <w:szCs w:val="32"/>
          <w:lang w:val="en-US" w:eastAsia="zh-CN"/>
        </w:rPr>
        <w:t>2020、2021年无公务接待事项发生</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hAnsi="宋体" w:eastAsia="仿宋_GB2312"/>
          <w:sz w:val="32"/>
          <w:szCs w:val="32"/>
        </w:rPr>
        <w:t>1.26万元，占“三公”经费支出的100%。完成年初预算的31.5%，决算数小于年初预算数的主要原因是厉行节约，压缩三公开支。比上年度增加0.01万元，增长8%，主要是根据工作需要，公务用车运行费有所增加。</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其中：公务用车购置费0万元,</w:t>
      </w:r>
      <w:r>
        <w:rPr>
          <w:rFonts w:hint="eastAsia" w:ascii="仿宋_GB2312" w:hAnsi="宋体" w:eastAsia="仿宋_GB2312"/>
          <w:sz w:val="32"/>
          <w:szCs w:val="32"/>
          <w:lang w:eastAsia="zh-CN"/>
        </w:rPr>
        <w:t>本年无公务用车购置事项，</w:t>
      </w:r>
      <w:r>
        <w:rPr>
          <w:rFonts w:hint="eastAsia" w:ascii="仿宋_GB2312" w:hAnsi="宋体" w:eastAsia="仿宋_GB2312"/>
          <w:sz w:val="32"/>
          <w:szCs w:val="32"/>
        </w:rPr>
        <w:t>当年购置公务用车0辆。公务用车运行维护费1.26万元，截至年末使用</w:t>
      </w:r>
      <w:r>
        <w:rPr>
          <w:rFonts w:ascii="仿宋_GB2312" w:hAnsi="宋体" w:eastAsia="仿宋_GB2312"/>
          <w:sz w:val="32"/>
          <w:szCs w:val="32"/>
        </w:rPr>
        <w:t>一般公共预算财政拨款开支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公务用车保有量1辆。</w:t>
      </w:r>
    </w:p>
    <w:p>
      <w:pPr>
        <w:spacing w:line="540" w:lineRule="exact"/>
        <w:ind w:firstLine="645"/>
        <w:rPr>
          <w:rFonts w:ascii="黑体" w:hAnsi="黑体" w:eastAsia="黑体"/>
          <w:sz w:val="32"/>
          <w:szCs w:val="32"/>
        </w:rPr>
      </w:pPr>
      <w:r>
        <w:rPr>
          <w:rFonts w:hint="eastAsia" w:ascii="黑体" w:hAnsi="黑体" w:eastAsia="黑体"/>
          <w:sz w:val="32"/>
          <w:szCs w:val="32"/>
        </w:rPr>
        <w:t>四、一般公共预算财政拨款基本支出决算情况说明</w:t>
      </w:r>
    </w:p>
    <w:p>
      <w:pPr>
        <w:spacing w:line="540" w:lineRule="exact"/>
        <w:ind w:firstLine="645"/>
        <w:rPr>
          <w:rFonts w:ascii="仿宋" w:hAnsi="仿宋" w:eastAsia="仿宋"/>
          <w:sz w:val="32"/>
          <w:szCs w:val="32"/>
        </w:rPr>
      </w:pPr>
      <w:r>
        <w:rPr>
          <w:rFonts w:hint="eastAsia" w:ascii="仿宋_GB2312" w:hAnsi="宋体" w:eastAsia="仿宋_GB2312"/>
          <w:sz w:val="32"/>
          <w:szCs w:val="32"/>
        </w:rPr>
        <w:t>2021年度一般公共预算财政拨款基本支出</w:t>
      </w:r>
      <w:r>
        <w:rPr>
          <w:rFonts w:ascii="仿宋_GB2312" w:hAnsi="宋体" w:eastAsia="仿宋_GB2312"/>
          <w:sz w:val="32"/>
          <w:szCs w:val="32"/>
        </w:rPr>
        <w:t>263</w:t>
      </w:r>
      <w:r>
        <w:rPr>
          <w:rFonts w:hint="eastAsia" w:ascii="仿宋_GB2312" w:hAnsi="宋体" w:eastAsia="仿宋_GB2312"/>
          <w:sz w:val="32"/>
          <w:szCs w:val="32"/>
        </w:rPr>
        <w:t>.</w:t>
      </w:r>
      <w:r>
        <w:rPr>
          <w:rFonts w:ascii="仿宋_GB2312" w:hAnsi="宋体" w:eastAsia="仿宋_GB2312"/>
          <w:sz w:val="32"/>
          <w:szCs w:val="32"/>
        </w:rPr>
        <w:t>16</w:t>
      </w:r>
      <w:r>
        <w:rPr>
          <w:rFonts w:hint="eastAsia" w:ascii="仿宋_GB2312" w:hAnsi="宋体" w:eastAsia="仿宋_GB2312"/>
          <w:sz w:val="32"/>
          <w:szCs w:val="32"/>
        </w:rPr>
        <w:t>万元，其中：人员经费</w:t>
      </w:r>
      <w:r>
        <w:rPr>
          <w:rFonts w:hint="eastAsia" w:ascii="仿宋_GB2312" w:hAnsi="宋体" w:eastAsia="仿宋_GB2312"/>
          <w:sz w:val="32"/>
          <w:szCs w:val="32"/>
          <w:highlight w:val="yellow"/>
          <w:lang w:val="en-US" w:eastAsia="zh-CN"/>
        </w:rPr>
        <w:t>239.46</w:t>
      </w:r>
      <w:r>
        <w:rPr>
          <w:rFonts w:hint="eastAsia" w:ascii="仿宋_GB2312" w:hAnsi="宋体" w:eastAsia="仿宋_GB2312"/>
          <w:sz w:val="32"/>
          <w:szCs w:val="32"/>
        </w:rPr>
        <w:t>万元，主要包括基本工资</w:t>
      </w:r>
      <w:r>
        <w:rPr>
          <w:rFonts w:ascii="仿宋_GB2312" w:hAnsi="宋体" w:eastAsia="仿宋_GB2312"/>
          <w:sz w:val="32"/>
          <w:szCs w:val="32"/>
        </w:rPr>
        <w:t>68</w:t>
      </w:r>
      <w:r>
        <w:rPr>
          <w:rFonts w:hint="eastAsia" w:ascii="仿宋_GB2312" w:hAnsi="宋体" w:eastAsia="仿宋_GB2312"/>
          <w:sz w:val="32"/>
          <w:szCs w:val="32"/>
        </w:rPr>
        <w:t>.</w:t>
      </w:r>
      <w:r>
        <w:rPr>
          <w:rFonts w:ascii="仿宋_GB2312" w:hAnsi="宋体" w:eastAsia="仿宋_GB2312"/>
          <w:sz w:val="32"/>
          <w:szCs w:val="32"/>
        </w:rPr>
        <w:t>8</w:t>
      </w:r>
      <w:r>
        <w:rPr>
          <w:rFonts w:hint="eastAsia" w:ascii="仿宋_GB2312" w:hAnsi="宋体" w:eastAsia="仿宋_GB2312"/>
          <w:sz w:val="32"/>
          <w:szCs w:val="32"/>
        </w:rPr>
        <w:t>5万元、津贴补贴</w:t>
      </w:r>
      <w:r>
        <w:rPr>
          <w:rFonts w:ascii="仿宋_GB2312" w:hAnsi="宋体" w:eastAsia="仿宋_GB2312"/>
          <w:sz w:val="32"/>
          <w:szCs w:val="32"/>
        </w:rPr>
        <w:t>43</w:t>
      </w:r>
      <w:r>
        <w:rPr>
          <w:rFonts w:hint="eastAsia" w:ascii="仿宋_GB2312" w:hAnsi="宋体" w:eastAsia="仿宋_GB2312"/>
          <w:sz w:val="32"/>
          <w:szCs w:val="32"/>
        </w:rPr>
        <w:t>.</w:t>
      </w:r>
      <w:r>
        <w:rPr>
          <w:rFonts w:ascii="仿宋_GB2312" w:hAnsi="宋体" w:eastAsia="仿宋_GB2312"/>
          <w:sz w:val="32"/>
          <w:szCs w:val="32"/>
        </w:rPr>
        <w:t>2</w:t>
      </w:r>
      <w:r>
        <w:rPr>
          <w:rFonts w:hint="eastAsia" w:ascii="仿宋_GB2312" w:hAnsi="宋体" w:eastAsia="仿宋_GB2312"/>
          <w:sz w:val="32"/>
          <w:szCs w:val="32"/>
        </w:rPr>
        <w:t>8万元、奖金</w:t>
      </w:r>
      <w:r>
        <w:rPr>
          <w:rFonts w:ascii="仿宋_GB2312" w:hAnsi="宋体" w:eastAsia="仿宋_GB2312"/>
          <w:sz w:val="32"/>
          <w:szCs w:val="32"/>
        </w:rPr>
        <w:t>81</w:t>
      </w:r>
      <w:r>
        <w:rPr>
          <w:rFonts w:hint="eastAsia" w:ascii="仿宋_GB2312" w:hAnsi="宋体" w:eastAsia="仿宋_GB2312"/>
          <w:sz w:val="32"/>
          <w:szCs w:val="32"/>
        </w:rPr>
        <w:t>.</w:t>
      </w:r>
      <w:r>
        <w:rPr>
          <w:rFonts w:ascii="仿宋_GB2312" w:hAnsi="宋体" w:eastAsia="仿宋_GB2312"/>
          <w:sz w:val="32"/>
          <w:szCs w:val="32"/>
        </w:rPr>
        <w:t>9</w:t>
      </w:r>
      <w:r>
        <w:rPr>
          <w:rFonts w:hint="eastAsia" w:ascii="仿宋_GB2312" w:hAnsi="宋体" w:eastAsia="仿宋_GB2312"/>
          <w:sz w:val="32"/>
          <w:szCs w:val="32"/>
        </w:rPr>
        <w:t>6万元、其他社会保障缴费</w:t>
      </w:r>
      <w:r>
        <w:rPr>
          <w:rFonts w:ascii="仿宋_GB2312" w:hAnsi="宋体" w:eastAsia="仿宋_GB2312"/>
          <w:sz w:val="32"/>
          <w:szCs w:val="32"/>
        </w:rPr>
        <w:t>2</w:t>
      </w:r>
      <w:r>
        <w:rPr>
          <w:rFonts w:hint="eastAsia" w:ascii="仿宋_GB2312" w:hAnsi="宋体" w:eastAsia="仿宋_GB2312"/>
          <w:sz w:val="32"/>
          <w:szCs w:val="32"/>
        </w:rPr>
        <w:t>.</w:t>
      </w:r>
      <w:r>
        <w:rPr>
          <w:rFonts w:ascii="仿宋_GB2312" w:hAnsi="宋体" w:eastAsia="仿宋_GB2312"/>
          <w:sz w:val="32"/>
          <w:szCs w:val="32"/>
        </w:rPr>
        <w:t>3</w:t>
      </w:r>
      <w:r>
        <w:rPr>
          <w:rFonts w:hint="eastAsia" w:ascii="仿宋_GB2312" w:hAnsi="宋体" w:eastAsia="仿宋_GB2312"/>
          <w:sz w:val="32"/>
          <w:szCs w:val="32"/>
        </w:rPr>
        <w:t>9万元、机关事业单位基本养老保险缴费</w:t>
      </w:r>
      <w:r>
        <w:rPr>
          <w:rFonts w:ascii="仿宋_GB2312" w:hAnsi="宋体" w:eastAsia="仿宋_GB2312"/>
          <w:sz w:val="32"/>
          <w:szCs w:val="32"/>
        </w:rPr>
        <w:t>18</w:t>
      </w:r>
      <w:r>
        <w:rPr>
          <w:rFonts w:hint="eastAsia" w:ascii="仿宋_GB2312" w:hAnsi="宋体" w:eastAsia="仿宋_GB2312"/>
          <w:sz w:val="32"/>
          <w:szCs w:val="32"/>
        </w:rPr>
        <w:t>.</w:t>
      </w:r>
      <w:r>
        <w:rPr>
          <w:rFonts w:ascii="仿宋_GB2312" w:hAnsi="宋体" w:eastAsia="仿宋_GB2312"/>
          <w:sz w:val="32"/>
          <w:szCs w:val="32"/>
        </w:rPr>
        <w:t>0</w:t>
      </w:r>
      <w:r>
        <w:rPr>
          <w:rFonts w:hint="eastAsia" w:ascii="仿宋_GB2312" w:hAnsi="宋体" w:eastAsia="仿宋_GB2312"/>
          <w:sz w:val="32"/>
          <w:szCs w:val="32"/>
        </w:rPr>
        <w:t>4万元、职工基本医疗保险缴费</w:t>
      </w:r>
      <w:r>
        <w:rPr>
          <w:rFonts w:ascii="仿宋_GB2312" w:hAnsi="宋体" w:eastAsia="仿宋_GB2312"/>
          <w:sz w:val="32"/>
          <w:szCs w:val="32"/>
        </w:rPr>
        <w:t>7</w:t>
      </w:r>
      <w:r>
        <w:rPr>
          <w:rFonts w:hint="eastAsia" w:ascii="仿宋_GB2312" w:hAnsi="宋体" w:eastAsia="仿宋_GB2312"/>
          <w:sz w:val="32"/>
          <w:szCs w:val="32"/>
        </w:rPr>
        <w:t>.</w:t>
      </w:r>
      <w:r>
        <w:rPr>
          <w:rFonts w:ascii="仿宋_GB2312" w:hAnsi="宋体" w:eastAsia="仿宋_GB2312"/>
          <w:sz w:val="32"/>
          <w:szCs w:val="32"/>
        </w:rPr>
        <w:t>88</w:t>
      </w:r>
      <w:r>
        <w:rPr>
          <w:rFonts w:hint="eastAsia" w:ascii="仿宋_GB2312" w:hAnsi="宋体" w:eastAsia="仿宋_GB2312"/>
          <w:sz w:val="32"/>
          <w:szCs w:val="32"/>
        </w:rPr>
        <w:t>万元、住房公积金</w:t>
      </w:r>
      <w:r>
        <w:rPr>
          <w:rFonts w:ascii="仿宋_GB2312" w:hAnsi="宋体" w:eastAsia="仿宋_GB2312"/>
          <w:sz w:val="32"/>
          <w:szCs w:val="32"/>
        </w:rPr>
        <w:t>12</w:t>
      </w:r>
      <w:r>
        <w:rPr>
          <w:rFonts w:hint="eastAsia" w:ascii="仿宋_GB2312" w:hAnsi="宋体" w:eastAsia="仿宋_GB2312"/>
          <w:sz w:val="32"/>
          <w:szCs w:val="32"/>
        </w:rPr>
        <w:t>.</w:t>
      </w:r>
      <w:r>
        <w:rPr>
          <w:rFonts w:ascii="仿宋_GB2312" w:hAnsi="宋体" w:eastAsia="仿宋_GB2312"/>
          <w:sz w:val="32"/>
          <w:szCs w:val="32"/>
        </w:rPr>
        <w:t>85</w:t>
      </w:r>
      <w:r>
        <w:rPr>
          <w:rFonts w:hint="eastAsia" w:ascii="仿宋_GB2312" w:hAnsi="宋体" w:eastAsia="仿宋_GB2312"/>
          <w:sz w:val="32"/>
          <w:szCs w:val="32"/>
        </w:rPr>
        <w:t>万元、其他工资福利支出</w:t>
      </w:r>
      <w:r>
        <w:rPr>
          <w:rFonts w:ascii="仿宋_GB2312" w:hAnsi="宋体" w:eastAsia="仿宋_GB2312"/>
          <w:sz w:val="32"/>
          <w:szCs w:val="32"/>
        </w:rPr>
        <w:t>3</w:t>
      </w:r>
      <w:r>
        <w:rPr>
          <w:rFonts w:hint="eastAsia" w:ascii="仿宋_GB2312" w:hAnsi="宋体" w:eastAsia="仿宋_GB2312"/>
          <w:sz w:val="32"/>
          <w:szCs w:val="32"/>
        </w:rPr>
        <w:t>.</w:t>
      </w:r>
      <w:r>
        <w:rPr>
          <w:rFonts w:ascii="仿宋_GB2312" w:hAnsi="宋体" w:eastAsia="仿宋_GB2312"/>
          <w:sz w:val="32"/>
          <w:szCs w:val="32"/>
        </w:rPr>
        <w:t>5</w:t>
      </w:r>
      <w:r>
        <w:rPr>
          <w:rFonts w:hint="eastAsia" w:ascii="仿宋_GB2312" w:hAnsi="宋体" w:eastAsia="仿宋_GB2312"/>
          <w:sz w:val="32"/>
          <w:szCs w:val="32"/>
        </w:rPr>
        <w:t>8万元、退休费0.53万元、其他对个人和家庭补助的支出0.11万元；日常公用经费</w:t>
      </w:r>
      <w:r>
        <w:rPr>
          <w:rFonts w:ascii="仿宋_GB2312" w:hAnsi="宋体" w:eastAsia="仿宋_GB2312"/>
          <w:sz w:val="32"/>
          <w:szCs w:val="32"/>
        </w:rPr>
        <w:t>23</w:t>
      </w:r>
      <w:r>
        <w:rPr>
          <w:rFonts w:hint="eastAsia" w:ascii="仿宋_GB2312" w:hAnsi="宋体" w:eastAsia="仿宋_GB2312"/>
          <w:sz w:val="32"/>
          <w:szCs w:val="32"/>
        </w:rPr>
        <w:t>.</w:t>
      </w:r>
      <w:r>
        <w:rPr>
          <w:rFonts w:ascii="仿宋_GB2312" w:hAnsi="宋体" w:eastAsia="仿宋_GB2312"/>
          <w:sz w:val="32"/>
          <w:szCs w:val="32"/>
        </w:rPr>
        <w:t>70</w:t>
      </w:r>
      <w:r>
        <w:rPr>
          <w:rFonts w:hint="eastAsia" w:ascii="仿宋_GB2312" w:hAnsi="宋体" w:eastAsia="仿宋_GB2312"/>
          <w:sz w:val="32"/>
          <w:szCs w:val="32"/>
        </w:rPr>
        <w:t>万元，主要包括</w:t>
      </w:r>
      <w:r>
        <w:rPr>
          <w:rFonts w:hint="eastAsia" w:ascii="仿宋" w:hAnsi="仿宋" w:eastAsia="仿宋"/>
          <w:sz w:val="32"/>
        </w:rPr>
        <w:t>办公费</w:t>
      </w:r>
      <w:r>
        <w:rPr>
          <w:rFonts w:ascii="仿宋" w:hAnsi="仿宋" w:eastAsia="仿宋"/>
          <w:sz w:val="32"/>
        </w:rPr>
        <w:t>3</w:t>
      </w:r>
      <w:r>
        <w:rPr>
          <w:rFonts w:hint="eastAsia" w:ascii="仿宋" w:hAnsi="仿宋" w:eastAsia="仿宋"/>
          <w:sz w:val="32"/>
        </w:rPr>
        <w:t>.</w:t>
      </w:r>
      <w:r>
        <w:rPr>
          <w:rFonts w:ascii="仿宋" w:hAnsi="仿宋" w:eastAsia="仿宋"/>
          <w:sz w:val="32"/>
        </w:rPr>
        <w:t>8</w:t>
      </w:r>
      <w:r>
        <w:rPr>
          <w:rFonts w:hint="eastAsia" w:ascii="仿宋" w:hAnsi="仿宋" w:eastAsia="仿宋"/>
          <w:sz w:val="32"/>
        </w:rPr>
        <w:t>2万元、咨询费0.5万元、手续费0.02万元、邮电费1.38万元、维护费0.08万元、工会经费2.15万元、福利费0.12万元、公务用车运行维护费1.26万元、其他交通费用11.75万元、其他商品和服务支出2.63万元</w:t>
      </w:r>
      <w:r>
        <w:rPr>
          <w:rFonts w:hint="eastAsia" w:ascii="仿宋" w:hAnsi="仿宋" w:eastAsia="仿宋"/>
          <w:sz w:val="32"/>
          <w:szCs w:val="32"/>
        </w:rPr>
        <w:t>。</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五、其他重要事项的情况说明</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pPr>
        <w:spacing w:line="540" w:lineRule="exact"/>
        <w:ind w:firstLine="645"/>
        <w:rPr>
          <w:rFonts w:ascii="仿宋" w:hAnsi="仿宋" w:eastAsia="仿宋"/>
          <w:sz w:val="32"/>
          <w:szCs w:val="32"/>
        </w:rPr>
      </w:pPr>
      <w:r>
        <w:rPr>
          <w:rFonts w:hint="eastAsia" w:ascii="仿宋_GB2312" w:hAnsi="黑体" w:eastAsia="仿宋_GB2312"/>
          <w:sz w:val="32"/>
          <w:szCs w:val="32"/>
        </w:rPr>
        <w:t>2021年机关运行经费支出</w:t>
      </w:r>
      <w:r>
        <w:rPr>
          <w:rFonts w:hint="eastAsia" w:ascii="仿宋_GB2312" w:hAnsi="黑体" w:eastAsia="仿宋_GB2312"/>
          <w:sz w:val="32"/>
          <w:szCs w:val="32"/>
          <w:lang w:val="en-US" w:eastAsia="zh-CN"/>
        </w:rPr>
        <w:t>23.7</w:t>
      </w:r>
      <w:r>
        <w:rPr>
          <w:rFonts w:hint="eastAsia" w:ascii="仿宋_GB2312" w:hAnsi="黑体" w:eastAsia="仿宋_GB2312"/>
          <w:sz w:val="32"/>
          <w:szCs w:val="32"/>
        </w:rPr>
        <w:t>万元，比上年减少</w:t>
      </w:r>
      <w:r>
        <w:rPr>
          <w:rFonts w:hint="eastAsia" w:ascii="仿宋_GB2312" w:hAnsi="黑体" w:eastAsia="仿宋_GB2312"/>
          <w:sz w:val="32"/>
          <w:szCs w:val="32"/>
          <w:lang w:val="en-US" w:eastAsia="zh-CN"/>
        </w:rPr>
        <w:t>2.6</w:t>
      </w:r>
      <w:r>
        <w:rPr>
          <w:rFonts w:hint="eastAsia" w:ascii="仿宋_GB2312" w:hAnsi="黑体" w:eastAsia="仿宋_GB2312"/>
          <w:sz w:val="32"/>
          <w:szCs w:val="32"/>
        </w:rPr>
        <w:t>万元，降低</w:t>
      </w:r>
      <w:r>
        <w:rPr>
          <w:rFonts w:hint="eastAsia" w:ascii="仿宋_GB2312" w:hAnsi="黑体" w:eastAsia="仿宋_GB2312"/>
          <w:sz w:val="32"/>
          <w:szCs w:val="32"/>
          <w:lang w:val="en-US" w:eastAsia="zh-CN"/>
        </w:rPr>
        <w:t>9.7</w:t>
      </w:r>
      <w:r>
        <w:rPr>
          <w:rFonts w:hint="eastAsia" w:ascii="仿宋_GB2312" w:hAnsi="黑体" w:eastAsia="仿宋_GB2312"/>
          <w:sz w:val="32"/>
          <w:szCs w:val="32"/>
        </w:rPr>
        <w:t>%，主要原因是厉行节约、压缩办公经费。</w:t>
      </w:r>
      <w:r>
        <w:rPr>
          <w:rFonts w:hint="eastAsia" w:ascii="仿宋_GB2312" w:hAnsi="宋体" w:eastAsia="仿宋_GB2312"/>
          <w:sz w:val="32"/>
          <w:szCs w:val="32"/>
        </w:rPr>
        <w:t>主要包括</w:t>
      </w:r>
      <w:r>
        <w:rPr>
          <w:rFonts w:hint="eastAsia" w:ascii="仿宋" w:hAnsi="仿宋" w:eastAsia="仿宋"/>
          <w:sz w:val="32"/>
        </w:rPr>
        <w:t>办公费</w:t>
      </w:r>
      <w:r>
        <w:rPr>
          <w:rFonts w:ascii="仿宋" w:hAnsi="仿宋" w:eastAsia="仿宋"/>
          <w:sz w:val="32"/>
        </w:rPr>
        <w:t>3</w:t>
      </w:r>
      <w:r>
        <w:rPr>
          <w:rFonts w:hint="eastAsia" w:ascii="仿宋" w:hAnsi="仿宋" w:eastAsia="仿宋"/>
          <w:sz w:val="32"/>
        </w:rPr>
        <w:t>.</w:t>
      </w:r>
      <w:r>
        <w:rPr>
          <w:rFonts w:ascii="仿宋" w:hAnsi="仿宋" w:eastAsia="仿宋"/>
          <w:sz w:val="32"/>
        </w:rPr>
        <w:t>8</w:t>
      </w:r>
      <w:r>
        <w:rPr>
          <w:rFonts w:hint="eastAsia" w:ascii="仿宋" w:hAnsi="仿宋" w:eastAsia="仿宋"/>
          <w:sz w:val="32"/>
        </w:rPr>
        <w:t>2万元、咨询费0.5万元、手续费0.02万元、邮电费1.38万元、维护费0.08万元、工会经费2.15万元、福利费0.12万元、公务用车运行维护费1.26万元、其他商品和服务支出2.63万元</w:t>
      </w:r>
      <w:r>
        <w:rPr>
          <w:rFonts w:hint="eastAsia" w:ascii="仿宋" w:hAnsi="仿宋" w:eastAsia="仿宋"/>
          <w:sz w:val="32"/>
          <w:szCs w:val="32"/>
        </w:rPr>
        <w:t>。</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2021年政府采购支出总额0万元，其中：政府采购货物支出0万元，政府采购工程支出0万元，政府采购服务支出0万元。</w:t>
      </w:r>
      <w:r>
        <w:rPr>
          <w:rFonts w:hint="eastAsia" w:ascii="仿宋_GB2312" w:eastAsia="仿宋_GB2312"/>
          <w:sz w:val="32"/>
          <w:szCs w:val="32"/>
        </w:rPr>
        <w:t>授予中小企业合同金额0万元，占政府采购支出总额的0%，其中：授予小微企业合同金额0万元，占政府采购支出总额的0%；货物采购授予中小企业合同金额占货物支出金额的0%；工程采购授予中小企业合同金额占货物支出金额的0%；服务采购授予中小企业合同金额占货物支出金额的0%。</w:t>
      </w:r>
    </w:p>
    <w:p>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截至2021年12月31日，</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1.房屋情况：部门房屋面积0平方米，价值0万元。其中：办公用房面积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万元；业务用房面积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万元；其他（不含构筑物）面积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w:t>
      </w:r>
    </w:p>
    <w:p>
      <w:pPr>
        <w:spacing w:line="540" w:lineRule="exact"/>
        <w:ind w:firstLine="640" w:firstLineChars="200"/>
        <w:rPr>
          <w:rFonts w:ascii="楷体_GB2312" w:hAnsi="黑体" w:eastAsia="楷体_GB2312"/>
          <w:b/>
          <w:sz w:val="32"/>
          <w:szCs w:val="32"/>
        </w:rPr>
      </w:pPr>
      <w:r>
        <w:rPr>
          <w:rFonts w:hint="eastAsia" w:ascii="仿宋" w:hAnsi="仿宋" w:eastAsia="仿宋"/>
          <w:sz w:val="32"/>
          <w:szCs w:val="32"/>
        </w:rPr>
        <w:t>2.车辆情况：共有车辆1辆，价值17</w:t>
      </w:r>
      <w:r>
        <w:rPr>
          <w:rFonts w:hint="eastAsia" w:ascii="仿宋" w:hAnsi="仿宋" w:eastAsia="仿宋"/>
          <w:sz w:val="32"/>
          <w:szCs w:val="32"/>
          <w:highlight w:val="yellow"/>
        </w:rPr>
        <w:t>.</w:t>
      </w:r>
      <w:r>
        <w:rPr>
          <w:rFonts w:hint="eastAsia" w:ascii="仿宋" w:hAnsi="仿宋" w:eastAsia="仿宋"/>
          <w:sz w:val="32"/>
          <w:szCs w:val="32"/>
          <w:highlight w:val="yellow"/>
          <w:lang w:val="en-US" w:eastAsia="zh-CN"/>
        </w:rPr>
        <w:t>98</w:t>
      </w:r>
      <w:r>
        <w:rPr>
          <w:rFonts w:hint="eastAsia" w:ascii="仿宋" w:hAnsi="仿宋" w:eastAsia="仿宋"/>
          <w:sz w:val="32"/>
          <w:szCs w:val="32"/>
        </w:rPr>
        <w:t>万元，其中：</w:t>
      </w:r>
      <w:r>
        <w:rPr>
          <w:rFonts w:hint="eastAsia" w:ascii="仿宋_GB2312" w:hAnsi="黑体" w:eastAsia="仿宋_GB2312"/>
          <w:sz w:val="32"/>
          <w:szCs w:val="32"/>
        </w:rPr>
        <w:t>副省级以上领导干部用车0辆，主要</w:t>
      </w:r>
      <w:r>
        <w:rPr>
          <w:rFonts w:ascii="仿宋_GB2312" w:hAnsi="黑体" w:eastAsia="仿宋_GB2312"/>
          <w:sz w:val="32"/>
          <w:szCs w:val="32"/>
        </w:rPr>
        <w:t>领导干部</w:t>
      </w:r>
      <w:r>
        <w:rPr>
          <w:rFonts w:hint="eastAsia" w:ascii="仿宋_GB2312" w:hAnsi="黑体" w:eastAsia="仿宋_GB2312"/>
          <w:sz w:val="32"/>
          <w:szCs w:val="32"/>
        </w:rPr>
        <w:t>用车0辆，机要通讯用车1辆，应急</w:t>
      </w:r>
      <w:r>
        <w:rPr>
          <w:rFonts w:ascii="仿宋_GB2312" w:hAnsi="黑体" w:eastAsia="仿宋_GB2312"/>
          <w:sz w:val="32"/>
          <w:szCs w:val="32"/>
        </w:rPr>
        <w:t>保障用车</w:t>
      </w:r>
      <w:r>
        <w:rPr>
          <w:rFonts w:hint="eastAsia" w:ascii="仿宋_GB2312" w:hAnsi="黑体" w:eastAsia="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hAnsi="黑体" w:eastAsia="仿宋_GB2312"/>
          <w:sz w:val="32"/>
          <w:szCs w:val="32"/>
        </w:rPr>
        <w:t>0辆</w:t>
      </w:r>
      <w:r>
        <w:rPr>
          <w:rFonts w:ascii="仿宋_GB2312" w:hAnsi="黑体" w:eastAsia="仿宋_GB2312"/>
          <w:sz w:val="32"/>
          <w:szCs w:val="32"/>
        </w:rPr>
        <w:t>，</w:t>
      </w:r>
      <w:r>
        <w:rPr>
          <w:rFonts w:hint="eastAsia" w:ascii="仿宋_GB2312" w:hAnsi="黑体" w:eastAsia="仿宋_GB2312"/>
          <w:sz w:val="32"/>
          <w:szCs w:val="32"/>
        </w:rPr>
        <w:t>特种专业技术用车0辆，离退休</w:t>
      </w:r>
      <w:r>
        <w:rPr>
          <w:rFonts w:ascii="仿宋_GB2312" w:hAnsi="黑体" w:eastAsia="仿宋_GB2312"/>
          <w:sz w:val="32"/>
          <w:szCs w:val="32"/>
        </w:rPr>
        <w:t>干部用车</w:t>
      </w:r>
      <w:r>
        <w:rPr>
          <w:rFonts w:hint="eastAsia" w:ascii="仿宋_GB2312" w:hAnsi="黑体" w:eastAsia="仿宋_GB2312"/>
          <w:sz w:val="32"/>
          <w:szCs w:val="32"/>
        </w:rPr>
        <w:t>0辆</w:t>
      </w:r>
      <w:r>
        <w:rPr>
          <w:rFonts w:ascii="仿宋_GB2312" w:hAnsi="黑体" w:eastAsia="仿宋_GB2312"/>
          <w:sz w:val="32"/>
          <w:szCs w:val="32"/>
        </w:rPr>
        <w:t>，</w:t>
      </w:r>
      <w:r>
        <w:rPr>
          <w:rFonts w:hint="eastAsia" w:ascii="仿宋_GB2312" w:hAnsi="黑体" w:eastAsia="仿宋_GB2312"/>
          <w:sz w:val="32"/>
          <w:szCs w:val="32"/>
        </w:rPr>
        <w:t>其他用车0辆。</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3.设备情况：单位价值50万元以上通用设备0台（套），单价100万元以上专用设备0台（套）。</w:t>
      </w:r>
    </w:p>
    <w:p>
      <w:pPr>
        <w:widowControl/>
        <w:spacing w:line="540" w:lineRule="exact"/>
        <w:ind w:firstLine="643" w:firstLineChars="200"/>
        <w:jc w:val="left"/>
      </w:pPr>
      <w:r>
        <w:rPr>
          <w:rFonts w:ascii="楷体_GB2312" w:hAnsi="宋体" w:eastAsia="楷体_GB2312" w:cs="楷体_GB2312"/>
          <w:b/>
          <w:sz w:val="32"/>
          <w:szCs w:val="32"/>
        </w:rPr>
        <w:t>（四）预算绩效情况。</w:t>
      </w:r>
    </w:p>
    <w:p>
      <w:pPr>
        <w:widowControl/>
        <w:spacing w:line="520" w:lineRule="exact"/>
        <w:ind w:firstLine="643" w:firstLineChars="200"/>
        <w:jc w:val="left"/>
        <w:rPr>
          <w:rFonts w:ascii="仿宋_GB2312" w:hAnsi="仿宋_GB2312" w:eastAsia="仿宋_GB2312" w:cs="仿宋_GB2312"/>
        </w:rPr>
      </w:pPr>
      <w:r>
        <w:rPr>
          <w:rFonts w:hint="eastAsia" w:ascii="仿宋_GB2312" w:hAnsi="仿宋_GB2312" w:eastAsia="仿宋_GB2312" w:cs="仿宋_GB2312"/>
          <w:b/>
          <w:sz w:val="32"/>
          <w:szCs w:val="32"/>
        </w:rPr>
        <w:t>1.预算绩效管理工作开展情况。</w:t>
      </w:r>
    </w:p>
    <w:p>
      <w:pPr>
        <w:widowControl/>
        <w:spacing w:line="520" w:lineRule="exact"/>
        <w:ind w:firstLine="643" w:firstLineChars="200"/>
        <w:jc w:val="left"/>
      </w:pPr>
      <w:r>
        <w:rPr>
          <w:rFonts w:hint="eastAsia" w:hAnsi="宋体" w:eastAsia="仿宋_GB2312" w:cs="仿宋_GB2312"/>
          <w:b/>
          <w:bCs/>
          <w:sz w:val="32"/>
          <w:szCs w:val="32"/>
        </w:rPr>
        <w:t>（1）绩效自评情况。</w:t>
      </w:r>
      <w:r>
        <w:rPr>
          <w:rFonts w:ascii="仿宋_GB2312" w:hAnsi="宋体" w:eastAsia="仿宋_GB2312" w:cs="仿宋_GB2312"/>
          <w:sz w:val="32"/>
          <w:szCs w:val="32"/>
        </w:rPr>
        <w:t>根据预算</w:t>
      </w:r>
      <w:r>
        <w:rPr>
          <w:rFonts w:hint="eastAsia" w:hAnsi="宋体" w:eastAsia="仿宋_GB2312" w:cs="仿宋_GB2312"/>
          <w:sz w:val="32"/>
          <w:szCs w:val="32"/>
        </w:rPr>
        <w:t>绩效</w:t>
      </w:r>
      <w:r>
        <w:rPr>
          <w:rFonts w:ascii="仿宋_GB2312" w:hAnsi="宋体" w:eastAsia="仿宋_GB2312" w:cs="仿宋_GB2312"/>
          <w:sz w:val="32"/>
          <w:szCs w:val="32"/>
        </w:rPr>
        <w:t>管理要求，我</w:t>
      </w:r>
      <w:r>
        <w:rPr>
          <w:rFonts w:hint="eastAsia" w:ascii="仿宋_GB2312" w:hAnsi="宋体" w:eastAsia="仿宋_GB2312" w:cs="仿宋_GB2312"/>
          <w:sz w:val="32"/>
          <w:szCs w:val="32"/>
        </w:rPr>
        <w:t>单位</w:t>
      </w:r>
      <w:r>
        <w:rPr>
          <w:rFonts w:ascii="仿宋_GB2312" w:hAnsi="宋体" w:eastAsia="仿宋_GB2312" w:cs="仿宋_GB2312"/>
          <w:sz w:val="32"/>
          <w:szCs w:val="32"/>
        </w:rPr>
        <w:t>组织对</w:t>
      </w:r>
      <w:r>
        <w:rPr>
          <w:rFonts w:hint="eastAsia" w:ascii="仿宋_GB2312" w:hAnsi="宋体" w:eastAsia="仿宋_GB2312" w:cs="宋体"/>
          <w:sz w:val="32"/>
          <w:szCs w:val="32"/>
        </w:rPr>
        <w:t>2021</w:t>
      </w:r>
      <w:r>
        <w:rPr>
          <w:rFonts w:hint="eastAsia" w:ascii="仿宋_GB2312" w:hAnsi="宋体" w:eastAsia="仿宋_GB2312" w:cs="仿宋_GB2312"/>
          <w:sz w:val="32"/>
          <w:szCs w:val="32"/>
        </w:rPr>
        <w:t>年度预算</w:t>
      </w:r>
      <w:r>
        <w:rPr>
          <w:rFonts w:hint="eastAsia" w:hAnsi="宋体" w:eastAsia="仿宋_GB2312" w:cs="仿宋_GB2312"/>
          <w:sz w:val="32"/>
          <w:szCs w:val="32"/>
        </w:rPr>
        <w:t>开展整体绩效自评，涉及资金</w:t>
      </w:r>
      <w:r>
        <w:rPr>
          <w:rFonts w:ascii="楷体_GB2312" w:hAnsi="宋体" w:eastAsia="楷体_GB2312"/>
          <w:b/>
          <w:sz w:val="32"/>
          <w:szCs w:val="32"/>
        </w:rPr>
        <w:t>270</w:t>
      </w:r>
      <w:r>
        <w:rPr>
          <w:rFonts w:hint="eastAsia" w:ascii="楷体_GB2312" w:hAnsi="宋体" w:eastAsia="楷体_GB2312"/>
          <w:b/>
          <w:sz w:val="32"/>
          <w:szCs w:val="32"/>
        </w:rPr>
        <w:t>.</w:t>
      </w:r>
      <w:r>
        <w:rPr>
          <w:rFonts w:ascii="楷体_GB2312" w:hAnsi="宋体" w:eastAsia="楷体_GB2312"/>
          <w:b/>
          <w:sz w:val="32"/>
          <w:szCs w:val="32"/>
        </w:rPr>
        <w:t>30</w:t>
      </w:r>
      <w:r>
        <w:rPr>
          <w:rFonts w:hint="eastAsia" w:hAnsi="宋体" w:eastAsia="仿宋_GB2312" w:cs="仿宋_GB2312"/>
          <w:sz w:val="32"/>
          <w:szCs w:val="32"/>
        </w:rPr>
        <w:t>万元，自评得分</w:t>
      </w:r>
      <w:r>
        <w:rPr>
          <w:rFonts w:hint="eastAsia" w:ascii="仿宋_GB2312" w:hAnsi="宋体" w:eastAsia="仿宋_GB2312" w:cs="仿宋_GB2312"/>
          <w:sz w:val="32"/>
          <w:szCs w:val="32"/>
        </w:rPr>
        <w:t>100</w:t>
      </w:r>
      <w:r>
        <w:rPr>
          <w:rFonts w:hint="eastAsia" w:hAnsi="宋体" w:eastAsia="仿宋_GB2312" w:cs="仿宋_GB2312"/>
          <w:sz w:val="32"/>
          <w:szCs w:val="32"/>
        </w:rPr>
        <w:t>分；对2021年度无特定目标类项目开展自评</w:t>
      </w:r>
      <w:r>
        <w:rPr>
          <w:rFonts w:hint="eastAsia" w:ascii="仿宋_GB2312" w:hAnsi="宋体" w:eastAsia="仿宋_GB2312" w:cs="仿宋_GB2312"/>
          <w:sz w:val="32"/>
          <w:szCs w:val="32"/>
        </w:rPr>
        <w:t>。</w:t>
      </w:r>
    </w:p>
    <w:p>
      <w:pPr>
        <w:widowControl/>
        <w:spacing w:line="520" w:lineRule="exact"/>
        <w:ind w:firstLine="643" w:firstLineChars="200"/>
        <w:jc w:val="left"/>
        <w:rPr>
          <w:rFonts w:ascii="仿宋_GB2312" w:hAnsi="宋体" w:eastAsia="仿宋_GB2312" w:cs="仿宋_GB2312"/>
          <w:sz w:val="32"/>
          <w:szCs w:val="32"/>
        </w:rPr>
      </w:pPr>
      <w:r>
        <w:rPr>
          <w:rFonts w:hint="eastAsia" w:hAnsi="宋体" w:eastAsia="仿宋_GB2312" w:cs="仿宋_GB2312"/>
          <w:b/>
          <w:bCs/>
          <w:sz w:val="32"/>
          <w:szCs w:val="32"/>
        </w:rPr>
        <w:t>（2）重点项目评价情况。</w:t>
      </w:r>
      <w:r>
        <w:rPr>
          <w:rFonts w:hint="eastAsia" w:hAnsi="宋体" w:eastAsia="仿宋_GB2312" w:cs="仿宋_GB2312"/>
          <w:sz w:val="32"/>
          <w:szCs w:val="32"/>
        </w:rPr>
        <w:t>市公共采购交易中心</w:t>
      </w:r>
      <w:r>
        <w:rPr>
          <w:rFonts w:hint="eastAsia" w:ascii="仿宋" w:hAnsi="仿宋" w:eastAsia="仿宋"/>
          <w:sz w:val="32"/>
        </w:rPr>
        <w:t>2021年度无重点项目</w:t>
      </w:r>
      <w:r>
        <w:rPr>
          <w:rFonts w:hint="eastAsia" w:ascii="仿宋_GB2312" w:hAnsi="宋体" w:eastAsia="仿宋_GB2312" w:cs="仿宋_GB2312"/>
          <w:sz w:val="32"/>
          <w:szCs w:val="32"/>
        </w:rPr>
        <w:t>。</w:t>
      </w:r>
    </w:p>
    <w:p>
      <w:pPr>
        <w:widowControl/>
        <w:spacing w:line="520" w:lineRule="exact"/>
        <w:ind w:firstLine="643" w:firstLineChars="200"/>
        <w:jc w:val="left"/>
        <w:rPr>
          <w:rFonts w:ascii="仿宋_GB2312" w:hAnsi="宋体" w:eastAsia="仿宋_GB2312" w:cs="仿宋_GB2312"/>
          <w:b/>
          <w:bCs/>
          <w:sz w:val="32"/>
          <w:szCs w:val="32"/>
        </w:rPr>
      </w:pPr>
      <w:r>
        <w:rPr>
          <w:rFonts w:hint="eastAsia" w:ascii="仿宋_GB2312" w:hAnsi="宋体" w:eastAsia="仿宋_GB2312" w:cs="仿宋_GB2312"/>
          <w:b/>
          <w:bCs/>
          <w:sz w:val="32"/>
          <w:szCs w:val="32"/>
        </w:rPr>
        <w:t>2.部门决算中特定目标类项目绩效自评结果。</w:t>
      </w:r>
    </w:p>
    <w:p>
      <w:pPr>
        <w:widowControl/>
        <w:spacing w:line="520" w:lineRule="exact"/>
        <w:ind w:firstLine="640" w:firstLineChars="200"/>
        <w:jc w:val="left"/>
        <w:rPr>
          <w:rFonts w:ascii="仿宋_GB2312" w:hAnsi="宋体" w:eastAsia="仿宋_GB2312" w:cs="仿宋_GB2312"/>
          <w:sz w:val="32"/>
          <w:szCs w:val="32"/>
        </w:rPr>
      </w:pPr>
      <w:r>
        <w:rPr>
          <w:rFonts w:hint="eastAsia" w:hAnsi="宋体" w:eastAsia="仿宋_GB2312" w:cs="仿宋_GB2312"/>
          <w:sz w:val="32"/>
          <w:szCs w:val="32"/>
        </w:rPr>
        <w:t>市公共采购交易中心</w:t>
      </w:r>
      <w:r>
        <w:rPr>
          <w:rFonts w:hint="eastAsia" w:ascii="仿宋" w:hAnsi="仿宋" w:eastAsia="仿宋"/>
          <w:sz w:val="32"/>
        </w:rPr>
        <w:t>2021年度无</w:t>
      </w:r>
      <w:r>
        <w:rPr>
          <w:rFonts w:hint="eastAsia" w:ascii="仿宋_GB2312" w:hAnsi="仿宋" w:eastAsia="仿宋_GB2312"/>
          <w:bCs/>
          <w:sz w:val="32"/>
        </w:rPr>
        <w:t>特定目标类项目</w:t>
      </w:r>
      <w:r>
        <w:rPr>
          <w:rFonts w:hint="eastAsia" w:ascii="仿宋_GB2312" w:hAnsi="宋体" w:eastAsia="仿宋_GB2312" w:cs="仿宋_GB2312"/>
          <w:sz w:val="32"/>
          <w:szCs w:val="32"/>
        </w:rPr>
        <w:t>。</w:t>
      </w:r>
    </w:p>
    <w:p>
      <w:pPr>
        <w:widowControl/>
        <w:jc w:val="center"/>
        <w:rPr>
          <w:rFonts w:ascii="仿宋_GB2312" w:hAnsi="宋体" w:eastAsia="仿宋_GB2312" w:cs="仿宋_GB2312"/>
          <w:sz w:val="32"/>
          <w:szCs w:val="32"/>
        </w:rPr>
        <w:sectPr>
          <w:footerReference r:id="rId3" w:type="default"/>
          <w:footerReference r:id="rId4" w:type="even"/>
          <w:pgSz w:w="11906" w:h="16838"/>
          <w:pgMar w:top="1701" w:right="1417" w:bottom="1701" w:left="1417" w:header="851" w:footer="992" w:gutter="0"/>
          <w:cols w:space="720" w:num="1"/>
          <w:docGrid w:type="lines" w:linePitch="312" w:charSpace="0"/>
        </w:sectPr>
      </w:pPr>
      <w:r>
        <w:rPr>
          <w:rFonts w:hint="eastAsia" w:ascii="仿宋_GB2312" w:hAnsi="宋体" w:eastAsia="仿宋_GB2312" w:cs="仿宋_GB2312"/>
          <w:sz w:val="32"/>
          <w:szCs w:val="32"/>
        </w:rPr>
        <w:br w:type="page"/>
      </w:r>
    </w:p>
    <w:tbl>
      <w:tblPr>
        <w:tblStyle w:val="4"/>
        <w:tblW w:w="14400" w:type="dxa"/>
        <w:tblInd w:w="93" w:type="dxa"/>
        <w:tblLayout w:type="autofit"/>
        <w:tblCellMar>
          <w:top w:w="0" w:type="dxa"/>
          <w:left w:w="108" w:type="dxa"/>
          <w:bottom w:w="0" w:type="dxa"/>
          <w:right w:w="108" w:type="dxa"/>
        </w:tblCellMar>
      </w:tblPr>
      <w:tblGrid>
        <w:gridCol w:w="2728"/>
        <w:gridCol w:w="2465"/>
        <w:gridCol w:w="1700"/>
        <w:gridCol w:w="2119"/>
        <w:gridCol w:w="1394"/>
        <w:gridCol w:w="1199"/>
        <w:gridCol w:w="1091"/>
        <w:gridCol w:w="1704"/>
      </w:tblGrid>
      <w:tr>
        <w:tblPrEx>
          <w:tblCellMar>
            <w:top w:w="0" w:type="dxa"/>
            <w:left w:w="108" w:type="dxa"/>
            <w:bottom w:w="0" w:type="dxa"/>
            <w:right w:w="108" w:type="dxa"/>
          </w:tblCellMar>
        </w:tblPrEx>
        <w:trPr>
          <w:trHeight w:val="642" w:hRule="atLeast"/>
        </w:trPr>
        <w:tc>
          <w:tcPr>
            <w:tcW w:w="14400" w:type="dxa"/>
            <w:gridSpan w:val="8"/>
            <w:tcBorders>
              <w:top w:val="nil"/>
              <w:left w:val="nil"/>
              <w:bottom w:val="nil"/>
              <w:right w:val="nil"/>
            </w:tcBorders>
            <w:shd w:val="clear" w:color="000000" w:fill="FFFFFF"/>
            <w:noWrap/>
            <w:vAlign w:val="center"/>
          </w:tcPr>
          <w:p>
            <w:pPr>
              <w:widowControl/>
              <w:jc w:val="center"/>
              <w:rPr>
                <w:rFonts w:ascii="宋体" w:hAnsi="宋体" w:cs="宋体"/>
                <w:b/>
                <w:bCs/>
                <w:color w:val="000000"/>
                <w:kern w:val="0"/>
                <w:sz w:val="32"/>
                <w:szCs w:val="32"/>
              </w:rPr>
            </w:pPr>
            <w:r>
              <w:rPr>
                <w:rFonts w:hint="eastAsia" w:ascii="宋体" w:hAnsi="宋体" w:cs="宋体"/>
                <w:b/>
                <w:bCs/>
                <w:color w:val="000000"/>
                <w:kern w:val="0"/>
                <w:sz w:val="32"/>
                <w:szCs w:val="32"/>
              </w:rPr>
              <w:t>部门（单位）整体绩效目标表</w:t>
            </w:r>
          </w:p>
        </w:tc>
      </w:tr>
      <w:tr>
        <w:tblPrEx>
          <w:tblCellMar>
            <w:top w:w="0" w:type="dxa"/>
            <w:left w:w="108" w:type="dxa"/>
            <w:bottom w:w="0" w:type="dxa"/>
            <w:right w:w="108" w:type="dxa"/>
          </w:tblCellMar>
        </w:tblPrEx>
        <w:trPr>
          <w:trHeight w:val="642" w:hRule="atLeast"/>
        </w:trPr>
        <w:tc>
          <w:tcPr>
            <w:tcW w:w="14400" w:type="dxa"/>
            <w:gridSpan w:val="8"/>
            <w:tcBorders>
              <w:top w:val="nil"/>
              <w:left w:val="nil"/>
              <w:bottom w:val="nil"/>
              <w:right w:val="nil"/>
            </w:tcBorders>
            <w:shd w:val="clear" w:color="000000" w:fill="FFFFFF"/>
            <w:noWrap/>
            <w:vAlign w:val="center"/>
          </w:tcPr>
          <w:p>
            <w:pPr>
              <w:widowControl/>
              <w:jc w:val="left"/>
              <w:rPr>
                <w:rFonts w:ascii="宋体" w:hAnsi="宋体" w:cs="宋体"/>
                <w:b/>
                <w:bCs/>
                <w:color w:val="000000"/>
                <w:kern w:val="0"/>
                <w:sz w:val="20"/>
                <w:szCs w:val="20"/>
              </w:rPr>
            </w:pPr>
            <w:r>
              <w:rPr>
                <w:rFonts w:hint="eastAsia" w:ascii="宋体" w:hAnsi="宋体" w:cs="宋体"/>
                <w:b/>
                <w:bCs/>
                <w:color w:val="000000"/>
                <w:kern w:val="0"/>
                <w:sz w:val="20"/>
                <w:szCs w:val="20"/>
              </w:rPr>
              <w:t>　</w:t>
            </w:r>
          </w:p>
        </w:tc>
      </w:tr>
      <w:tr>
        <w:tblPrEx>
          <w:tblCellMar>
            <w:top w:w="0" w:type="dxa"/>
            <w:left w:w="108" w:type="dxa"/>
            <w:bottom w:w="0" w:type="dxa"/>
            <w:right w:w="108" w:type="dxa"/>
          </w:tblCellMar>
        </w:tblPrEx>
        <w:trPr>
          <w:trHeight w:val="642" w:hRule="atLeast"/>
        </w:trPr>
        <w:tc>
          <w:tcPr>
            <w:tcW w:w="2728" w:type="dxa"/>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部门（单位）名称</w:t>
            </w:r>
          </w:p>
        </w:tc>
        <w:tc>
          <w:tcPr>
            <w:tcW w:w="11672" w:type="dxa"/>
            <w:gridSpan w:val="7"/>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145011盘锦市公共采购交易监督管理办公室-211100000</w:t>
            </w:r>
          </w:p>
        </w:tc>
      </w:tr>
      <w:tr>
        <w:tblPrEx>
          <w:tblCellMar>
            <w:top w:w="0" w:type="dxa"/>
            <w:left w:w="108" w:type="dxa"/>
            <w:bottom w:w="0" w:type="dxa"/>
            <w:right w:w="108" w:type="dxa"/>
          </w:tblCellMar>
        </w:tblPrEx>
        <w:trPr>
          <w:trHeight w:val="642" w:hRule="atLeast"/>
        </w:trPr>
        <w:tc>
          <w:tcPr>
            <w:tcW w:w="2728" w:type="dxa"/>
            <w:tcBorders>
              <w:top w:val="nil"/>
              <w:left w:val="single" w:color="auto" w:sz="4" w:space="0"/>
              <w:bottom w:val="nil"/>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年度预算收入</w:t>
            </w:r>
          </w:p>
        </w:tc>
        <w:tc>
          <w:tcPr>
            <w:tcW w:w="11672" w:type="dxa"/>
            <w:gridSpan w:val="7"/>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224.41</w:t>
            </w:r>
          </w:p>
        </w:tc>
      </w:tr>
      <w:tr>
        <w:tblPrEx>
          <w:tblCellMar>
            <w:top w:w="0" w:type="dxa"/>
            <w:left w:w="108" w:type="dxa"/>
            <w:bottom w:w="0" w:type="dxa"/>
            <w:right w:w="108" w:type="dxa"/>
          </w:tblCellMar>
        </w:tblPrEx>
        <w:trPr>
          <w:trHeight w:val="642" w:hRule="atLeast"/>
        </w:trPr>
        <w:tc>
          <w:tcPr>
            <w:tcW w:w="2728" w:type="dxa"/>
            <w:vMerge w:val="restart"/>
            <w:tcBorders>
              <w:top w:val="single" w:color="auto" w:sz="4" w:space="0"/>
              <w:left w:val="single" w:color="auto" w:sz="4" w:space="0"/>
              <w:bottom w:val="nil"/>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年度预算支出</w:t>
            </w:r>
          </w:p>
        </w:tc>
        <w:tc>
          <w:tcPr>
            <w:tcW w:w="4165" w:type="dxa"/>
            <w:gridSpan w:val="2"/>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年度部门预算支出</w:t>
            </w:r>
          </w:p>
        </w:tc>
        <w:tc>
          <w:tcPr>
            <w:tcW w:w="7507" w:type="dxa"/>
            <w:gridSpan w:val="5"/>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224.41</w:t>
            </w:r>
          </w:p>
        </w:tc>
      </w:tr>
      <w:tr>
        <w:tblPrEx>
          <w:tblCellMar>
            <w:top w:w="0" w:type="dxa"/>
            <w:left w:w="108" w:type="dxa"/>
            <w:bottom w:w="0" w:type="dxa"/>
            <w:right w:w="108" w:type="dxa"/>
          </w:tblCellMar>
        </w:tblPrEx>
        <w:trPr>
          <w:trHeight w:val="642" w:hRule="atLeast"/>
        </w:trPr>
        <w:tc>
          <w:tcPr>
            <w:tcW w:w="2728"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b/>
                <w:bCs/>
                <w:color w:val="000000"/>
                <w:kern w:val="0"/>
                <w:sz w:val="20"/>
                <w:szCs w:val="20"/>
              </w:rPr>
            </w:pPr>
          </w:p>
        </w:tc>
        <w:tc>
          <w:tcPr>
            <w:tcW w:w="4165" w:type="dxa"/>
            <w:gridSpan w:val="2"/>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人员类项目</w:t>
            </w:r>
          </w:p>
        </w:tc>
        <w:tc>
          <w:tcPr>
            <w:tcW w:w="211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173.65</w:t>
            </w:r>
          </w:p>
        </w:tc>
        <w:tc>
          <w:tcPr>
            <w:tcW w:w="2593" w:type="dxa"/>
            <w:gridSpan w:val="2"/>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其他运转类项目</w:t>
            </w:r>
          </w:p>
        </w:tc>
        <w:tc>
          <w:tcPr>
            <w:tcW w:w="2795" w:type="dxa"/>
            <w:gridSpan w:val="2"/>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18</w:t>
            </w:r>
          </w:p>
        </w:tc>
      </w:tr>
      <w:tr>
        <w:tblPrEx>
          <w:tblCellMar>
            <w:top w:w="0" w:type="dxa"/>
            <w:left w:w="108" w:type="dxa"/>
            <w:bottom w:w="0" w:type="dxa"/>
            <w:right w:w="108" w:type="dxa"/>
          </w:tblCellMar>
        </w:tblPrEx>
        <w:trPr>
          <w:trHeight w:val="642" w:hRule="atLeast"/>
        </w:trPr>
        <w:tc>
          <w:tcPr>
            <w:tcW w:w="2728"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b/>
                <w:bCs/>
                <w:color w:val="000000"/>
                <w:kern w:val="0"/>
                <w:sz w:val="20"/>
                <w:szCs w:val="20"/>
              </w:rPr>
            </w:pPr>
          </w:p>
        </w:tc>
        <w:tc>
          <w:tcPr>
            <w:tcW w:w="4165" w:type="dxa"/>
            <w:gridSpan w:val="2"/>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公用经费类项目</w:t>
            </w:r>
          </w:p>
        </w:tc>
        <w:tc>
          <w:tcPr>
            <w:tcW w:w="211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32.76</w:t>
            </w:r>
          </w:p>
        </w:tc>
        <w:tc>
          <w:tcPr>
            <w:tcW w:w="2593" w:type="dxa"/>
            <w:gridSpan w:val="2"/>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特定目标类项目</w:t>
            </w:r>
          </w:p>
        </w:tc>
        <w:tc>
          <w:tcPr>
            <w:tcW w:w="2795" w:type="dxa"/>
            <w:gridSpan w:val="2"/>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rPr>
          <w:trHeight w:val="642" w:hRule="atLeast"/>
        </w:trPr>
        <w:tc>
          <w:tcPr>
            <w:tcW w:w="2728"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年度主要任务</w:t>
            </w: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对应项目</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预算资金情况（万元）</w:t>
            </w:r>
          </w:p>
        </w:tc>
      </w:tr>
      <w:tr>
        <w:tblPrEx>
          <w:tblCellMar>
            <w:top w:w="0" w:type="dxa"/>
            <w:left w:w="108" w:type="dxa"/>
            <w:bottom w:w="0" w:type="dxa"/>
            <w:right w:w="108" w:type="dxa"/>
          </w:tblCellMar>
        </w:tblPrEx>
        <w:trPr>
          <w:trHeight w:val="642" w:hRule="atLeast"/>
        </w:trPr>
        <w:tc>
          <w:tcPr>
            <w:tcW w:w="2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系统维护服务费</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5</w:t>
            </w:r>
          </w:p>
        </w:tc>
      </w:tr>
      <w:tr>
        <w:tblPrEx>
          <w:tblCellMar>
            <w:top w:w="0" w:type="dxa"/>
            <w:left w:w="108" w:type="dxa"/>
            <w:bottom w:w="0" w:type="dxa"/>
            <w:right w:w="108" w:type="dxa"/>
          </w:tblCellMar>
        </w:tblPrEx>
        <w:trPr>
          <w:trHeight w:val="773" w:hRule="atLeast"/>
        </w:trPr>
        <w:tc>
          <w:tcPr>
            <w:tcW w:w="2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法律顾问聘用</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3</w:t>
            </w:r>
          </w:p>
        </w:tc>
      </w:tr>
      <w:tr>
        <w:tblPrEx>
          <w:tblCellMar>
            <w:top w:w="0" w:type="dxa"/>
            <w:left w:w="108" w:type="dxa"/>
            <w:bottom w:w="0" w:type="dxa"/>
            <w:right w:w="108" w:type="dxa"/>
          </w:tblCellMar>
        </w:tblPrEx>
        <w:trPr>
          <w:trHeight w:val="773" w:hRule="atLeast"/>
        </w:trPr>
        <w:tc>
          <w:tcPr>
            <w:tcW w:w="2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公共采购交易管理经费</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10</w:t>
            </w:r>
          </w:p>
        </w:tc>
      </w:tr>
      <w:tr>
        <w:tblPrEx>
          <w:tblCellMar>
            <w:top w:w="0" w:type="dxa"/>
            <w:left w:w="108" w:type="dxa"/>
            <w:bottom w:w="0" w:type="dxa"/>
            <w:right w:w="108" w:type="dxa"/>
          </w:tblCellMar>
        </w:tblPrEx>
        <w:trPr>
          <w:trHeight w:val="773" w:hRule="atLeast"/>
        </w:trPr>
        <w:tc>
          <w:tcPr>
            <w:tcW w:w="2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人员类项目</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173.65</w:t>
            </w:r>
          </w:p>
        </w:tc>
      </w:tr>
      <w:tr>
        <w:tblPrEx>
          <w:tblCellMar>
            <w:top w:w="0" w:type="dxa"/>
            <w:left w:w="108" w:type="dxa"/>
            <w:bottom w:w="0" w:type="dxa"/>
            <w:right w:w="108" w:type="dxa"/>
          </w:tblCellMar>
        </w:tblPrEx>
        <w:trPr>
          <w:trHeight w:val="773" w:hRule="atLeast"/>
        </w:trPr>
        <w:tc>
          <w:tcPr>
            <w:tcW w:w="2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7678" w:type="dxa"/>
            <w:gridSpan w:val="4"/>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公用经费项目</w:t>
            </w:r>
          </w:p>
        </w:tc>
        <w:tc>
          <w:tcPr>
            <w:tcW w:w="3994" w:type="dxa"/>
            <w:gridSpan w:val="3"/>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32.76</w:t>
            </w:r>
          </w:p>
        </w:tc>
      </w:tr>
      <w:tr>
        <w:tblPrEx>
          <w:tblCellMar>
            <w:top w:w="0" w:type="dxa"/>
            <w:left w:w="108" w:type="dxa"/>
            <w:bottom w:w="0" w:type="dxa"/>
            <w:right w:w="108" w:type="dxa"/>
          </w:tblCellMar>
        </w:tblPrEx>
        <w:trPr>
          <w:trHeight w:val="773" w:hRule="atLeast"/>
        </w:trPr>
        <w:tc>
          <w:tcPr>
            <w:tcW w:w="2728" w:type="dxa"/>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年度绩效目标</w:t>
            </w:r>
          </w:p>
        </w:tc>
        <w:tc>
          <w:tcPr>
            <w:tcW w:w="11672" w:type="dxa"/>
            <w:gridSpan w:val="7"/>
            <w:tcBorders>
              <w:top w:val="single" w:color="auto" w:sz="4" w:space="0"/>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促进信用监管与智慧监管相融实现综合监管与行业监管相结合</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全方位提升公共资源交易综合监管能力。</w:t>
            </w:r>
          </w:p>
        </w:tc>
      </w:tr>
      <w:tr>
        <w:tblPrEx>
          <w:tblCellMar>
            <w:top w:w="0" w:type="dxa"/>
            <w:left w:w="108" w:type="dxa"/>
            <w:bottom w:w="0" w:type="dxa"/>
            <w:right w:w="108" w:type="dxa"/>
          </w:tblCellMar>
        </w:tblPrEx>
        <w:trPr>
          <w:trHeight w:val="773" w:hRule="atLeast"/>
        </w:trPr>
        <w:tc>
          <w:tcPr>
            <w:tcW w:w="2728" w:type="dxa"/>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年度绩效指标</w:t>
            </w:r>
          </w:p>
        </w:tc>
        <w:tc>
          <w:tcPr>
            <w:tcW w:w="2465"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一级指标</w:t>
            </w:r>
          </w:p>
        </w:tc>
        <w:tc>
          <w:tcPr>
            <w:tcW w:w="1700"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二级指标</w:t>
            </w:r>
          </w:p>
        </w:tc>
        <w:tc>
          <w:tcPr>
            <w:tcW w:w="2119"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三级指标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运算符号</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指标值</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度量单位</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完成时限</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履职效能</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重点工作履行情况</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重点工作办结率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整体工作完成情况</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总体工作完成率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基础管理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综合管理水平</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管理规范</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预算执行</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预算执行效率</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预算执行率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管理效率</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预算编制管理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预算绩效目标覆盖率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预算监督管理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预决算公开情况</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全部公开</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预算收支管理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预算收入管理规范性</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管理规范</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财务管理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内控制度有效性</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制度有效</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资产管理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固定资产利用率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业务管理</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政府采购管理违法违规行为发生次数</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次</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运行成本</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成本控制成效</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在职人员控制率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&lt;=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社会效应</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社会效益</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平台及网络设备运行故障发生率</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&lt;=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服务对象满意度</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参训人员满意度</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&gt;=</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100</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r>
        <w:tblPrEx>
          <w:tblCellMar>
            <w:top w:w="0" w:type="dxa"/>
            <w:left w:w="108" w:type="dxa"/>
            <w:bottom w:w="0" w:type="dxa"/>
            <w:right w:w="108" w:type="dxa"/>
          </w:tblCellMar>
        </w:tblPrEx>
        <w:trPr>
          <w:trHeight w:val="773" w:hRule="atLeast"/>
        </w:trPr>
        <w:tc>
          <w:tcPr>
            <w:tcW w:w="2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0"/>
                <w:szCs w:val="20"/>
              </w:rPr>
            </w:pPr>
          </w:p>
        </w:tc>
        <w:tc>
          <w:tcPr>
            <w:tcW w:w="246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可持续性</w:t>
            </w:r>
          </w:p>
        </w:tc>
        <w:tc>
          <w:tcPr>
            <w:tcW w:w="170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体制机制改革</w:t>
            </w:r>
          </w:p>
        </w:tc>
        <w:tc>
          <w:tcPr>
            <w:tcW w:w="2119"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建立预算绩效管理机制</w:t>
            </w:r>
          </w:p>
        </w:tc>
        <w:tc>
          <w:tcPr>
            <w:tcW w:w="1394"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199"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完成</w:t>
            </w:r>
          </w:p>
        </w:tc>
        <w:tc>
          <w:tcPr>
            <w:tcW w:w="109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170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2021年12月</w:t>
            </w:r>
          </w:p>
        </w:tc>
      </w:tr>
    </w:tbl>
    <w:p>
      <w:pPr>
        <w:widowControl/>
        <w:ind w:firstLine="4640" w:firstLineChars="1450"/>
        <w:rPr>
          <w:rFonts w:ascii="仿宋_GB2312" w:hAnsi="宋体" w:eastAsia="仿宋_GB2312" w:cs="仿宋_GB2312"/>
          <w:sz w:val="32"/>
          <w:szCs w:val="32"/>
        </w:rPr>
        <w:sectPr>
          <w:pgSz w:w="16838" w:h="11906" w:orient="landscape"/>
          <w:pgMar w:top="1418" w:right="1701" w:bottom="1418" w:left="1701" w:header="851" w:footer="992" w:gutter="0"/>
          <w:cols w:space="720" w:num="1"/>
          <w:docGrid w:type="lines" w:linePitch="312" w:charSpace="0"/>
        </w:sectPr>
      </w:pPr>
      <w:r>
        <w:rPr>
          <w:rFonts w:hint="eastAsia" w:ascii="仿宋_GB2312" w:hAnsi="宋体" w:eastAsia="仿宋_GB2312" w:cs="仿宋_GB2312"/>
          <w:sz w:val="32"/>
          <w:szCs w:val="32"/>
        </w:rPr>
        <w:t xml:space="preserve">  </w:t>
      </w:r>
    </w:p>
    <w:p>
      <w:pPr>
        <w:widowControl/>
        <w:jc w:val="center"/>
        <w:rPr>
          <w:rFonts w:ascii="仿宋_GB2312" w:hAnsi="宋体" w:eastAsia="仿宋_GB2312" w:cs="仿宋_GB2312"/>
          <w:sz w:val="32"/>
          <w:szCs w:val="32"/>
        </w:rPr>
      </w:pPr>
      <w:r>
        <w:rPr>
          <w:rFonts w:hint="eastAsia" w:ascii="宋体" w:hAnsi="宋体"/>
          <w:b/>
          <w:sz w:val="36"/>
          <w:szCs w:val="36"/>
        </w:rPr>
        <w:t>第三部分 名词解释</w:t>
      </w:r>
    </w:p>
    <w:p>
      <w:pPr>
        <w:spacing w:line="540" w:lineRule="exact"/>
        <w:jc w:val="center"/>
        <w:rPr>
          <w:rFonts w:ascii="宋体" w:hAnsi="宋体"/>
          <w:b/>
          <w:sz w:val="36"/>
          <w:szCs w:val="36"/>
        </w:rPr>
      </w:pP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pPr>
        <w:spacing w:line="540" w:lineRule="exact"/>
        <w:ind w:firstLine="643" w:firstLineChars="200"/>
        <w:rPr>
          <w:rFonts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firstLine="643" w:firstLineChars="200"/>
        <w:rPr>
          <w:rFonts w:ascii="仿宋_GB2312" w:eastAsia="仿宋_GB2312"/>
          <w:sz w:val="32"/>
          <w:szCs w:val="32"/>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16.一般公共服务（类）</w:t>
      </w:r>
      <w:r>
        <w:rPr>
          <w:rFonts w:hint="eastAsia" w:ascii="仿宋_GB2312" w:eastAsia="仿宋_GB2312"/>
          <w:b/>
          <w:sz w:val="32"/>
          <w:szCs w:val="32"/>
          <w:lang w:eastAsia="zh-CN"/>
        </w:rPr>
        <w:t>政府办公厅（室）及相关机构事务</w:t>
      </w:r>
      <w:r>
        <w:rPr>
          <w:rFonts w:hint="eastAsia" w:ascii="仿宋_GB2312" w:eastAsia="仿宋_GB2312"/>
          <w:b/>
          <w:sz w:val="32"/>
          <w:szCs w:val="32"/>
        </w:rPr>
        <w:t>（款）</w:t>
      </w:r>
      <w:r>
        <w:rPr>
          <w:rFonts w:hint="eastAsia" w:ascii="仿宋_GB2312" w:eastAsia="仿宋_GB2312"/>
          <w:b/>
          <w:sz w:val="32"/>
          <w:szCs w:val="32"/>
          <w:lang w:eastAsia="zh-CN"/>
        </w:rPr>
        <w:t>事业</w:t>
      </w:r>
      <w:r>
        <w:rPr>
          <w:rFonts w:hint="eastAsia" w:ascii="仿宋_GB2312" w:eastAsia="仿宋_GB2312"/>
          <w:b/>
          <w:sz w:val="32"/>
          <w:szCs w:val="32"/>
        </w:rPr>
        <w:t>运行（项）：</w:t>
      </w:r>
      <w:r>
        <w:rPr>
          <w:rFonts w:hint="eastAsia" w:ascii="仿宋" w:hAnsi="仿宋" w:eastAsia="仿宋"/>
          <w:bCs/>
          <w:sz w:val="32"/>
          <w:szCs w:val="32"/>
        </w:rPr>
        <w:t>反映事业单位的基本支出，不包括行政单位（包括实行公务员管理的事业单位）后勤服务中心、医务室等附属事业单位。</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17.一般公共服务支出（类）政府办公厅（室）及相关机构事务（款）其他政府办公厅（室）及相关机构事务支出（项）：</w:t>
      </w:r>
      <w:r>
        <w:rPr>
          <w:rFonts w:hint="eastAsia" w:ascii="仿宋" w:hAnsi="仿宋" w:eastAsia="仿宋"/>
          <w:sz w:val="32"/>
          <w:szCs w:val="32"/>
        </w:rPr>
        <w:t>反映除上述项目以外的其他政府办公厅（室）及相关机构事务支出</w:t>
      </w:r>
    </w:p>
    <w:p>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18.社会保障和就业（类）行政事业单位离退休（款）事业单位离退休（项）：</w:t>
      </w:r>
      <w:r>
        <w:rPr>
          <w:rFonts w:hint="eastAsia" w:ascii="仿宋" w:hAnsi="仿宋" w:eastAsia="仿宋"/>
          <w:sz w:val="32"/>
          <w:szCs w:val="32"/>
        </w:rPr>
        <w:t>反映实行归口管理的事业单位开支的离退休经费。</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19.社会保障和就业支出（类）行政事业单位养老支出（款）机关事业单位基本养老保险缴费支出（项）：</w:t>
      </w:r>
      <w:r>
        <w:rPr>
          <w:rFonts w:hint="eastAsia" w:ascii="仿宋" w:hAnsi="仿宋" w:eastAsia="仿宋"/>
          <w:sz w:val="32"/>
          <w:szCs w:val="32"/>
        </w:rPr>
        <w:t>反映机关事业单位实施养老保险制度由单位缴纳的基本养老保险费支出。</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20.社会保障和就业支出（类）行政事业单位养老支出（款）机关事业单位职业年金缴费支出（项）：</w:t>
      </w:r>
      <w:r>
        <w:rPr>
          <w:rFonts w:hint="eastAsia" w:ascii="仿宋" w:hAnsi="仿宋" w:eastAsia="仿宋"/>
          <w:sz w:val="32"/>
          <w:szCs w:val="32"/>
        </w:rPr>
        <w:t>反映机关事业单位实施养老保险制度由单位实际缴纳的职业年金支出。</w:t>
      </w:r>
    </w:p>
    <w:p>
      <w:pPr>
        <w:spacing w:line="540" w:lineRule="exact"/>
        <w:ind w:firstLine="643" w:firstLineChars="200"/>
        <w:jc w:val="left"/>
        <w:rPr>
          <w:rFonts w:ascii="仿宋_GB2312" w:hAnsi="宋体" w:eastAsia="仿宋_GB2312"/>
          <w:sz w:val="32"/>
          <w:szCs w:val="32"/>
        </w:rPr>
      </w:pPr>
      <w:r>
        <w:rPr>
          <w:rFonts w:hint="eastAsia" w:ascii="仿宋" w:hAnsi="仿宋" w:eastAsia="仿宋"/>
          <w:b/>
          <w:bCs/>
          <w:sz w:val="32"/>
          <w:szCs w:val="32"/>
        </w:rPr>
        <w:t>21.社会保障和就业支出（类）其他社会保障和就业支出（款）其他社会保障和就业支出（项）</w:t>
      </w:r>
      <w:r>
        <w:rPr>
          <w:rFonts w:hint="eastAsia" w:ascii="仿宋" w:hAnsi="仿宋" w:eastAsia="仿宋"/>
          <w:sz w:val="32"/>
          <w:szCs w:val="32"/>
        </w:rPr>
        <w:t>：反映除上述项目以外其他用于社会保障和就业方面的支出。</w:t>
      </w:r>
    </w:p>
    <w:p>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22. 医疗卫生与计划生育（类）行政事业单位医疗（款）事业单位医疗（项）：</w:t>
      </w:r>
      <w:r>
        <w:rPr>
          <w:rFonts w:hint="eastAsia" w:ascii="仿宋" w:hAnsi="仿宋" w:eastAsia="仿宋"/>
          <w:sz w:val="32"/>
          <w:szCs w:val="32"/>
        </w:rPr>
        <w:t>反映财政部门集中安排的事业单位基本医疗保险缴费经费，未参加医疗保险的事业单位的公费医疗经费，按国家规定享受离休人员待遇的医疗经费。</w:t>
      </w:r>
    </w:p>
    <w:p>
      <w:pPr>
        <w:spacing w:line="540" w:lineRule="exact"/>
        <w:ind w:firstLine="643" w:firstLineChars="200"/>
        <w:jc w:val="left"/>
        <w:rPr>
          <w:rFonts w:ascii="仿宋" w:hAnsi="仿宋" w:eastAsia="仿宋"/>
          <w:sz w:val="32"/>
          <w:szCs w:val="32"/>
        </w:rPr>
      </w:pPr>
      <w:r>
        <w:rPr>
          <w:rFonts w:hint="eastAsia" w:ascii="仿宋_GB2312" w:hAnsi="宋体" w:eastAsia="仿宋_GB2312"/>
          <w:b/>
          <w:bCs/>
          <w:sz w:val="32"/>
          <w:szCs w:val="32"/>
        </w:rPr>
        <w:t>23.卫生健康支出（类）行政事业单位医疗（款）其他行政事业单位医疗支出（项）：</w:t>
      </w:r>
      <w:r>
        <w:rPr>
          <w:rFonts w:hint="eastAsia" w:ascii="仿宋_GB2312" w:hAnsi="宋体" w:eastAsia="仿宋_GB2312"/>
          <w:sz w:val="32"/>
          <w:szCs w:val="32"/>
        </w:rPr>
        <w:t>反映除上述项目以外的其他用于行政事业单位医疗方面的支出。</w:t>
      </w:r>
    </w:p>
    <w:p>
      <w:pPr>
        <w:spacing w:line="540" w:lineRule="exact"/>
        <w:ind w:firstLine="643" w:firstLineChars="200"/>
        <w:jc w:val="left"/>
        <w:rPr>
          <w:rFonts w:ascii="仿宋" w:hAnsi="仿宋" w:eastAsia="仿宋"/>
          <w:b/>
          <w:sz w:val="32"/>
          <w:szCs w:val="32"/>
        </w:rPr>
      </w:pPr>
      <w:r>
        <w:rPr>
          <w:rFonts w:hint="eastAsia" w:ascii="仿宋" w:hAnsi="仿宋" w:eastAsia="仿宋"/>
          <w:b/>
          <w:sz w:val="32"/>
          <w:szCs w:val="32"/>
        </w:rPr>
        <w:t>24.住房保障（类）住房改革（款）住房公积金（项）：</w:t>
      </w:r>
      <w:r>
        <w:rPr>
          <w:rFonts w:hint="eastAsia" w:ascii="仿宋" w:hAnsi="仿宋" w:eastAsia="仿宋"/>
          <w:sz w:val="32"/>
          <w:szCs w:val="32"/>
        </w:rPr>
        <w:t>反映行政事业单位按人力资源和社会保障部、财政部规定的基本工资和津贴补贴以及规定比例为职工缴纳的住房公积金。</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25.工资福利支出：</w:t>
      </w:r>
      <w:r>
        <w:rPr>
          <w:rFonts w:hint="eastAsia" w:ascii="仿宋" w:hAnsi="仿宋" w:eastAsia="仿宋"/>
          <w:sz w:val="32"/>
          <w:szCs w:val="32"/>
        </w:rPr>
        <w:t>反映单位开支的在职职工和编制外长期聘用人员的各类劳动报酬，以及为上述人员缴纳的各项社会保险费等。</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26.商品和服务支出：</w:t>
      </w:r>
      <w:r>
        <w:rPr>
          <w:rFonts w:hint="eastAsia" w:ascii="仿宋" w:hAnsi="仿宋" w:eastAsia="仿宋"/>
          <w:sz w:val="32"/>
          <w:szCs w:val="32"/>
        </w:rPr>
        <w:t>反映单位购买商品和服务的支出，不包括用于购置固定资产、战略性和应急性物资储备等资本性支出。</w:t>
      </w:r>
    </w:p>
    <w:p>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27.对个人和家庭补助：</w:t>
      </w:r>
      <w:r>
        <w:rPr>
          <w:rFonts w:hint="eastAsia" w:ascii="仿宋" w:hAnsi="仿宋" w:eastAsia="仿宋"/>
          <w:sz w:val="32"/>
          <w:szCs w:val="32"/>
        </w:rPr>
        <w:t>反映政府用于对个人和家庭的补助支出。</w:t>
      </w:r>
    </w:p>
    <w:p>
      <w:pPr>
        <w:spacing w:line="540" w:lineRule="exact"/>
        <w:ind w:firstLine="643" w:firstLineChars="200"/>
        <w:jc w:val="left"/>
        <w:rPr>
          <w:sz w:val="32"/>
          <w:szCs w:val="32"/>
        </w:rPr>
      </w:pPr>
      <w:r>
        <w:rPr>
          <w:rFonts w:hint="eastAsia" w:ascii="仿宋" w:hAnsi="仿宋" w:eastAsia="仿宋"/>
          <w:b/>
          <w:bCs/>
          <w:sz w:val="32"/>
          <w:szCs w:val="32"/>
        </w:rPr>
        <w:t>28.资本性支出：</w:t>
      </w:r>
      <w:r>
        <w:rPr>
          <w:rFonts w:hint="eastAsia" w:ascii="仿宋" w:hAnsi="仿宋" w:eastAsia="仿宋"/>
          <w:sz w:val="32"/>
          <w:szCs w:val="32"/>
        </w:rPr>
        <w:t>反映各单位安排的资本性支出。切块由发展改革部门安排的基本建设支出不在此科目反映。</w:t>
      </w:r>
      <w:bookmarkStart w:id="0" w:name="_GoBack"/>
      <w:bookmarkEnd w:id="0"/>
    </w:p>
    <w:p>
      <w:pPr>
        <w:spacing w:line="540" w:lineRule="exact"/>
        <w:ind w:firstLine="640" w:firstLineChars="200"/>
        <w:rPr>
          <w:rFonts w:hint="eastAsia" w:ascii="仿宋" w:hAnsi="仿宋" w:eastAsia="仿宋"/>
          <w:sz w:val="32"/>
          <w:szCs w:val="32"/>
          <w:highlight w:val="none"/>
          <w:lang w:eastAsia="zh-CN"/>
        </w:rPr>
      </w:pPr>
      <w:r>
        <w:rPr>
          <w:rFonts w:hint="eastAsia"/>
          <w:sz w:val="32"/>
          <w:szCs w:val="32"/>
          <w:highlight w:val="none"/>
          <w:lang w:val="en-US" w:eastAsia="zh-CN"/>
        </w:rPr>
        <w:t>29.</w:t>
      </w:r>
      <w:r>
        <w:rPr>
          <w:rFonts w:hint="eastAsia" w:ascii="仿宋" w:hAnsi="仿宋" w:eastAsia="仿宋"/>
          <w:b/>
          <w:sz w:val="32"/>
          <w:szCs w:val="32"/>
          <w:highlight w:val="none"/>
          <w:lang w:eastAsia="zh-CN"/>
        </w:rPr>
        <w:t>其他支出</w:t>
      </w:r>
      <w:r>
        <w:rPr>
          <w:rFonts w:hint="eastAsia" w:ascii="仿宋" w:hAnsi="仿宋" w:eastAsia="仿宋"/>
          <w:b/>
          <w:sz w:val="32"/>
          <w:szCs w:val="32"/>
          <w:highlight w:val="none"/>
        </w:rPr>
        <w:t>（类）</w:t>
      </w:r>
      <w:r>
        <w:rPr>
          <w:rFonts w:hint="eastAsia" w:ascii="仿宋" w:hAnsi="仿宋" w:eastAsia="仿宋"/>
          <w:b/>
          <w:sz w:val="32"/>
          <w:szCs w:val="32"/>
          <w:highlight w:val="none"/>
          <w:lang w:eastAsia="zh-CN"/>
        </w:rPr>
        <w:t>其他支出</w:t>
      </w:r>
      <w:r>
        <w:rPr>
          <w:rFonts w:hint="eastAsia" w:ascii="仿宋" w:hAnsi="仿宋" w:eastAsia="仿宋"/>
          <w:b/>
          <w:sz w:val="32"/>
          <w:szCs w:val="32"/>
          <w:highlight w:val="none"/>
        </w:rPr>
        <w:t>（款）</w:t>
      </w:r>
      <w:r>
        <w:rPr>
          <w:rFonts w:hint="eastAsia" w:ascii="仿宋" w:hAnsi="仿宋" w:eastAsia="仿宋"/>
          <w:b/>
          <w:sz w:val="32"/>
          <w:szCs w:val="32"/>
          <w:highlight w:val="none"/>
          <w:lang w:eastAsia="zh-CN"/>
        </w:rPr>
        <w:t>其他支出</w:t>
      </w:r>
      <w:r>
        <w:rPr>
          <w:rFonts w:hint="eastAsia" w:ascii="仿宋" w:hAnsi="仿宋" w:eastAsia="仿宋"/>
          <w:b/>
          <w:sz w:val="32"/>
          <w:szCs w:val="32"/>
          <w:highlight w:val="none"/>
        </w:rPr>
        <w:t>（项）</w:t>
      </w:r>
      <w:r>
        <w:rPr>
          <w:rFonts w:hint="eastAsia" w:ascii="仿宋" w:hAnsi="仿宋" w:eastAsia="仿宋"/>
          <w:sz w:val="32"/>
          <w:szCs w:val="32"/>
          <w:highlight w:val="none"/>
        </w:rPr>
        <w:t>反映</w:t>
      </w:r>
      <w:r>
        <w:rPr>
          <w:rFonts w:hint="eastAsia" w:ascii="仿宋" w:hAnsi="仿宋" w:eastAsia="仿宋"/>
          <w:sz w:val="32"/>
          <w:szCs w:val="32"/>
          <w:highlight w:val="none"/>
          <w:lang w:eastAsia="zh-CN"/>
        </w:rPr>
        <w:t>除上述项目以外其他不能划分到具体功能科目的支出项目。</w:t>
      </w:r>
    </w:p>
    <w:p>
      <w:pPr>
        <w:tabs>
          <w:tab w:val="left" w:pos="710"/>
        </w:tabs>
        <w:bidi w:val="0"/>
        <w:jc w:val="left"/>
        <w:rPr>
          <w:rFonts w:ascii="Times New Roman" w:hAnsi="Times New Roman" w:eastAsia="宋体" w:cs="Times New Roman"/>
          <w:kern w:val="2"/>
          <w:sz w:val="21"/>
          <w:szCs w:val="24"/>
          <w:highlight w:val="none"/>
          <w:lang w:val="en-US" w:eastAsia="zh-CN" w:bidi="ar-SA"/>
        </w:rPr>
        <w:sectPr>
          <w:pgSz w:w="11906" w:h="16838"/>
          <w:pgMar w:top="1701" w:right="1418" w:bottom="1701" w:left="1418" w:header="851" w:footer="992" w:gutter="0"/>
          <w:cols w:space="720" w:num="1"/>
          <w:docGrid w:type="lines" w:linePitch="312" w:charSpace="0"/>
        </w:sectPr>
      </w:pPr>
    </w:p>
    <w:p>
      <w:pPr>
        <w:spacing w:line="540" w:lineRule="exact"/>
        <w:rPr>
          <w:sz w:val="32"/>
          <w:szCs w:val="32"/>
        </w:rPr>
        <w:sectPr>
          <w:pgSz w:w="11906" w:h="16838"/>
          <w:pgMar w:top="1701" w:right="1418" w:bottom="1701" w:left="1418" w:header="851" w:footer="992" w:gutter="0"/>
          <w:cols w:space="720" w:num="1"/>
          <w:docGrid w:type="linesAndChars" w:linePitch="312" w:charSpace="0"/>
        </w:sectPr>
      </w:pPr>
    </w:p>
    <w:p>
      <w:pPr>
        <w:spacing w:line="540" w:lineRule="exact"/>
        <w:ind w:firstLine="640" w:firstLineChars="200"/>
        <w:jc w:val="left"/>
        <w:rPr>
          <w:rFonts w:ascii="仿宋_GB2312" w:eastAsia="仿宋_GB2312"/>
          <w:i/>
          <w:sz w:val="32"/>
          <w:szCs w:val="32"/>
          <w:u w:val="single"/>
        </w:rPr>
      </w:pPr>
    </w:p>
    <w:p>
      <w:pPr>
        <w:spacing w:line="540" w:lineRule="exact"/>
        <w:rPr>
          <w:rFonts w:ascii="宋体" w:hAnsi="宋体"/>
          <w:b/>
          <w:sz w:val="36"/>
          <w:szCs w:val="36"/>
        </w:rPr>
      </w:pPr>
    </w:p>
    <w:p>
      <w:pPr>
        <w:spacing w:line="540" w:lineRule="exact"/>
        <w:rPr>
          <w:rFonts w:ascii="宋体" w:hAnsi="宋体"/>
          <w:b/>
          <w:sz w:val="36"/>
          <w:szCs w:val="36"/>
        </w:rPr>
      </w:pPr>
    </w:p>
    <w:p>
      <w:pPr>
        <w:spacing w:line="540" w:lineRule="exact"/>
        <w:jc w:val="center"/>
        <w:rPr>
          <w:rFonts w:ascii="仿宋_GB2312" w:eastAsia="仿宋_GB2312"/>
          <w:sz w:val="52"/>
          <w:szCs w:val="52"/>
        </w:rPr>
      </w:pPr>
      <w:r>
        <w:rPr>
          <w:rFonts w:hint="eastAsia" w:ascii="宋体" w:hAnsi="宋体"/>
          <w:b/>
          <w:sz w:val="52"/>
          <w:szCs w:val="52"/>
        </w:rPr>
        <w:t>第四部分 2021年度部门决算表</w:t>
      </w:r>
    </w:p>
    <w:p>
      <w:pPr>
        <w:spacing w:line="540" w:lineRule="exact"/>
        <w:jc w:val="center"/>
        <w:rPr>
          <w:sz w:val="32"/>
          <w:szCs w:val="32"/>
        </w:rPr>
      </w:pPr>
    </w:p>
    <w:p>
      <w:pPr>
        <w:spacing w:line="540" w:lineRule="exact"/>
        <w:ind w:left="800" w:hanging="800" w:hangingChars="250"/>
        <w:rPr>
          <w:rFonts w:ascii="仿宋_GB2312" w:eastAsia="仿宋_GB2312"/>
          <w:sz w:val="32"/>
          <w:szCs w:val="32"/>
        </w:rPr>
      </w:pPr>
      <w:r>
        <w:rPr>
          <w:rFonts w:hint="eastAsia" w:ascii="仿宋_GB2312" w:eastAsia="仿宋_GB2312"/>
          <w:sz w:val="32"/>
          <w:szCs w:val="32"/>
        </w:rPr>
        <w:t>详见：《盘锦市公共采购交易监督管理办公室2021年度部门决算公开表》</w:t>
      </w:r>
    </w:p>
    <w:p/>
    <w:sectPr>
      <w:pgSz w:w="11906" w:h="16838"/>
      <w:pgMar w:top="1701" w:right="1418" w:bottom="1701" w:left="1418"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2</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6E7B1D"/>
    <w:multiLevelType w:val="multilevel"/>
    <w:tmpl w:val="406E7B1D"/>
    <w:lvl w:ilvl="0" w:tentative="0">
      <w:start w:val="1"/>
      <w:numFmt w:val="japaneseCounting"/>
      <w:lvlText w:val="%1、"/>
      <w:lvlJc w:val="left"/>
      <w:pPr>
        <w:ind w:left="1347" w:hanging="720"/>
      </w:pPr>
      <w:rPr>
        <w:rFonts w:hint="default"/>
      </w:rPr>
    </w:lvl>
    <w:lvl w:ilvl="1" w:tentative="0">
      <w:start w:val="1"/>
      <w:numFmt w:val="lowerLetter"/>
      <w:lvlText w:val="%2)"/>
      <w:lvlJc w:val="left"/>
      <w:pPr>
        <w:ind w:left="1467" w:hanging="420"/>
      </w:pPr>
    </w:lvl>
    <w:lvl w:ilvl="2" w:tentative="0">
      <w:start w:val="1"/>
      <w:numFmt w:val="lowerRoman"/>
      <w:lvlText w:val="%3."/>
      <w:lvlJc w:val="right"/>
      <w:pPr>
        <w:ind w:left="1887" w:hanging="420"/>
      </w:pPr>
    </w:lvl>
    <w:lvl w:ilvl="3" w:tentative="0">
      <w:start w:val="1"/>
      <w:numFmt w:val="decimal"/>
      <w:lvlText w:val="%4."/>
      <w:lvlJc w:val="left"/>
      <w:pPr>
        <w:ind w:left="2307" w:hanging="420"/>
      </w:pPr>
    </w:lvl>
    <w:lvl w:ilvl="4" w:tentative="0">
      <w:start w:val="1"/>
      <w:numFmt w:val="lowerLetter"/>
      <w:lvlText w:val="%5)"/>
      <w:lvlJc w:val="left"/>
      <w:pPr>
        <w:ind w:left="2727" w:hanging="420"/>
      </w:pPr>
    </w:lvl>
    <w:lvl w:ilvl="5" w:tentative="0">
      <w:start w:val="1"/>
      <w:numFmt w:val="lowerRoman"/>
      <w:lvlText w:val="%6."/>
      <w:lvlJc w:val="right"/>
      <w:pPr>
        <w:ind w:left="3147" w:hanging="420"/>
      </w:pPr>
    </w:lvl>
    <w:lvl w:ilvl="6" w:tentative="0">
      <w:start w:val="1"/>
      <w:numFmt w:val="decimal"/>
      <w:lvlText w:val="%7."/>
      <w:lvlJc w:val="left"/>
      <w:pPr>
        <w:ind w:left="3567" w:hanging="420"/>
      </w:pPr>
    </w:lvl>
    <w:lvl w:ilvl="7" w:tentative="0">
      <w:start w:val="1"/>
      <w:numFmt w:val="lowerLetter"/>
      <w:lvlText w:val="%8)"/>
      <w:lvlJc w:val="left"/>
      <w:pPr>
        <w:ind w:left="3987" w:hanging="420"/>
      </w:pPr>
    </w:lvl>
    <w:lvl w:ilvl="8" w:tentative="0">
      <w:start w:val="1"/>
      <w:numFmt w:val="lowerRoman"/>
      <w:lvlText w:val="%9."/>
      <w:lvlJc w:val="right"/>
      <w:pPr>
        <w:ind w:left="4407" w:hanging="420"/>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DY5MTk2MzYzZTMxZDQwNzA4ZWZjOWY3YjZjZDg0MWUifQ=="/>
  </w:docVars>
  <w:rsids>
    <w:rsidRoot w:val="00FF5E76"/>
    <w:rsid w:val="00035D14"/>
    <w:rsid w:val="0008273C"/>
    <w:rsid w:val="000C3BFD"/>
    <w:rsid w:val="000C7D1A"/>
    <w:rsid w:val="00216EDB"/>
    <w:rsid w:val="004F3C27"/>
    <w:rsid w:val="00581643"/>
    <w:rsid w:val="00651873"/>
    <w:rsid w:val="006A49D0"/>
    <w:rsid w:val="007B57C4"/>
    <w:rsid w:val="0098794F"/>
    <w:rsid w:val="00B0709F"/>
    <w:rsid w:val="00B97572"/>
    <w:rsid w:val="00BA2308"/>
    <w:rsid w:val="00BB07AC"/>
    <w:rsid w:val="00BF7800"/>
    <w:rsid w:val="00DC2641"/>
    <w:rsid w:val="00F4436A"/>
    <w:rsid w:val="00FD3F92"/>
    <w:rsid w:val="00FF5E76"/>
    <w:rsid w:val="1E25654C"/>
    <w:rsid w:val="5AA65F7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uiPriority w:val="0"/>
    <w:pPr>
      <w:tabs>
        <w:tab w:val="center" w:pos="4153"/>
        <w:tab w:val="right" w:pos="8306"/>
      </w:tabs>
      <w:snapToGrid w:val="0"/>
      <w:jc w:val="left"/>
    </w:pPr>
    <w:rPr>
      <w:sz w:val="18"/>
      <w:szCs w:val="18"/>
    </w:rPr>
  </w:style>
  <w:style w:type="paragraph" w:styleId="3">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style>
  <w:style w:type="character" w:customStyle="1" w:styleId="7">
    <w:name w:val="页眉 Char"/>
    <w:basedOn w:val="5"/>
    <w:link w:val="3"/>
    <w:semiHidden/>
    <w:uiPriority w:val="99"/>
    <w:rPr>
      <w:sz w:val="18"/>
      <w:szCs w:val="18"/>
    </w:rPr>
  </w:style>
  <w:style w:type="character" w:customStyle="1" w:styleId="8">
    <w:name w:val="页脚 Char"/>
    <w:basedOn w:val="5"/>
    <w:link w:val="2"/>
    <w:semiHidden/>
    <w:uiPriority w:val="99"/>
    <w:rPr>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19</Pages>
  <Words>6676</Words>
  <Characters>7430</Characters>
  <Lines>55</Lines>
  <Paragraphs>15</Paragraphs>
  <TotalTime>0</TotalTime>
  <ScaleCrop>false</ScaleCrop>
  <LinksUpToDate>false</LinksUpToDate>
  <CharactersWithSpaces>7469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2022-09-07T02:59:00Z</dcterms:created>
  <dc:creator>lenovo</dc:creator>
  <cp:lastModifiedBy>Administrator</cp:lastModifiedBy>
  <dcterms:modified xsi:type="dcterms:W3CDTF">2022-09-28T02:13:18Z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18CD7DB5C5344795A2FB5D704D68E032</vt:lpwstr>
  </property>
</Properties>
</file>