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b/>
          <w:sz w:val="52"/>
          <w:szCs w:val="52"/>
          <w:u w:val="single"/>
          <w:lang w:val="en-US" w:eastAsia="zh-CN"/>
        </w:rPr>
      </w:pPr>
    </w:p>
    <w:p>
      <w:pPr>
        <w:spacing w:line="480" w:lineRule="auto"/>
        <w:jc w:val="center"/>
        <w:rPr>
          <w:rFonts w:hint="eastAsia" w:ascii="宋体" w:hAnsi="宋体" w:eastAsia="宋体" w:cs="宋体"/>
          <w:b/>
          <w:sz w:val="44"/>
          <w:szCs w:val="44"/>
          <w:lang w:eastAsia="zh-CN"/>
        </w:rPr>
      </w:pPr>
      <w:r>
        <w:rPr>
          <w:rFonts w:hint="eastAsia" w:ascii="宋体" w:hAnsi="宋体" w:eastAsia="宋体" w:cs="宋体"/>
          <w:b/>
          <w:sz w:val="44"/>
          <w:szCs w:val="44"/>
        </w:rPr>
        <w:t>盘锦市</w:t>
      </w:r>
      <w:r>
        <w:rPr>
          <w:rFonts w:hint="eastAsia" w:ascii="宋体" w:hAnsi="宋体" w:eastAsia="宋体" w:cs="宋体"/>
          <w:b/>
          <w:sz w:val="44"/>
          <w:szCs w:val="44"/>
          <w:lang w:eastAsia="zh-CN"/>
        </w:rPr>
        <w:t>兴隆台区住房和城乡建设局</w:t>
      </w:r>
    </w:p>
    <w:p>
      <w:pPr>
        <w:spacing w:line="480" w:lineRule="auto"/>
        <w:jc w:val="center"/>
        <w:rPr>
          <w:rFonts w:hint="eastAsia" w:ascii="宋体" w:hAnsi="宋体" w:eastAsia="宋体" w:cs="宋体"/>
          <w:b/>
          <w:sz w:val="44"/>
          <w:szCs w:val="44"/>
          <w:lang w:val="en-US" w:eastAsia="zh-CN"/>
        </w:rPr>
      </w:pPr>
      <w:r>
        <w:rPr>
          <w:rFonts w:hint="eastAsia" w:ascii="宋体" w:hAnsi="宋体" w:eastAsia="宋体" w:cs="宋体"/>
          <w:b/>
          <w:sz w:val="44"/>
          <w:szCs w:val="44"/>
        </w:rPr>
        <w:t>20</w:t>
      </w:r>
      <w:r>
        <w:rPr>
          <w:rFonts w:hint="eastAsia" w:ascii="宋体" w:hAnsi="宋体" w:eastAsia="宋体" w:cs="宋体"/>
          <w:b/>
          <w:sz w:val="44"/>
          <w:szCs w:val="44"/>
          <w:lang w:val="en-US" w:eastAsia="zh-CN"/>
        </w:rPr>
        <w:t>22</w:t>
      </w:r>
      <w:r>
        <w:rPr>
          <w:rFonts w:hint="eastAsia" w:ascii="宋体" w:hAnsi="宋体" w:eastAsia="宋体" w:cs="宋体"/>
          <w:b/>
          <w:sz w:val="44"/>
          <w:szCs w:val="44"/>
        </w:rPr>
        <w:t>年度部门预算</w:t>
      </w:r>
      <w:r>
        <w:rPr>
          <w:rFonts w:hint="eastAsia" w:ascii="宋体" w:hAnsi="宋体" w:eastAsia="宋体" w:cs="宋体"/>
          <w:b/>
          <w:sz w:val="44"/>
          <w:szCs w:val="44"/>
          <w:lang w:val="en-US" w:eastAsia="zh-CN"/>
        </w:rPr>
        <w:t>报告</w:t>
      </w:r>
    </w:p>
    <w:p>
      <w:pPr>
        <w:spacing w:line="480" w:lineRule="auto"/>
        <w:jc w:val="center"/>
        <w:rPr>
          <w:rFonts w:hint="eastAsia" w:ascii="黑体" w:hAnsi="黑体" w:eastAsia="黑体" w:cs="黑体"/>
          <w:b/>
          <w:sz w:val="32"/>
          <w:szCs w:val="32"/>
          <w:lang w:val="en-US" w:eastAsia="zh-CN"/>
        </w:rPr>
      </w:pPr>
      <w:bookmarkStart w:id="0" w:name="_GoBack"/>
      <w:bookmarkEnd w:id="0"/>
    </w:p>
    <w:p>
      <w:pPr>
        <w:spacing w:line="480" w:lineRule="auto"/>
        <w:jc w:val="center"/>
        <w:rPr>
          <w:rFonts w:hint="eastAsia" w:ascii="黑体" w:hAnsi="黑体" w:eastAsia="黑体" w:cs="黑体"/>
          <w:b/>
          <w:sz w:val="32"/>
          <w:szCs w:val="32"/>
          <w:lang w:val="en-US" w:eastAsia="zh-CN"/>
        </w:rPr>
      </w:pPr>
    </w:p>
    <w:p>
      <w:pPr>
        <w:spacing w:line="480" w:lineRule="auto"/>
        <w:jc w:val="center"/>
        <w:rPr>
          <w:b w:val="0"/>
          <w:bCs/>
          <w:sz w:val="36"/>
          <w:szCs w:val="36"/>
          <w:u w:val="single"/>
        </w:rPr>
      </w:pPr>
      <w:r>
        <w:rPr>
          <w:rFonts w:hint="eastAsia" w:ascii="黑体" w:hAnsi="黑体" w:eastAsia="黑体" w:cs="黑体"/>
          <w:b w:val="0"/>
          <w:bCs/>
          <w:sz w:val="36"/>
          <w:szCs w:val="36"/>
          <w:lang w:val="en-US" w:eastAsia="zh-CN"/>
        </w:rPr>
        <w:t>目  录</w:t>
      </w:r>
    </w:p>
    <w:p>
      <w:pPr>
        <w:spacing w:line="540" w:lineRule="exact"/>
        <w:ind w:left="880" w:hanging="643" w:hangingChars="200"/>
        <w:rPr>
          <w:rFonts w:hint="eastAsia" w:ascii="仿宋" w:hAnsi="仿宋" w:eastAsia="仿宋" w:cs="仿宋"/>
          <w:b/>
          <w:bCs w:val="0"/>
          <w:color w:val="000000" w:themeColor="text1"/>
          <w:sz w:val="32"/>
          <w:szCs w:val="32"/>
          <w14:textFill>
            <w14:solidFill>
              <w14:schemeClr w14:val="tx1"/>
            </w14:solidFill>
          </w14:textFill>
        </w:rPr>
      </w:pPr>
      <w:r>
        <w:rPr>
          <w:rFonts w:hint="eastAsia" w:ascii="仿宋" w:hAnsi="仿宋" w:eastAsia="仿宋" w:cs="仿宋"/>
          <w:b/>
          <w:bCs w:val="0"/>
          <w:color w:val="000000" w:themeColor="text1"/>
          <w:sz w:val="32"/>
          <w:szCs w:val="32"/>
          <w14:textFill>
            <w14:solidFill>
              <w14:schemeClr w14:val="tx1"/>
            </w14:solidFill>
          </w14:textFill>
        </w:rPr>
        <w:t>第一部分</w:t>
      </w:r>
      <w:r>
        <w:rPr>
          <w:rFonts w:hint="eastAsia" w:ascii="仿宋" w:hAnsi="仿宋" w:eastAsia="仿宋" w:cs="仿宋"/>
          <w:b/>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b/>
          <w:bCs w:val="0"/>
          <w:color w:val="000000" w:themeColor="text1"/>
          <w:sz w:val="32"/>
          <w:szCs w:val="32"/>
          <w14:textFill>
            <w14:solidFill>
              <w14:schemeClr w14:val="tx1"/>
            </w14:solidFill>
          </w14:textFill>
        </w:rPr>
        <w:t>盘锦市</w:t>
      </w:r>
      <w:r>
        <w:rPr>
          <w:rFonts w:hint="eastAsia" w:ascii="仿宋" w:hAnsi="仿宋" w:eastAsia="仿宋" w:cs="仿宋"/>
          <w:b/>
          <w:bCs w:val="0"/>
          <w:color w:val="000000" w:themeColor="text1"/>
          <w:sz w:val="32"/>
          <w:szCs w:val="32"/>
          <w:lang w:val="en-US" w:eastAsia="zh-CN"/>
          <w14:textFill>
            <w14:solidFill>
              <w14:schemeClr w14:val="tx1"/>
            </w14:solidFill>
          </w14:textFill>
        </w:rPr>
        <w:t>兴隆台区住房和城乡建设局</w:t>
      </w:r>
      <w:r>
        <w:rPr>
          <w:rFonts w:hint="eastAsia" w:ascii="仿宋" w:hAnsi="仿宋" w:eastAsia="仿宋" w:cs="仿宋"/>
          <w:b/>
          <w:bCs w:val="0"/>
          <w:color w:val="000000" w:themeColor="text1"/>
          <w:sz w:val="32"/>
          <w:szCs w:val="32"/>
          <w14:textFill>
            <w14:solidFill>
              <w14:schemeClr w14:val="tx1"/>
            </w14:solidFill>
          </w14:textFill>
        </w:rPr>
        <w:t>部门概况</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一、主要职责</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二、机构设置</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三、部门预算单位构成</w:t>
      </w:r>
    </w:p>
    <w:p>
      <w:pPr>
        <w:spacing w:line="540" w:lineRule="exact"/>
        <w:ind w:left="1280" w:hanging="1285" w:hangingChars="4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第二部分</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bCs/>
          <w:color w:val="000000" w:themeColor="text1"/>
          <w:sz w:val="32"/>
          <w:szCs w:val="32"/>
          <w14:textFill>
            <w14:solidFill>
              <w14:schemeClr w14:val="tx1"/>
            </w14:solidFill>
          </w14:textFill>
        </w:rPr>
        <w:t>盘锦市</w:t>
      </w:r>
      <w:r>
        <w:rPr>
          <w:rFonts w:hint="eastAsia" w:ascii="仿宋" w:hAnsi="仿宋" w:eastAsia="仿宋" w:cs="仿宋"/>
          <w:b/>
          <w:bCs/>
          <w:color w:val="000000" w:themeColor="text1"/>
          <w:sz w:val="32"/>
          <w:szCs w:val="32"/>
          <w:lang w:val="en-US" w:eastAsia="zh-CN"/>
          <w14:textFill>
            <w14:solidFill>
              <w14:schemeClr w14:val="tx1"/>
            </w14:solidFill>
          </w14:textFill>
        </w:rPr>
        <w:t>兴隆台区住房和城乡建设局</w:t>
      </w:r>
      <w:r>
        <w:rPr>
          <w:rFonts w:hint="eastAsia" w:ascii="仿宋" w:hAnsi="仿宋" w:eastAsia="仿宋" w:cs="仿宋"/>
          <w:b/>
          <w:bCs/>
          <w:color w:val="000000" w:themeColor="text1"/>
          <w:sz w:val="32"/>
          <w:szCs w:val="32"/>
          <w14:textFill>
            <w14:solidFill>
              <w14:schemeClr w14:val="tx1"/>
            </w14:solidFill>
          </w14:textFill>
        </w:rPr>
        <w:t>20</w:t>
      </w:r>
      <w:r>
        <w:rPr>
          <w:rFonts w:hint="eastAsia" w:ascii="仿宋" w:hAnsi="仿宋" w:eastAsia="仿宋" w:cs="仿宋"/>
          <w:b/>
          <w:bCs/>
          <w:color w:val="000000" w:themeColor="text1"/>
          <w:sz w:val="32"/>
          <w:szCs w:val="32"/>
          <w:lang w:val="en-US" w:eastAsia="zh-CN"/>
          <w14:textFill>
            <w14:solidFill>
              <w14:schemeClr w14:val="tx1"/>
            </w14:solidFill>
          </w14:textFill>
        </w:rPr>
        <w:t>22</w:t>
      </w:r>
      <w:r>
        <w:rPr>
          <w:rFonts w:hint="eastAsia" w:ascii="仿宋" w:hAnsi="仿宋" w:eastAsia="仿宋" w:cs="仿宋"/>
          <w:b/>
          <w:bCs/>
          <w:color w:val="000000" w:themeColor="text1"/>
          <w:sz w:val="32"/>
          <w:szCs w:val="32"/>
          <w14:textFill>
            <w14:solidFill>
              <w14:schemeClr w14:val="tx1"/>
            </w14:solidFill>
          </w14:textFill>
        </w:rPr>
        <w:t>年度部门预算报表</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一、</w:t>
      </w:r>
      <w:r>
        <w:rPr>
          <w:rFonts w:hint="eastAsia" w:ascii="仿宋" w:hAnsi="仿宋" w:eastAsia="仿宋" w:cs="仿宋"/>
          <w:sz w:val="32"/>
          <w:szCs w:val="32"/>
          <w:lang w:val="en-US" w:eastAsia="zh-CN"/>
        </w:rPr>
        <w:t>2022年度收支预算总表</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二、2022年度收入预算总表</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三、2022年度支出预算总表</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四、2022年度财政拨款收支预算总表</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五、2022年度一般公共预算支出表</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六、2022年度一般公共预算基本支出表</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七、2022年度一般公共预算“三公”经费支出表</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八、2022年度政府性基金预算支出表</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九、2022年度部门综合预算项目支出表</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十、2022年度部门（单位）整体绩效目标表</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十一、2022年度部门预算项目（政策）绩效目标表</w:t>
      </w:r>
    </w:p>
    <w:p>
      <w:pPr>
        <w:spacing w:line="540" w:lineRule="exact"/>
        <w:ind w:left="1280" w:hanging="1285" w:hangingChars="4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第三部分 盘锦市</w:t>
      </w:r>
      <w:r>
        <w:rPr>
          <w:rFonts w:hint="eastAsia" w:ascii="仿宋" w:hAnsi="仿宋" w:eastAsia="仿宋" w:cs="仿宋"/>
          <w:b/>
          <w:bCs/>
          <w:color w:val="000000" w:themeColor="text1"/>
          <w:sz w:val="32"/>
          <w:szCs w:val="32"/>
          <w:lang w:val="en-US" w:eastAsia="zh-CN"/>
          <w14:textFill>
            <w14:solidFill>
              <w14:schemeClr w14:val="tx1"/>
            </w14:solidFill>
          </w14:textFill>
        </w:rPr>
        <w:t>兴隆台区住房和城乡建设局2022</w:t>
      </w:r>
      <w:r>
        <w:rPr>
          <w:rFonts w:hint="eastAsia" w:ascii="仿宋" w:hAnsi="仿宋" w:eastAsia="仿宋" w:cs="仿宋"/>
          <w:b/>
          <w:bCs/>
          <w:color w:val="000000" w:themeColor="text1"/>
          <w:sz w:val="32"/>
          <w:szCs w:val="32"/>
          <w14:textFill>
            <w14:solidFill>
              <w14:schemeClr w14:val="tx1"/>
            </w14:solidFill>
          </w14:textFill>
        </w:rPr>
        <w:t>年度部门预算情况说明</w:t>
      </w:r>
    </w:p>
    <w:p>
      <w:pPr>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一、收支</w:t>
      </w:r>
      <w:r>
        <w:rPr>
          <w:rFonts w:hint="eastAsia" w:ascii="仿宋" w:hAnsi="仿宋" w:eastAsia="仿宋" w:cs="仿宋"/>
          <w:sz w:val="32"/>
          <w:szCs w:val="32"/>
          <w:lang w:eastAsia="zh-CN"/>
        </w:rPr>
        <w:t>预算的总体</w:t>
      </w:r>
      <w:r>
        <w:rPr>
          <w:rFonts w:hint="eastAsia" w:ascii="仿宋" w:hAnsi="仿宋" w:eastAsia="仿宋" w:cs="仿宋"/>
          <w:sz w:val="32"/>
          <w:szCs w:val="32"/>
        </w:rPr>
        <w:t>情况</w:t>
      </w:r>
      <w:r>
        <w:rPr>
          <w:rFonts w:hint="eastAsia" w:ascii="仿宋" w:hAnsi="仿宋" w:eastAsia="仿宋" w:cs="仿宋"/>
          <w:sz w:val="32"/>
          <w:szCs w:val="32"/>
          <w:lang w:eastAsia="zh-CN"/>
        </w:rPr>
        <w:t>说明</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二、“三公”经费预算安排使用情况说明</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三、机关运行经费预算安排使用情况说明</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color w:val="000000" w:themeColor="text1"/>
          <w:sz w:val="32"/>
          <w:szCs w:val="32"/>
          <w14:textFill>
            <w14:solidFill>
              <w14:schemeClr w14:val="tx1"/>
            </w14:solidFill>
          </w14:textFill>
        </w:rPr>
        <w:t>其他重要事项的情况说明</w:t>
      </w:r>
    </w:p>
    <w:p>
      <w:pPr>
        <w:spacing w:line="540" w:lineRule="exact"/>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第四部分 名词解释</w:t>
      </w:r>
    </w:p>
    <w:p>
      <w:pPr>
        <w:spacing w:line="540" w:lineRule="exact"/>
        <w:jc w:val="both"/>
        <w:rPr>
          <w:rFonts w:hint="eastAsia" w:ascii="宋体" w:hAnsi="宋体"/>
          <w:b/>
          <w:sz w:val="44"/>
          <w:szCs w:val="44"/>
        </w:rPr>
      </w:pPr>
    </w:p>
    <w:p>
      <w:pPr>
        <w:spacing w:line="540" w:lineRule="exact"/>
        <w:jc w:val="both"/>
        <w:rPr>
          <w:rFonts w:hint="eastAsia" w:ascii="黑体" w:hAnsi="黑体" w:eastAsia="黑体" w:cs="黑体"/>
          <w:b/>
          <w:bCs w:val="0"/>
          <w:sz w:val="44"/>
          <w:szCs w:val="44"/>
        </w:rPr>
      </w:pPr>
    </w:p>
    <w:p>
      <w:pPr>
        <w:spacing w:line="540" w:lineRule="exact"/>
        <w:jc w:val="center"/>
        <w:rPr>
          <w:rFonts w:hint="eastAsia" w:ascii="黑体" w:hAnsi="黑体" w:eastAsia="黑体" w:cs="黑体"/>
          <w:b/>
          <w:bCs w:val="0"/>
          <w:sz w:val="44"/>
          <w:szCs w:val="44"/>
        </w:rPr>
      </w:pPr>
    </w:p>
    <w:p>
      <w:pPr>
        <w:spacing w:line="540" w:lineRule="exact"/>
        <w:jc w:val="center"/>
        <w:rPr>
          <w:rFonts w:hint="eastAsia" w:ascii="黑体" w:hAnsi="黑体" w:eastAsia="黑体" w:cs="黑体"/>
          <w:b/>
          <w:bCs w:val="0"/>
          <w:sz w:val="44"/>
          <w:szCs w:val="44"/>
        </w:rPr>
      </w:pPr>
    </w:p>
    <w:p>
      <w:pPr>
        <w:spacing w:line="540" w:lineRule="exact"/>
        <w:jc w:val="center"/>
        <w:rPr>
          <w:rFonts w:hint="eastAsia" w:ascii="黑体" w:hAnsi="黑体" w:eastAsia="黑体" w:cs="黑体"/>
          <w:b/>
          <w:bCs w:val="0"/>
          <w:sz w:val="44"/>
          <w:szCs w:val="44"/>
        </w:rPr>
      </w:pPr>
    </w:p>
    <w:p>
      <w:pPr>
        <w:spacing w:line="540" w:lineRule="exact"/>
        <w:jc w:val="center"/>
        <w:rPr>
          <w:rFonts w:hint="eastAsia" w:ascii="黑体" w:hAnsi="黑体" w:eastAsia="黑体" w:cs="黑体"/>
          <w:b w:val="0"/>
          <w:bCs/>
          <w:sz w:val="40"/>
          <w:szCs w:val="40"/>
        </w:rPr>
      </w:pPr>
      <w:r>
        <w:rPr>
          <w:rFonts w:hint="eastAsia" w:ascii="黑体" w:hAnsi="黑体" w:eastAsia="黑体" w:cs="黑体"/>
          <w:b w:val="0"/>
          <w:bCs/>
          <w:sz w:val="40"/>
          <w:szCs w:val="40"/>
        </w:rPr>
        <w:t>第一部分 盘锦市兴隆台区(</w:t>
      </w:r>
      <w:r>
        <w:rPr>
          <w:rFonts w:hint="eastAsia" w:ascii="黑体" w:hAnsi="黑体" w:eastAsia="黑体" w:cs="黑体"/>
          <w:b w:val="0"/>
          <w:bCs/>
          <w:sz w:val="40"/>
          <w:szCs w:val="40"/>
          <w:lang w:eastAsia="zh-CN"/>
        </w:rPr>
        <w:t>住建局</w:t>
      </w:r>
      <w:r>
        <w:rPr>
          <w:rFonts w:hint="eastAsia" w:ascii="黑体" w:hAnsi="黑体" w:eastAsia="黑体" w:cs="黑体"/>
          <w:b w:val="0"/>
          <w:bCs/>
          <w:sz w:val="40"/>
          <w:szCs w:val="40"/>
        </w:rPr>
        <w:t>)概况</w:t>
      </w:r>
    </w:p>
    <w:p>
      <w:pPr>
        <w:numPr>
          <w:ilvl w:val="0"/>
          <w:numId w:val="0"/>
        </w:numPr>
        <w:spacing w:line="600" w:lineRule="exact"/>
        <w:rPr>
          <w:rFonts w:hint="eastAsia" w:asciiTheme="minorEastAsia" w:hAnsiTheme="minorEastAsia" w:eastAsiaTheme="minorEastAsia" w:cstheme="minorEastAsia"/>
          <w:b w:val="0"/>
          <w:bCs w:val="0"/>
          <w:color w:val="FF0000"/>
          <w:sz w:val="36"/>
          <w:szCs w:val="36"/>
          <w:lang w:eastAsia="zh-CN"/>
        </w:rPr>
      </w:pPr>
    </w:p>
    <w:p>
      <w:pPr>
        <w:numPr>
          <w:ilvl w:val="0"/>
          <w:numId w:val="0"/>
        </w:numPr>
        <w:spacing w:line="600" w:lineRule="exact"/>
        <w:ind w:firstLine="640" w:firstLineChars="20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w:t>
      </w:r>
      <w:r>
        <w:rPr>
          <w:rFonts w:hint="eastAsia" w:ascii="黑体" w:hAnsi="黑体" w:eastAsia="黑体" w:cs="黑体"/>
          <w:b w:val="0"/>
          <w:bCs w:val="0"/>
          <w:color w:val="000000" w:themeColor="text1"/>
          <w:sz w:val="32"/>
          <w:szCs w:val="32"/>
          <w14:textFill>
            <w14:solidFill>
              <w14:schemeClr w14:val="tx1"/>
            </w14:solidFill>
          </w14:textFill>
        </w:rPr>
        <w:t>主要职责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（一）贯彻执</w:t>
      </w:r>
      <w:r>
        <w:rPr>
          <w:rFonts w:hint="eastAsia" w:ascii="仿宋_GB2312" w:hAnsi="仿宋_GB2312" w:eastAsia="仿宋_GB2312" w:cs="仿宋_GB2312"/>
          <w:sz w:val="32"/>
          <w:szCs w:val="32"/>
        </w:rPr>
        <w:t>行国家、省、市有关住房保障及住房制度改革、房地产业、建筑业、市政公用事业以及人民防空等工作的方针政策和法律法规，</w:t>
      </w:r>
      <w:r>
        <w:rPr>
          <w:rFonts w:hint="eastAsia" w:ascii="仿宋_GB2312" w:hAnsi="仿宋_GB2312" w:eastAsia="仿宋_GB2312" w:cs="仿宋_GB2312"/>
          <w:sz w:val="32"/>
          <w:szCs w:val="32"/>
          <w:lang w:val="en-US" w:eastAsia="zh-CN"/>
        </w:rPr>
        <w:t>落实市</w:t>
      </w:r>
      <w:r>
        <w:rPr>
          <w:rFonts w:hint="eastAsia" w:ascii="仿宋_GB2312" w:hAnsi="仿宋_GB2312" w:eastAsia="仿宋_GB2312" w:cs="仿宋_GB2312"/>
          <w:sz w:val="32"/>
          <w:szCs w:val="32"/>
        </w:rPr>
        <w:t>住房和城乡建设以及人民防空工作的有关地方性法规、规章草案和政策办法；负责提出区住房和城乡建设重大问题的政策建议，拟订全区住房和城乡建设事业的中长期规划并组织实施；负责制定人民防空工程建设规划、计划并组织实施，会同有关部门编制与城市相结合的人民防空建设规划、计划并监督实施；负责指导推进全区住房和城乡建设行业供给侧结构性改革和“放管服”改革工作，调整经济结构、优化产业布局、优化营商环境、服务行业发展。</w:t>
      </w:r>
    </w:p>
    <w:p>
      <w:pPr>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（二）负责承担保障城镇低收入家庭住房的责任，拟定全区住房保障发展规划和年度计划并指导实施；推进住房制度改革，拟定全区住房制度改革发展规划和年度计划并指导实施。</w:t>
      </w:r>
    </w:p>
    <w:p>
      <w:pPr>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（三）负责承担规范房地产市场秩序、监督管理房地产市场的责任</w:t>
      </w:r>
      <w:r>
        <w:rPr>
          <w:rFonts w:hint="eastAsia" w:ascii="仿宋_GB2312" w:hAnsi="仿宋_GB2312" w:eastAsia="仿宋_GB2312" w:cs="仿宋_GB2312"/>
          <w:sz w:val="32"/>
          <w:szCs w:val="32"/>
          <w:highlight w:val="none"/>
        </w:rPr>
        <w:t>，拟订房地产市场调控的政策措施并监督执行,拟定房地产开发及征收、房地产销售、房屋租赁、房屋修缮、拆改</w:t>
      </w:r>
      <w:r>
        <w:rPr>
          <w:rFonts w:hint="eastAsia" w:ascii="仿宋_GB2312" w:hAnsi="仿宋_GB2312" w:eastAsia="仿宋_GB2312" w:cs="仿宋_GB2312"/>
          <w:sz w:val="32"/>
          <w:szCs w:val="32"/>
        </w:rPr>
        <w:t>的规章制度并监督执行。</w:t>
      </w:r>
    </w:p>
    <w:p>
      <w:pPr>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（四）负责承担指导全区建筑活动并规范建筑市场秩序的责任，监督房屋和市政工程项目招标投标</w:t>
      </w:r>
      <w:r>
        <w:rPr>
          <w:rFonts w:hint="eastAsia" w:ascii="仿宋_GB2312" w:hAnsi="仿宋_GB2312" w:eastAsia="仿宋_GB2312" w:cs="仿宋_GB2312"/>
          <w:sz w:val="32"/>
          <w:szCs w:val="32"/>
          <w:highlight w:val="none"/>
        </w:rPr>
        <w:t>活动，拟定勘察设计、施工、抗震设防、建筑节能及墙体改革、建筑装饰装修、建设监理、工程质量监督和检测的政策、规章制度并监督实施；</w:t>
      </w:r>
      <w:r>
        <w:rPr>
          <w:rFonts w:hint="eastAsia" w:ascii="仿宋_GB2312" w:hAnsi="仿宋_GB2312" w:eastAsia="仿宋_GB2312" w:cs="仿宋_GB2312"/>
          <w:sz w:val="32"/>
          <w:szCs w:val="32"/>
        </w:rPr>
        <w:t>负责全区建筑业及中介机构的资质审批管理工作；负责建筑业各类人员培训教育、执业资格管理及执业注册管理。</w:t>
      </w:r>
    </w:p>
    <w:p>
      <w:pPr>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（五）负责承担城市建设管理的责任。负责监督、指导全区城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道路、桥梁、排水、城镇污水处理、供水、供热、燃气、城市防汛、园林、绿化以及环境卫生等市政基础设施建设及管理工作；会同文物主管部门负责历史文化名城（</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社区</w:t>
      </w:r>
      <w:r>
        <w:rPr>
          <w:rFonts w:hint="eastAsia" w:ascii="仿宋_GB2312" w:hAnsi="仿宋_GB2312" w:eastAsia="仿宋_GB2312" w:cs="仿宋_GB2312"/>
          <w:sz w:val="32"/>
          <w:szCs w:val="32"/>
        </w:rPr>
        <w:t>）的保护和监督管理工作；负</w:t>
      </w:r>
      <w:r>
        <w:rPr>
          <w:rFonts w:hint="eastAsia" w:ascii="仿宋_GB2312" w:hAnsi="仿宋_GB2312" w:eastAsia="仿宋_GB2312" w:cs="仿宋_GB2312"/>
          <w:sz w:val="32"/>
          <w:szCs w:val="32"/>
          <w:highlight w:val="none"/>
        </w:rPr>
        <w:t>责区财</w:t>
      </w:r>
      <w:r>
        <w:rPr>
          <w:rFonts w:hint="eastAsia" w:ascii="仿宋_GB2312" w:hAnsi="仿宋_GB2312" w:eastAsia="仿宋_GB2312" w:cs="仿宋_GB2312"/>
          <w:sz w:val="32"/>
          <w:szCs w:val="32"/>
          <w:highlight w:val="none"/>
          <w:lang w:val="en-US" w:eastAsia="zh-CN"/>
        </w:rPr>
        <w:t>政</w:t>
      </w:r>
      <w:r>
        <w:rPr>
          <w:rFonts w:hint="eastAsia" w:ascii="仿宋_GB2312" w:hAnsi="仿宋_GB2312" w:eastAsia="仿宋_GB2312" w:cs="仿宋_GB2312"/>
          <w:sz w:val="32"/>
          <w:szCs w:val="32"/>
          <w:highlight w:val="none"/>
        </w:rPr>
        <w:t>投资的</w:t>
      </w:r>
      <w:r>
        <w:rPr>
          <w:rFonts w:hint="eastAsia" w:ascii="仿宋_GB2312" w:hAnsi="仿宋_GB2312" w:eastAsia="仿宋_GB2312" w:cs="仿宋_GB2312"/>
          <w:sz w:val="32"/>
          <w:szCs w:val="32"/>
        </w:rPr>
        <w:t>市政基础设施工程的建设、维护与管理工作。</w:t>
      </w:r>
    </w:p>
    <w:p>
      <w:pPr>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（六）负责承担规范公用事业等市场秩序，监督管理城市供热、燃气及市容和环境卫生等市政公用事业市场、规范市场各方主体行为；研究拟定地方规范性文件及相关政策，并组织实施。</w:t>
      </w:r>
    </w:p>
    <w:p>
      <w:pPr>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highlight w:val="none"/>
        </w:rPr>
        <w:t>负责拟订小城镇</w:t>
      </w:r>
      <w:r>
        <w:rPr>
          <w:rFonts w:hint="eastAsia" w:ascii="仿宋_GB2312" w:hAnsi="仿宋_GB2312" w:eastAsia="仿宋_GB2312" w:cs="仿宋_GB2312"/>
          <w:sz w:val="32"/>
          <w:szCs w:val="32"/>
        </w:rPr>
        <w:t>和村庄建设政策并指导实施，指导村镇建设规划编制、农村住房建设和安全及危房改造，指导小城镇和村庄人居生态环境的改善工作，指导村镇建设规划监督检查及全区重点镇建设；配合有关部门推进特色小镇和小城镇建设工作。</w:t>
      </w:r>
    </w:p>
    <w:p>
      <w:pPr>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城市地下防护空间的规划、建设与管理，监督检查和指导城市建设，开发利用地下空间，贯彻人民防空要求的执行情况；制定并组织落实防空袭预案和各项保障方案，建立辅助决策系统，指导、监督有关部门和单位落实重要经济目标防护措施；制定并组织实施人民防空警报、通信建设规划、计划，组织协调通信保障工作；负责人民防空行政执法工作，组织开展人民防空宣传教育工作，检查、监督群众防空组织的组建、训练和演习工作；检查督促战时医疗救护、物资储备、水电供应和其他保障方案的落实；组织人民防空科学技术研究，收集、研究、汇总人民防空信息，为区政府组织开展人民防空工作提供信息保障；负责人民防空经费征收和国有资产管理工作。</w:t>
      </w:r>
    </w:p>
    <w:p>
      <w:pPr>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全区住房和城乡建设以及人民防空行业安全生产监管。承担建筑工程质量安全监管责任，拟定建筑工程质量、建筑安全生产和工程竣工验收备案的政策、规章制度并监督执行；承担公用事业行业安全监管责任，指导供水、供热、燃气企业开展安全管理，组织或参与工程重大质量、安全及公用事业安全生产事故的调查处理；指导监督人防工程规划、建设过程中的安全生产工作，负责指导监督、检查人防工程平战转换、开发利用及经营管理中的安全生产和消防安全工作。</w:t>
      </w:r>
    </w:p>
    <w:p>
      <w:pPr>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负责指导辖区内国有土地上房屋征收的工作。</w:t>
      </w:r>
    </w:p>
    <w:p>
      <w:pPr>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（十一）完成区委、区政府交办的其他任务。</w:t>
      </w:r>
    </w:p>
    <w:p>
      <w:pPr>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）职能转变。</w:t>
      </w:r>
    </w:p>
    <w:p>
      <w:pPr>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对全区城市管理工作的业务指导、组织协调、监督检查和考核评价；进一步强化保障性住房建设、房地产市场调控和促进建筑业发展相关职责，推进棚户区住房改造、房地产“去库存”和建筑产业现代化等工作。</w:t>
      </w:r>
    </w:p>
    <w:p>
      <w:pPr>
        <w:spacing w:line="600" w:lineRule="exact"/>
        <w:ind w:firstLine="627" w:firstLineChars="196"/>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）有关职责分工</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1、与区交通运输局的有关职责分工。区住房和城乡建设局负责指导城市地铁、轨道交通的规划、建设;区交通运输局负责指导城市地铁、轨道交通的运营。</w:t>
      </w:r>
    </w:p>
    <w:p>
      <w:pPr>
        <w:pStyle w:val="15"/>
        <w:spacing w:before="0" w:beforeLines="0" w:beforeAutospacing="0" w:after="0" w:afterLines="0" w:afterAutospacing="0" w:line="600" w:lineRule="exact"/>
        <w:ind w:firstLine="640" w:firstLineChars="200"/>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二、机构设置</w:t>
      </w:r>
    </w:p>
    <w:p>
      <w:pPr>
        <w:pStyle w:val="15"/>
        <w:spacing w:before="0" w:beforeLines="0" w:beforeAutospacing="0" w:after="0" w:afterLines="0" w:afterAutospacing="0" w:line="600" w:lineRule="exact"/>
        <w:ind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（一）</w:t>
      </w:r>
      <w:r>
        <w:rPr>
          <w:rFonts w:hint="eastAsia" w:ascii="仿宋" w:hAnsi="仿宋" w:eastAsia="仿宋" w:cs="仿宋"/>
          <w:b w:val="0"/>
          <w:bCs w:val="0"/>
          <w:color w:val="000000" w:themeColor="text1"/>
          <w:sz w:val="32"/>
          <w:szCs w:val="32"/>
          <w14:textFill>
            <w14:solidFill>
              <w14:schemeClr w14:val="tx1"/>
            </w14:solidFill>
          </w14:textFill>
        </w:rPr>
        <w:t>盘锦市兴隆台区</w:t>
      </w:r>
      <w:r>
        <w:rPr>
          <w:rStyle w:val="9"/>
          <w:rFonts w:hint="eastAsia" w:ascii="仿宋" w:hAnsi="仿宋" w:eastAsia="仿宋" w:cs="仿宋"/>
          <w:b w:val="0"/>
          <w:bCs w:val="0"/>
          <w:color w:val="000000" w:themeColor="text1"/>
          <w:sz w:val="32"/>
          <w:szCs w:val="32"/>
          <w14:textFill>
            <w14:solidFill>
              <w14:schemeClr w14:val="tx1"/>
            </w14:solidFill>
          </w14:textFill>
        </w:rPr>
        <w:t>住房和城乡建设局</w:t>
      </w:r>
      <w:r>
        <w:rPr>
          <w:rFonts w:hint="eastAsia" w:ascii="仿宋" w:hAnsi="仿宋" w:eastAsia="仿宋" w:cs="仿宋"/>
          <w:b w:val="0"/>
          <w:bCs w:val="0"/>
          <w:color w:val="000000" w:themeColor="text1"/>
          <w:sz w:val="32"/>
          <w:szCs w:val="32"/>
          <w14:textFill>
            <w14:solidFill>
              <w14:schemeClr w14:val="tx1"/>
            </w14:solidFill>
          </w14:textFill>
        </w:rPr>
        <w:t>内设机构另行规定。</w:t>
      </w:r>
    </w:p>
    <w:p>
      <w:pPr>
        <w:spacing w:line="600" w:lineRule="exact"/>
        <w:ind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（二）</w:t>
      </w:r>
      <w:r>
        <w:rPr>
          <w:rFonts w:hint="eastAsia" w:ascii="仿宋" w:hAnsi="仿宋" w:eastAsia="仿宋" w:cs="仿宋"/>
          <w:b w:val="0"/>
          <w:bCs w:val="0"/>
          <w:color w:val="000000" w:themeColor="text1"/>
          <w:sz w:val="32"/>
          <w:szCs w:val="32"/>
          <w14:textFill>
            <w14:solidFill>
              <w14:schemeClr w14:val="tx1"/>
            </w14:solidFill>
          </w14:textFill>
        </w:rPr>
        <w:t>盘锦市兴隆台区住房和城乡建设局机关行政编制1</w:t>
      </w:r>
      <w:r>
        <w:rPr>
          <w:rFonts w:hint="eastAsia" w:ascii="仿宋" w:hAnsi="仿宋" w:eastAsia="仿宋" w:cs="仿宋"/>
          <w:b w:val="0"/>
          <w:bCs w:val="0"/>
          <w:color w:val="000000" w:themeColor="text1"/>
          <w:sz w:val="32"/>
          <w:szCs w:val="32"/>
          <w:lang w:val="en-US" w:eastAsia="zh-CN"/>
          <w14:textFill>
            <w14:solidFill>
              <w14:schemeClr w14:val="tx1"/>
            </w14:solidFill>
          </w14:textFill>
        </w:rPr>
        <w:t>0</w:t>
      </w:r>
      <w:r>
        <w:rPr>
          <w:rFonts w:hint="eastAsia" w:ascii="仿宋" w:hAnsi="仿宋" w:eastAsia="仿宋" w:cs="仿宋"/>
          <w:b w:val="0"/>
          <w:bCs w:val="0"/>
          <w:color w:val="000000" w:themeColor="text1"/>
          <w:sz w:val="32"/>
          <w:szCs w:val="32"/>
          <w14:textFill>
            <w14:solidFill>
              <w14:schemeClr w14:val="tx1"/>
            </w14:solidFill>
          </w14:textFill>
        </w:rPr>
        <w:t>名。设局长1名；副局长3名，其中1名兼任人民防空办公室主任。</w:t>
      </w:r>
    </w:p>
    <w:p>
      <w:pPr>
        <w:spacing w:line="540" w:lineRule="exact"/>
        <w:ind w:firstLine="640" w:firstLineChars="20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三、部门预算单位构成</w:t>
      </w:r>
    </w:p>
    <w:p>
      <w:pPr>
        <w:spacing w:line="540" w:lineRule="exact"/>
        <w:ind w:firstLine="640" w:firstLineChars="200"/>
        <w:jc w:val="both"/>
        <w:rPr>
          <w:rFonts w:hint="eastAsia" w:ascii="黑体" w:eastAsia="仿宋"/>
          <w:sz w:val="32"/>
          <w:szCs w:val="32"/>
          <w:lang w:val="en-US" w:eastAsia="zh-CN"/>
        </w:rPr>
      </w:pPr>
      <w:r>
        <w:rPr>
          <w:rFonts w:hint="eastAsia" w:ascii="仿宋" w:hAnsi="仿宋" w:eastAsia="仿宋" w:cs="仿宋"/>
          <w:sz w:val="32"/>
          <w:lang w:eastAsia="zh-CN"/>
        </w:rPr>
        <w:t>（一）</w:t>
      </w:r>
      <w:r>
        <w:rPr>
          <w:rFonts w:hint="eastAsia" w:ascii="仿宋" w:hAnsi="仿宋" w:eastAsia="仿宋" w:cs="仿宋"/>
          <w:sz w:val="32"/>
        </w:rPr>
        <w:t>纳入盘锦市</w:t>
      </w:r>
      <w:r>
        <w:rPr>
          <w:rFonts w:hint="eastAsia" w:ascii="仿宋" w:hAnsi="仿宋" w:eastAsia="仿宋" w:cs="仿宋"/>
          <w:sz w:val="32"/>
          <w:lang w:eastAsia="zh-CN"/>
        </w:rPr>
        <w:t>兴隆台区住房和城乡建设局</w:t>
      </w:r>
      <w:r>
        <w:rPr>
          <w:rFonts w:hint="eastAsia" w:ascii="仿宋" w:hAnsi="仿宋" w:eastAsia="仿宋" w:cs="仿宋"/>
          <w:sz w:val="32"/>
        </w:rPr>
        <w:t>20</w:t>
      </w:r>
      <w:r>
        <w:rPr>
          <w:rFonts w:hint="eastAsia" w:ascii="仿宋" w:hAnsi="仿宋" w:eastAsia="仿宋" w:cs="仿宋"/>
          <w:sz w:val="32"/>
          <w:lang w:val="en-US" w:eastAsia="zh-CN"/>
        </w:rPr>
        <w:t>22</w:t>
      </w:r>
      <w:r>
        <w:rPr>
          <w:rFonts w:hint="eastAsia" w:ascii="仿宋" w:hAnsi="仿宋" w:eastAsia="仿宋" w:cs="仿宋"/>
          <w:sz w:val="32"/>
        </w:rPr>
        <w:t>年度部门预算编制范围的二级</w:t>
      </w:r>
      <w:r>
        <w:rPr>
          <w:rFonts w:hint="eastAsia" w:ascii="仿宋" w:hAnsi="仿宋" w:eastAsia="仿宋" w:cs="仿宋"/>
          <w:sz w:val="32"/>
          <w:lang w:eastAsia="zh-CN"/>
        </w:rPr>
        <w:t>预算</w:t>
      </w:r>
      <w:r>
        <w:rPr>
          <w:rFonts w:hint="eastAsia" w:ascii="仿宋" w:hAnsi="仿宋" w:eastAsia="仿宋" w:cs="仿宋"/>
          <w:sz w:val="32"/>
        </w:rPr>
        <w:t>单位</w:t>
      </w:r>
      <w:r>
        <w:rPr>
          <w:rFonts w:hint="eastAsia" w:ascii="仿宋" w:hAnsi="仿宋" w:eastAsia="仿宋" w:cs="仿宋"/>
          <w:sz w:val="32"/>
          <w:lang w:eastAsia="zh-CN"/>
        </w:rPr>
        <w:t>。</w:t>
      </w:r>
    </w:p>
    <w:p>
      <w:pPr>
        <w:numPr>
          <w:ilvl w:val="0"/>
          <w:numId w:val="0"/>
        </w:numPr>
        <w:spacing w:line="540" w:lineRule="exact"/>
        <w:jc w:val="both"/>
        <w:rPr>
          <w:rFonts w:hint="eastAsia" w:ascii="宋体" w:hAnsi="宋体"/>
          <w:b/>
          <w:sz w:val="40"/>
          <w:szCs w:val="40"/>
          <w:lang w:eastAsia="zh-CN"/>
        </w:rPr>
      </w:pPr>
    </w:p>
    <w:p>
      <w:pPr>
        <w:numPr>
          <w:ilvl w:val="0"/>
          <w:numId w:val="0"/>
        </w:numPr>
        <w:spacing w:line="540" w:lineRule="exact"/>
        <w:jc w:val="both"/>
        <w:rPr>
          <w:rFonts w:hint="eastAsia" w:ascii="宋体" w:hAnsi="宋体"/>
          <w:b/>
          <w:sz w:val="40"/>
          <w:szCs w:val="40"/>
          <w:lang w:eastAsia="zh-CN"/>
        </w:rPr>
      </w:pPr>
    </w:p>
    <w:p>
      <w:pPr>
        <w:numPr>
          <w:ilvl w:val="0"/>
          <w:numId w:val="0"/>
        </w:numPr>
        <w:spacing w:line="540" w:lineRule="exact"/>
        <w:jc w:val="both"/>
        <w:rPr>
          <w:rFonts w:hint="eastAsia" w:ascii="黑体" w:hAnsi="黑体" w:eastAsia="黑体" w:cs="黑体"/>
          <w:b/>
          <w:sz w:val="40"/>
          <w:szCs w:val="40"/>
          <w:lang w:eastAsia="zh-CN"/>
        </w:rPr>
      </w:pPr>
    </w:p>
    <w:p>
      <w:pPr>
        <w:numPr>
          <w:ilvl w:val="0"/>
          <w:numId w:val="0"/>
        </w:numPr>
        <w:spacing w:line="540" w:lineRule="exact"/>
        <w:ind w:left="2000" w:hanging="2000" w:hangingChars="500"/>
        <w:jc w:val="left"/>
        <w:rPr>
          <w:rFonts w:hint="eastAsia" w:ascii="黑体" w:hAnsi="黑体" w:eastAsia="黑体" w:cs="黑体"/>
          <w:b w:val="0"/>
          <w:bCs/>
          <w:sz w:val="40"/>
          <w:szCs w:val="40"/>
        </w:rPr>
      </w:pPr>
      <w:r>
        <w:rPr>
          <w:rFonts w:hint="eastAsia" w:ascii="黑体" w:hAnsi="黑体" w:eastAsia="黑体" w:cs="黑体"/>
          <w:b w:val="0"/>
          <w:bCs/>
          <w:sz w:val="40"/>
          <w:szCs w:val="40"/>
          <w:lang w:eastAsia="zh-CN"/>
        </w:rPr>
        <w:t>第二部分</w:t>
      </w:r>
      <w:r>
        <w:rPr>
          <w:rFonts w:hint="eastAsia" w:ascii="黑体" w:hAnsi="黑体" w:eastAsia="黑体" w:cs="黑体"/>
          <w:b w:val="0"/>
          <w:bCs/>
          <w:sz w:val="40"/>
          <w:szCs w:val="40"/>
          <w:lang w:val="en-US" w:eastAsia="zh-CN"/>
        </w:rPr>
        <w:t xml:space="preserve"> </w:t>
      </w:r>
      <w:r>
        <w:rPr>
          <w:rFonts w:hint="eastAsia" w:ascii="黑体" w:hAnsi="黑体" w:eastAsia="黑体" w:cs="黑体"/>
          <w:b w:val="0"/>
          <w:bCs/>
          <w:sz w:val="40"/>
          <w:szCs w:val="40"/>
        </w:rPr>
        <w:t>盘锦市兴隆台区</w:t>
      </w:r>
      <w:r>
        <w:rPr>
          <w:rFonts w:hint="eastAsia" w:ascii="黑体" w:hAnsi="黑体" w:eastAsia="黑体" w:cs="黑体"/>
          <w:b w:val="0"/>
          <w:bCs/>
          <w:sz w:val="40"/>
          <w:szCs w:val="40"/>
          <w:lang w:eastAsia="zh-CN"/>
        </w:rPr>
        <w:t>住房和城乡建设局</w:t>
      </w:r>
      <w:r>
        <w:rPr>
          <w:rFonts w:hint="eastAsia" w:ascii="黑体" w:hAnsi="黑体" w:eastAsia="黑体" w:cs="黑体"/>
          <w:b w:val="0"/>
          <w:bCs/>
          <w:sz w:val="40"/>
          <w:szCs w:val="40"/>
          <w:lang w:val="en-US" w:eastAsia="zh-CN"/>
        </w:rPr>
        <w:t xml:space="preserve"> </w:t>
      </w:r>
      <w:r>
        <w:rPr>
          <w:rFonts w:hint="eastAsia" w:ascii="黑体" w:hAnsi="黑体" w:eastAsia="黑体" w:cs="黑体"/>
          <w:b w:val="0"/>
          <w:bCs/>
          <w:sz w:val="40"/>
          <w:szCs w:val="40"/>
        </w:rPr>
        <w:t>20</w:t>
      </w:r>
      <w:r>
        <w:rPr>
          <w:rFonts w:hint="eastAsia" w:ascii="黑体" w:hAnsi="黑体" w:eastAsia="黑体" w:cs="黑体"/>
          <w:b w:val="0"/>
          <w:bCs/>
          <w:sz w:val="40"/>
          <w:szCs w:val="40"/>
          <w:lang w:val="en-US" w:eastAsia="zh-CN"/>
        </w:rPr>
        <w:t>22</w:t>
      </w:r>
      <w:r>
        <w:rPr>
          <w:rFonts w:hint="eastAsia" w:ascii="黑体" w:hAnsi="黑体" w:eastAsia="黑体" w:cs="黑体"/>
          <w:b w:val="0"/>
          <w:bCs/>
          <w:sz w:val="40"/>
          <w:szCs w:val="40"/>
        </w:rPr>
        <w:t>年度部门预算公开报表</w:t>
      </w:r>
    </w:p>
    <w:p>
      <w:pPr>
        <w:numPr>
          <w:ilvl w:val="0"/>
          <w:numId w:val="0"/>
        </w:numPr>
        <w:spacing w:line="540" w:lineRule="exact"/>
        <w:ind w:leftChars="0"/>
        <w:jc w:val="center"/>
        <w:rPr>
          <w:rFonts w:hint="eastAsia" w:ascii="黑体" w:hAnsi="黑体" w:eastAsia="黑体" w:cs="黑体"/>
          <w:b w:val="0"/>
          <w:bCs/>
          <w:color w:val="FF0000"/>
          <w:sz w:val="28"/>
          <w:szCs w:val="28"/>
          <w:lang w:val="en-US" w:eastAsia="zh-CN"/>
        </w:rPr>
      </w:pPr>
    </w:p>
    <w:p>
      <w:pPr>
        <w:numPr>
          <w:ilvl w:val="0"/>
          <w:numId w:val="0"/>
        </w:numPr>
        <w:spacing w:line="540" w:lineRule="exact"/>
        <w:ind w:leftChars="0"/>
        <w:jc w:val="center"/>
        <w:rPr>
          <w:rFonts w:hint="eastAsia" w:ascii="黑体" w:hAnsi="黑体" w:eastAsia="黑体" w:cs="黑体"/>
          <w:b w:val="0"/>
          <w:bCs/>
          <w:color w:val="FF0000"/>
          <w:sz w:val="32"/>
          <w:szCs w:val="32"/>
          <w:lang w:eastAsia="zh-CN"/>
        </w:rPr>
      </w:pPr>
      <w:r>
        <w:rPr>
          <w:rFonts w:hint="eastAsia" w:ascii="黑体" w:hAnsi="黑体" w:eastAsia="黑体" w:cs="黑体"/>
          <w:b w:val="0"/>
          <w:bCs/>
          <w:color w:val="FF0000"/>
          <w:sz w:val="28"/>
          <w:szCs w:val="28"/>
          <w:lang w:val="en-US" w:eastAsia="zh-CN"/>
        </w:rPr>
        <w:t xml:space="preserve"> </w:t>
      </w:r>
      <w:r>
        <w:rPr>
          <w:rFonts w:hint="eastAsia" w:ascii="黑体" w:hAnsi="黑体" w:eastAsia="黑体" w:cs="黑体"/>
          <w:b w:val="0"/>
          <w:bCs/>
          <w:color w:val="FF0000"/>
          <w:sz w:val="32"/>
          <w:szCs w:val="32"/>
          <w:lang w:eastAsia="zh-CN"/>
        </w:rPr>
        <w:t>（该部分内容详见附件</w:t>
      </w:r>
      <w:r>
        <w:rPr>
          <w:rFonts w:hint="eastAsia" w:ascii="黑体" w:hAnsi="黑体" w:eastAsia="黑体" w:cs="黑体"/>
          <w:b w:val="0"/>
          <w:bCs/>
          <w:color w:val="FF0000"/>
          <w:sz w:val="32"/>
          <w:szCs w:val="32"/>
          <w:lang w:val="en-US" w:eastAsia="zh-CN"/>
        </w:rPr>
        <w:t>-预算公开表</w:t>
      </w:r>
      <w:r>
        <w:rPr>
          <w:rFonts w:hint="eastAsia" w:ascii="黑体" w:hAnsi="黑体" w:eastAsia="黑体" w:cs="黑体"/>
          <w:b w:val="0"/>
          <w:bCs/>
          <w:color w:val="FF0000"/>
          <w:sz w:val="32"/>
          <w:szCs w:val="32"/>
          <w:lang w:eastAsia="zh-CN"/>
        </w:rPr>
        <w:t>）</w:t>
      </w:r>
    </w:p>
    <w:p>
      <w:pPr>
        <w:numPr>
          <w:ilvl w:val="0"/>
          <w:numId w:val="0"/>
        </w:numPr>
        <w:spacing w:line="540" w:lineRule="exact"/>
        <w:ind w:leftChars="0"/>
        <w:jc w:val="center"/>
        <w:rPr>
          <w:rFonts w:hint="eastAsia" w:ascii="黑体" w:hAnsi="黑体" w:eastAsia="黑体" w:cs="黑体"/>
          <w:b/>
          <w:color w:val="000000" w:themeColor="text1"/>
          <w:sz w:val="40"/>
          <w:szCs w:val="40"/>
          <w:lang w:eastAsia="zh-CN"/>
          <w14:textFill>
            <w14:solidFill>
              <w14:schemeClr w14:val="tx1"/>
            </w14:solidFill>
          </w14:textFill>
        </w:rPr>
      </w:pPr>
    </w:p>
    <w:p>
      <w:pPr>
        <w:numPr>
          <w:ilvl w:val="0"/>
          <w:numId w:val="0"/>
        </w:numPr>
        <w:spacing w:line="540" w:lineRule="exact"/>
        <w:ind w:leftChars="0"/>
        <w:jc w:val="center"/>
        <w:rPr>
          <w:rFonts w:hint="eastAsia" w:ascii="黑体" w:hAnsi="黑体" w:eastAsia="黑体" w:cs="黑体"/>
          <w:b/>
          <w:color w:val="000000" w:themeColor="text1"/>
          <w:sz w:val="40"/>
          <w:szCs w:val="40"/>
          <w:lang w:eastAsia="zh-CN"/>
          <w14:textFill>
            <w14:solidFill>
              <w14:schemeClr w14:val="tx1"/>
            </w14:solidFill>
          </w14:textFill>
        </w:rPr>
      </w:pPr>
    </w:p>
    <w:p>
      <w:pPr>
        <w:numPr>
          <w:ilvl w:val="0"/>
          <w:numId w:val="0"/>
        </w:numPr>
        <w:spacing w:line="540" w:lineRule="exact"/>
        <w:ind w:leftChars="0"/>
        <w:jc w:val="both"/>
        <w:rPr>
          <w:rFonts w:hint="eastAsia" w:ascii="宋体" w:hAnsi="宋体"/>
          <w:b/>
          <w:sz w:val="40"/>
          <w:szCs w:val="40"/>
          <w:lang w:eastAsia="zh-CN"/>
        </w:rPr>
      </w:pPr>
    </w:p>
    <w:p>
      <w:pPr>
        <w:numPr>
          <w:ilvl w:val="0"/>
          <w:numId w:val="0"/>
        </w:numPr>
        <w:spacing w:line="540" w:lineRule="exact"/>
        <w:ind w:leftChars="0"/>
        <w:jc w:val="center"/>
        <w:rPr>
          <w:rFonts w:hint="eastAsia" w:ascii="宋体" w:hAnsi="宋体"/>
          <w:b w:val="0"/>
          <w:bCs/>
          <w:sz w:val="44"/>
          <w:szCs w:val="44"/>
          <w:lang w:eastAsia="zh-CN"/>
        </w:rPr>
      </w:pPr>
    </w:p>
    <w:p>
      <w:pPr>
        <w:numPr>
          <w:ilvl w:val="0"/>
          <w:numId w:val="0"/>
        </w:numPr>
        <w:spacing w:line="540" w:lineRule="exact"/>
        <w:ind w:leftChars="0"/>
        <w:jc w:val="center"/>
        <w:rPr>
          <w:rFonts w:hint="eastAsia" w:ascii="宋体" w:hAnsi="宋体"/>
          <w:b w:val="0"/>
          <w:bCs/>
          <w:sz w:val="44"/>
          <w:szCs w:val="44"/>
          <w:lang w:eastAsia="zh-CN"/>
        </w:rPr>
      </w:pPr>
    </w:p>
    <w:p>
      <w:pPr>
        <w:numPr>
          <w:ilvl w:val="0"/>
          <w:numId w:val="0"/>
        </w:numPr>
        <w:spacing w:line="540" w:lineRule="exact"/>
        <w:ind w:leftChars="0"/>
        <w:jc w:val="both"/>
        <w:rPr>
          <w:rFonts w:hint="eastAsia" w:ascii="宋体" w:hAnsi="宋体"/>
          <w:b w:val="0"/>
          <w:bCs/>
          <w:sz w:val="40"/>
          <w:szCs w:val="40"/>
          <w:lang w:eastAsia="zh-CN"/>
        </w:rPr>
      </w:pPr>
    </w:p>
    <w:p>
      <w:pPr>
        <w:numPr>
          <w:ilvl w:val="0"/>
          <w:numId w:val="1"/>
        </w:numPr>
        <w:spacing w:line="540" w:lineRule="exact"/>
        <w:ind w:leftChars="0"/>
        <w:jc w:val="center"/>
        <w:rPr>
          <w:rFonts w:hint="eastAsia" w:ascii="黑体" w:hAnsi="黑体" w:eastAsia="黑体" w:cs="黑体"/>
          <w:b w:val="0"/>
          <w:bCs/>
          <w:sz w:val="40"/>
          <w:szCs w:val="40"/>
        </w:rPr>
      </w:pPr>
      <w:r>
        <w:rPr>
          <w:rFonts w:hint="eastAsia" w:ascii="黑体" w:hAnsi="黑体" w:eastAsia="黑体" w:cs="黑体"/>
          <w:b w:val="0"/>
          <w:bCs/>
          <w:sz w:val="40"/>
          <w:szCs w:val="40"/>
        </w:rPr>
        <w:t>盘锦市兴隆台区(</w:t>
      </w:r>
      <w:r>
        <w:rPr>
          <w:rFonts w:hint="eastAsia" w:ascii="黑体" w:hAnsi="黑体" w:eastAsia="黑体" w:cs="黑体"/>
          <w:b w:val="0"/>
          <w:bCs/>
          <w:sz w:val="40"/>
          <w:szCs w:val="40"/>
          <w:lang w:eastAsia="zh-CN"/>
        </w:rPr>
        <w:t>住建局</w:t>
      </w:r>
      <w:r>
        <w:rPr>
          <w:rFonts w:hint="eastAsia" w:ascii="黑体" w:hAnsi="黑体" w:eastAsia="黑体" w:cs="黑体"/>
          <w:b w:val="0"/>
          <w:bCs/>
          <w:sz w:val="40"/>
          <w:szCs w:val="40"/>
        </w:rPr>
        <w:t>)20</w:t>
      </w:r>
      <w:r>
        <w:rPr>
          <w:rFonts w:hint="eastAsia" w:ascii="黑体" w:hAnsi="黑体" w:eastAsia="黑体" w:cs="黑体"/>
          <w:b w:val="0"/>
          <w:bCs/>
          <w:sz w:val="40"/>
          <w:szCs w:val="40"/>
          <w:lang w:val="en-US" w:eastAsia="zh-CN"/>
        </w:rPr>
        <w:t>22</w:t>
      </w:r>
      <w:r>
        <w:rPr>
          <w:rFonts w:hint="eastAsia" w:ascii="黑体" w:hAnsi="黑体" w:eastAsia="黑体" w:cs="黑体"/>
          <w:b w:val="0"/>
          <w:bCs/>
          <w:sz w:val="40"/>
          <w:szCs w:val="40"/>
        </w:rPr>
        <w:t>年度</w:t>
      </w:r>
    </w:p>
    <w:p>
      <w:pPr>
        <w:numPr>
          <w:ilvl w:val="0"/>
          <w:numId w:val="0"/>
        </w:numPr>
        <w:spacing w:line="540" w:lineRule="exact"/>
        <w:ind w:firstLine="2000" w:firstLineChars="500"/>
        <w:jc w:val="both"/>
        <w:rPr>
          <w:rFonts w:hint="eastAsia" w:ascii="黑体" w:hAnsi="黑体" w:eastAsia="黑体" w:cs="黑体"/>
          <w:b w:val="0"/>
          <w:bCs/>
          <w:sz w:val="40"/>
          <w:szCs w:val="40"/>
        </w:rPr>
      </w:pPr>
      <w:r>
        <w:rPr>
          <w:rFonts w:hint="eastAsia" w:ascii="黑体" w:hAnsi="黑体" w:eastAsia="黑体" w:cs="黑体"/>
          <w:b w:val="0"/>
          <w:bCs/>
          <w:sz w:val="40"/>
          <w:szCs w:val="40"/>
        </w:rPr>
        <w:t>部门预算情况说明</w:t>
      </w:r>
    </w:p>
    <w:p>
      <w:pPr>
        <w:spacing w:line="540" w:lineRule="exact"/>
        <w:jc w:val="center"/>
        <w:rPr>
          <w:rFonts w:ascii="宋体" w:hAnsi="宋体"/>
          <w:b/>
          <w:sz w:val="32"/>
          <w:szCs w:val="32"/>
        </w:rPr>
      </w:pPr>
    </w:p>
    <w:p>
      <w:pPr>
        <w:spacing w:line="540" w:lineRule="exact"/>
        <w:ind w:firstLine="627" w:firstLineChars="196"/>
        <w:rPr>
          <w:rFonts w:ascii="黑体" w:hAnsi="黑体" w:eastAsia="黑体"/>
          <w:b w:val="0"/>
          <w:bCs w:val="0"/>
          <w:color w:val="000000" w:themeColor="text1"/>
          <w:sz w:val="32"/>
          <w:szCs w:val="32"/>
          <w14:textFill>
            <w14:solidFill>
              <w14:schemeClr w14:val="tx1"/>
            </w14:solidFill>
          </w14:textFill>
        </w:rPr>
      </w:pPr>
      <w:r>
        <w:rPr>
          <w:rFonts w:hint="eastAsia" w:ascii="黑体" w:hAnsi="黑体" w:eastAsia="黑体"/>
          <w:b w:val="0"/>
          <w:bCs w:val="0"/>
          <w:color w:val="000000" w:themeColor="text1"/>
          <w:sz w:val="32"/>
          <w:szCs w:val="32"/>
          <w14:textFill>
            <w14:solidFill>
              <w14:schemeClr w14:val="tx1"/>
            </w14:solidFill>
          </w14:textFill>
        </w:rPr>
        <w:t>一、收入支出预算总体情况</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按照综合预算原则，2022年盘锦市兴隆台区住房和城乡建设局所有收入和支出均纳入部门预算管理。</w:t>
      </w:r>
    </w:p>
    <w:p>
      <w:pPr>
        <w:numPr>
          <w:ilvl w:val="0"/>
          <w:numId w:val="2"/>
        </w:numPr>
        <w:spacing w:line="540" w:lineRule="exact"/>
        <w:ind w:firstLine="660"/>
        <w:rPr>
          <w:rFonts w:hint="eastAsia" w:ascii="仿宋" w:hAnsi="仿宋" w:eastAsia="仿宋" w:cs="仿宋"/>
          <w:b w:val="0"/>
          <w:bCs/>
          <w:sz w:val="32"/>
          <w:szCs w:val="32"/>
        </w:rPr>
      </w:pPr>
      <w:r>
        <w:rPr>
          <w:rFonts w:hint="eastAsia" w:ascii="仿宋" w:hAnsi="仿宋" w:eastAsia="仿宋" w:cs="仿宋"/>
          <w:b w:val="0"/>
          <w:bCs/>
          <w:sz w:val="32"/>
          <w:szCs w:val="32"/>
        </w:rPr>
        <w:t>收入</w:t>
      </w:r>
      <w:r>
        <w:rPr>
          <w:rFonts w:hint="eastAsia" w:ascii="仿宋" w:hAnsi="仿宋" w:eastAsia="仿宋" w:cs="仿宋"/>
          <w:b w:val="0"/>
          <w:bCs/>
          <w:sz w:val="32"/>
          <w:szCs w:val="32"/>
          <w:lang w:val="en-US" w:eastAsia="zh-CN"/>
        </w:rPr>
        <w:t>预算403.21</w:t>
      </w:r>
      <w:r>
        <w:rPr>
          <w:rFonts w:hint="eastAsia" w:ascii="仿宋" w:hAnsi="仿宋" w:eastAsia="仿宋" w:cs="仿宋"/>
          <w:b w:val="0"/>
          <w:bCs/>
          <w:sz w:val="32"/>
          <w:szCs w:val="32"/>
        </w:rPr>
        <w:t>万元，包括：</w:t>
      </w:r>
    </w:p>
    <w:p>
      <w:pPr>
        <w:numPr>
          <w:ilvl w:val="0"/>
          <w:numId w:val="0"/>
        </w:numPr>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1.财政拨款收入</w:t>
      </w:r>
      <w:r>
        <w:rPr>
          <w:rFonts w:hint="eastAsia" w:ascii="仿宋" w:hAnsi="仿宋" w:eastAsia="仿宋" w:cs="仿宋"/>
          <w:b w:val="0"/>
          <w:bCs w:val="0"/>
          <w:sz w:val="32"/>
          <w:szCs w:val="32"/>
          <w:lang w:val="en-US" w:eastAsia="zh-CN"/>
        </w:rPr>
        <w:t>403.21</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政府性基金</w:t>
      </w:r>
      <w:r>
        <w:rPr>
          <w:rFonts w:hint="eastAsia" w:ascii="仿宋" w:hAnsi="仿宋" w:eastAsia="仿宋" w:cs="仿宋"/>
          <w:sz w:val="32"/>
          <w:szCs w:val="32"/>
          <w:lang w:val="en-US" w:eastAsia="zh-CN"/>
        </w:rPr>
        <w:t>预算</w:t>
      </w:r>
      <w:r>
        <w:rPr>
          <w:rFonts w:hint="eastAsia" w:ascii="仿宋" w:hAnsi="仿宋" w:eastAsia="仿宋" w:cs="仿宋"/>
          <w:sz w:val="32"/>
          <w:szCs w:val="32"/>
        </w:rPr>
        <w:t>收入0万元。</w:t>
      </w:r>
    </w:p>
    <w:p>
      <w:pPr>
        <w:spacing w:line="540" w:lineRule="exact"/>
        <w:ind w:firstLine="660"/>
        <w:rPr>
          <w:rFonts w:hint="eastAsia" w:ascii="仿宋" w:hAnsi="仿宋" w:eastAsia="仿宋" w:cs="仿宋"/>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国有资本经营预算收入0万元。</w:t>
      </w:r>
    </w:p>
    <w:p>
      <w:pPr>
        <w:spacing w:line="540" w:lineRule="exact"/>
        <w:ind w:firstLine="6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4.财政专户管理资金收入0万元。</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事业收入0万元。</w:t>
      </w:r>
    </w:p>
    <w:p>
      <w:pPr>
        <w:spacing w:line="540" w:lineRule="exact"/>
        <w:ind w:firstLine="66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6.事业单位经营收入0万元。</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val="en-US" w:eastAsia="zh-CN"/>
        </w:rPr>
        <w:t>上级补助收入0万元</w:t>
      </w:r>
      <w:r>
        <w:rPr>
          <w:rFonts w:hint="eastAsia" w:ascii="仿宋" w:hAnsi="仿宋" w:eastAsia="仿宋" w:cs="仿宋"/>
          <w:sz w:val="32"/>
          <w:szCs w:val="32"/>
        </w:rPr>
        <w:t>。</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.附属单位上缴收入0万元。</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.其他收入0万元。</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上年结转0万元</w:t>
      </w:r>
      <w:r>
        <w:rPr>
          <w:rFonts w:hint="eastAsia" w:ascii="仿宋" w:hAnsi="仿宋" w:eastAsia="仿宋" w:cs="仿宋"/>
          <w:sz w:val="32"/>
          <w:szCs w:val="32"/>
        </w:rPr>
        <w:t>。</w:t>
      </w:r>
    </w:p>
    <w:p>
      <w:pPr>
        <w:spacing w:line="540" w:lineRule="exact"/>
        <w:ind w:firstLine="660"/>
        <w:rPr>
          <w:rFonts w:hint="eastAsia" w:ascii="仿宋" w:hAnsi="仿宋" w:eastAsia="仿宋" w:cs="仿宋"/>
          <w:b w:val="0"/>
          <w:bCs/>
          <w:sz w:val="32"/>
          <w:szCs w:val="32"/>
        </w:rPr>
      </w:pPr>
      <w:r>
        <w:rPr>
          <w:rFonts w:hint="eastAsia" w:ascii="仿宋" w:hAnsi="仿宋" w:eastAsia="仿宋" w:cs="仿宋"/>
          <w:b w:val="0"/>
          <w:bCs/>
          <w:sz w:val="32"/>
          <w:szCs w:val="32"/>
        </w:rPr>
        <w:t>（二）支出</w:t>
      </w:r>
      <w:r>
        <w:rPr>
          <w:rFonts w:hint="eastAsia" w:ascii="仿宋" w:hAnsi="仿宋" w:eastAsia="仿宋" w:cs="仿宋"/>
          <w:b w:val="0"/>
          <w:bCs/>
          <w:sz w:val="32"/>
          <w:szCs w:val="32"/>
          <w:lang w:val="en-US" w:eastAsia="zh-CN"/>
        </w:rPr>
        <w:t>预算</w:t>
      </w:r>
      <w:r>
        <w:rPr>
          <w:rFonts w:hint="eastAsia" w:ascii="仿宋" w:hAnsi="仿宋" w:eastAsia="仿宋" w:cs="仿宋"/>
          <w:b w:val="0"/>
          <w:bCs/>
          <w:sz w:val="32"/>
          <w:szCs w:val="32"/>
        </w:rPr>
        <w:t>总计</w:t>
      </w:r>
      <w:r>
        <w:rPr>
          <w:rFonts w:hint="eastAsia" w:ascii="仿宋" w:hAnsi="仿宋" w:eastAsia="仿宋" w:cs="仿宋"/>
          <w:b w:val="0"/>
          <w:bCs/>
          <w:sz w:val="32"/>
          <w:szCs w:val="32"/>
          <w:lang w:val="en-US" w:eastAsia="zh-CN"/>
        </w:rPr>
        <w:t>403.21</w:t>
      </w:r>
      <w:r>
        <w:rPr>
          <w:rFonts w:hint="eastAsia" w:ascii="仿宋" w:hAnsi="仿宋" w:eastAsia="仿宋" w:cs="仿宋"/>
          <w:b w:val="0"/>
          <w:bCs/>
          <w:sz w:val="32"/>
          <w:szCs w:val="32"/>
        </w:rPr>
        <w:t>万元，包括：</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1.基本支出</w:t>
      </w:r>
      <w:r>
        <w:rPr>
          <w:rFonts w:hint="eastAsia" w:ascii="仿宋" w:hAnsi="仿宋" w:eastAsia="仿宋" w:cs="仿宋"/>
          <w:b w:val="0"/>
          <w:bCs w:val="0"/>
          <w:sz w:val="32"/>
          <w:szCs w:val="32"/>
          <w:lang w:val="en-US" w:eastAsia="zh-CN"/>
        </w:rPr>
        <w:t>128.21</w:t>
      </w:r>
      <w:r>
        <w:rPr>
          <w:rFonts w:hint="eastAsia" w:ascii="仿宋" w:hAnsi="仿宋" w:eastAsia="仿宋" w:cs="仿宋"/>
          <w:sz w:val="32"/>
          <w:szCs w:val="32"/>
        </w:rPr>
        <w:t>万元，主要是为保障机构正常运转、完成日常工作任务而发生的各项支出。</w:t>
      </w:r>
    </w:p>
    <w:p>
      <w:pPr>
        <w:spacing w:line="540" w:lineRule="exact"/>
        <w:ind w:firstLine="660"/>
        <w:rPr>
          <w:rFonts w:hint="eastAsia" w:ascii="仿宋" w:hAnsi="仿宋" w:eastAsia="仿宋" w:cs="仿宋"/>
          <w:sz w:val="32"/>
          <w:szCs w:val="32"/>
          <w:lang w:eastAsia="zh-CN"/>
        </w:rPr>
      </w:pPr>
      <w:r>
        <w:rPr>
          <w:rFonts w:hint="eastAsia" w:ascii="仿宋" w:hAnsi="仿宋" w:eastAsia="仿宋" w:cs="仿宋"/>
          <w:sz w:val="32"/>
          <w:szCs w:val="32"/>
        </w:rPr>
        <w:t>2.项目支出</w:t>
      </w:r>
      <w:r>
        <w:rPr>
          <w:rFonts w:hint="eastAsia" w:ascii="仿宋" w:hAnsi="仿宋" w:eastAsia="仿宋" w:cs="仿宋"/>
          <w:b w:val="0"/>
          <w:bCs w:val="0"/>
          <w:sz w:val="32"/>
          <w:szCs w:val="32"/>
          <w:lang w:val="en-US" w:eastAsia="zh-CN"/>
        </w:rPr>
        <w:t>275</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540" w:lineRule="exact"/>
        <w:ind w:firstLine="6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支出预算中，政府采购支出0万元，债务支出0万元，政府购买服务支出250万元。</w:t>
      </w:r>
    </w:p>
    <w:p>
      <w:pPr>
        <w:spacing w:line="540" w:lineRule="exact"/>
        <w:ind w:firstLine="660"/>
        <w:rPr>
          <w:rFonts w:hint="eastAsia"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sz w:val="32"/>
          <w:szCs w:val="32"/>
          <w:lang w:val="en-US" w:eastAsia="zh-CN"/>
        </w:rPr>
        <w:t>3.2022年预算同上年比较，收入减少145.33万元，减</w:t>
      </w:r>
      <w:r>
        <w:rPr>
          <w:rFonts w:hint="eastAsia" w:ascii="仿宋" w:hAnsi="仿宋" w:eastAsia="仿宋" w:cs="仿宋"/>
          <w:b w:val="0"/>
          <w:bCs w:val="0"/>
          <w:color w:val="000000" w:themeColor="text1"/>
          <w:kern w:val="0"/>
          <w:sz w:val="32"/>
          <w:szCs w:val="32"/>
          <w:lang w:eastAsia="zh-CN"/>
          <w14:textFill>
            <w14:solidFill>
              <w14:schemeClr w14:val="tx1"/>
            </w14:solidFill>
          </w14:textFill>
        </w:rPr>
        <w:t>幅</w:t>
      </w:r>
      <w:r>
        <w:rPr>
          <w:rFonts w:hint="eastAsia" w:ascii="仿宋" w:hAnsi="仿宋" w:eastAsia="仿宋" w:cs="仿宋"/>
          <w:sz w:val="32"/>
          <w:szCs w:val="32"/>
          <w:lang w:val="en-US" w:eastAsia="zh-CN"/>
        </w:rPr>
        <w:t>26.5%。</w:t>
      </w:r>
      <w:r>
        <w:rPr>
          <w:rFonts w:hint="eastAsia" w:ascii="仿宋" w:hAnsi="仿宋" w:eastAsia="仿宋" w:cs="仿宋"/>
          <w:b w:val="0"/>
          <w:bCs w:val="0"/>
          <w:color w:val="000000" w:themeColor="text1"/>
          <w:kern w:val="0"/>
          <w:sz w:val="32"/>
          <w:szCs w:val="32"/>
          <w14:textFill>
            <w14:solidFill>
              <w14:schemeClr w14:val="tx1"/>
            </w14:solidFill>
          </w14:textFill>
        </w:rPr>
        <w:t>基本支出</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128.21</w:t>
      </w:r>
      <w:r>
        <w:rPr>
          <w:rFonts w:hint="eastAsia" w:ascii="仿宋" w:hAnsi="仿宋" w:eastAsia="仿宋" w:cs="仿宋"/>
          <w:b w:val="0"/>
          <w:bCs w:val="0"/>
          <w:color w:val="000000" w:themeColor="text1"/>
          <w:kern w:val="0"/>
          <w:sz w:val="32"/>
          <w:szCs w:val="32"/>
          <w14:textFill>
            <w14:solidFill>
              <w14:schemeClr w14:val="tx1"/>
            </w14:solidFill>
          </w14:textFill>
        </w:rPr>
        <w:t>万元</w:t>
      </w:r>
      <w:r>
        <w:rPr>
          <w:rFonts w:hint="eastAsia" w:ascii="仿宋" w:hAnsi="仿宋" w:eastAsia="仿宋" w:cs="仿宋"/>
          <w:b w:val="0"/>
          <w:bCs w:val="0"/>
          <w:color w:val="000000" w:themeColor="text1"/>
          <w:kern w:val="0"/>
          <w:sz w:val="32"/>
          <w:szCs w:val="32"/>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14:textFill>
            <w14:solidFill>
              <w14:schemeClr w14:val="tx1"/>
            </w14:solidFill>
          </w14:textFill>
        </w:rPr>
        <w:t>比上年</w:t>
      </w:r>
      <w:r>
        <w:rPr>
          <w:rFonts w:hint="eastAsia" w:ascii="仿宋" w:hAnsi="仿宋" w:eastAsia="仿宋" w:cs="仿宋"/>
          <w:b w:val="0"/>
          <w:bCs w:val="0"/>
          <w:color w:val="000000" w:themeColor="text1"/>
          <w:kern w:val="0"/>
          <w:sz w:val="32"/>
          <w:szCs w:val="32"/>
          <w:lang w:eastAsia="zh-CN"/>
          <w14:textFill>
            <w14:solidFill>
              <w14:schemeClr w14:val="tx1"/>
            </w14:solidFill>
          </w14:textFill>
        </w:rPr>
        <w:t>减少</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8.33</w:t>
      </w:r>
      <w:r>
        <w:rPr>
          <w:rFonts w:hint="eastAsia" w:ascii="仿宋" w:hAnsi="仿宋" w:eastAsia="仿宋" w:cs="仿宋"/>
          <w:b w:val="0"/>
          <w:bCs w:val="0"/>
          <w:color w:val="000000" w:themeColor="text1"/>
          <w:kern w:val="0"/>
          <w:sz w:val="32"/>
          <w:szCs w:val="32"/>
          <w14:textFill>
            <w14:solidFill>
              <w14:schemeClr w14:val="tx1"/>
            </w14:solidFill>
          </w14:textFill>
        </w:rPr>
        <w:t>万元，</w:t>
      </w:r>
      <w:r>
        <w:rPr>
          <w:rFonts w:hint="eastAsia" w:ascii="仿宋" w:hAnsi="仿宋" w:eastAsia="仿宋" w:cs="仿宋"/>
          <w:b w:val="0"/>
          <w:bCs w:val="0"/>
          <w:color w:val="000000" w:themeColor="text1"/>
          <w:kern w:val="0"/>
          <w:sz w:val="32"/>
          <w:szCs w:val="32"/>
          <w:lang w:eastAsia="zh-CN"/>
          <w14:textFill>
            <w14:solidFill>
              <w14:schemeClr w14:val="tx1"/>
            </w14:solidFill>
          </w14:textFill>
        </w:rPr>
        <w:t>减幅</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6.1</w:t>
      </w:r>
      <w:r>
        <w:rPr>
          <w:rFonts w:hint="eastAsia" w:ascii="仿宋" w:hAnsi="仿宋" w:eastAsia="仿宋" w:cs="仿宋"/>
          <w:b w:val="0"/>
          <w:bCs w:val="0"/>
          <w:color w:val="000000" w:themeColor="text1"/>
          <w:kern w:val="0"/>
          <w:sz w:val="32"/>
          <w:szCs w:val="32"/>
          <w14:textFill>
            <w14:solidFill>
              <w14:schemeClr w14:val="tx1"/>
            </w14:solidFill>
          </w14:textFill>
        </w:rPr>
        <w:t>%</w:t>
      </w:r>
      <w:r>
        <w:rPr>
          <w:rFonts w:hint="eastAsia" w:ascii="仿宋" w:hAnsi="仿宋" w:eastAsia="仿宋" w:cs="仿宋"/>
          <w:b w:val="0"/>
          <w:bCs w:val="0"/>
          <w:color w:val="000000" w:themeColor="text1"/>
          <w:kern w:val="0"/>
          <w:sz w:val="32"/>
          <w:szCs w:val="32"/>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14:textFill>
            <w14:solidFill>
              <w14:schemeClr w14:val="tx1"/>
            </w14:solidFill>
          </w14:textFill>
        </w:rPr>
        <w:t>项目支出</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275</w:t>
      </w:r>
      <w:r>
        <w:rPr>
          <w:rFonts w:hint="eastAsia" w:ascii="仿宋" w:hAnsi="仿宋" w:eastAsia="仿宋" w:cs="仿宋"/>
          <w:b w:val="0"/>
          <w:bCs w:val="0"/>
          <w:color w:val="000000" w:themeColor="text1"/>
          <w:kern w:val="0"/>
          <w:sz w:val="32"/>
          <w:szCs w:val="32"/>
          <w14:textFill>
            <w14:solidFill>
              <w14:schemeClr w14:val="tx1"/>
            </w14:solidFill>
          </w14:textFill>
        </w:rPr>
        <w:t>万元</w:t>
      </w:r>
      <w:r>
        <w:rPr>
          <w:rFonts w:hint="eastAsia" w:ascii="仿宋" w:hAnsi="仿宋" w:eastAsia="仿宋" w:cs="仿宋"/>
          <w:b w:val="0"/>
          <w:bCs w:val="0"/>
          <w:color w:val="000000" w:themeColor="text1"/>
          <w:kern w:val="0"/>
          <w:sz w:val="32"/>
          <w:szCs w:val="32"/>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14:textFill>
            <w14:solidFill>
              <w14:schemeClr w14:val="tx1"/>
            </w14:solidFill>
          </w14:textFill>
        </w:rPr>
        <w:t>比上年</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减少137</w:t>
      </w:r>
      <w:r>
        <w:rPr>
          <w:rFonts w:hint="eastAsia" w:ascii="仿宋" w:hAnsi="仿宋" w:eastAsia="仿宋" w:cs="仿宋"/>
          <w:b w:val="0"/>
          <w:bCs w:val="0"/>
          <w:color w:val="000000" w:themeColor="text1"/>
          <w:kern w:val="0"/>
          <w:sz w:val="32"/>
          <w:szCs w:val="32"/>
          <w14:textFill>
            <w14:solidFill>
              <w14:schemeClr w14:val="tx1"/>
            </w14:solidFill>
          </w14:textFill>
        </w:rPr>
        <w:t>万元，</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减</w:t>
      </w:r>
      <w:r>
        <w:rPr>
          <w:rFonts w:hint="eastAsia" w:ascii="仿宋" w:hAnsi="仿宋" w:eastAsia="仿宋" w:cs="仿宋"/>
          <w:b w:val="0"/>
          <w:bCs w:val="0"/>
          <w:color w:val="000000" w:themeColor="text1"/>
          <w:kern w:val="0"/>
          <w:sz w:val="32"/>
          <w:szCs w:val="32"/>
          <w:lang w:eastAsia="zh-CN"/>
          <w14:textFill>
            <w14:solidFill>
              <w14:schemeClr w14:val="tx1"/>
            </w14:solidFill>
          </w14:textFill>
        </w:rPr>
        <w:t>幅</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34.46</w:t>
      </w:r>
      <w:r>
        <w:rPr>
          <w:rFonts w:hint="eastAsia" w:ascii="仿宋" w:hAnsi="仿宋" w:eastAsia="仿宋" w:cs="仿宋"/>
          <w:b w:val="0"/>
          <w:bCs w:val="0"/>
          <w:color w:val="000000" w:themeColor="text1"/>
          <w:kern w:val="0"/>
          <w:sz w:val="32"/>
          <w:szCs w:val="32"/>
          <w14:textFill>
            <w14:solidFill>
              <w14:schemeClr w14:val="tx1"/>
            </w14:solidFill>
          </w14:textFill>
        </w:rPr>
        <w:t>%</w:t>
      </w:r>
      <w:r>
        <w:rPr>
          <w:rFonts w:hint="eastAsia" w:ascii="仿宋" w:hAnsi="仿宋" w:eastAsia="仿宋" w:cs="仿宋"/>
          <w:b w:val="0"/>
          <w:bCs w:val="0"/>
          <w:color w:val="000000" w:themeColor="text1"/>
          <w:kern w:val="0"/>
          <w:sz w:val="32"/>
          <w:szCs w:val="32"/>
          <w:lang w:eastAsia="zh-CN"/>
          <w14:textFill>
            <w14:solidFill>
              <w14:schemeClr w14:val="tx1"/>
            </w14:solidFill>
          </w14:textFill>
        </w:rPr>
        <w:t>，</w:t>
      </w:r>
      <w:r>
        <w:rPr>
          <w:rFonts w:hint="eastAsia" w:ascii="仿宋" w:hAnsi="仿宋" w:eastAsia="仿宋" w:cs="仿宋"/>
          <w:sz w:val="32"/>
          <w:szCs w:val="32"/>
          <w:lang w:val="en-US" w:eastAsia="zh-CN"/>
        </w:rPr>
        <w:t>主要原因是压减政府采购服务项目及人员调整后经费支出的减少。</w:t>
      </w:r>
    </w:p>
    <w:p>
      <w:pPr>
        <w:spacing w:line="540" w:lineRule="exact"/>
        <w:ind w:firstLine="640" w:firstLineChars="200"/>
        <w:rPr>
          <w:rFonts w:hint="eastAsia" w:ascii="黑体" w:hAnsi="黑体" w:eastAsia="黑体"/>
          <w:b w:val="0"/>
          <w:bCs w:val="0"/>
          <w:color w:val="000000" w:themeColor="text1"/>
          <w:sz w:val="32"/>
          <w:szCs w:val="32"/>
          <w:lang w:eastAsia="zh-CN"/>
          <w14:textFill>
            <w14:solidFill>
              <w14:schemeClr w14:val="tx1"/>
            </w14:solidFill>
          </w14:textFill>
        </w:rPr>
      </w:pPr>
      <w:r>
        <w:rPr>
          <w:rFonts w:hint="eastAsia" w:ascii="黑体" w:hAnsi="黑体" w:eastAsia="黑体"/>
          <w:b w:val="0"/>
          <w:bCs w:val="0"/>
          <w:color w:val="000000" w:themeColor="text1"/>
          <w:sz w:val="32"/>
          <w:szCs w:val="32"/>
          <w:lang w:val="en-US" w:eastAsia="zh-CN"/>
          <w14:textFill>
            <w14:solidFill>
              <w14:schemeClr w14:val="tx1"/>
            </w14:solidFill>
          </w14:textFill>
        </w:rPr>
        <w:t>二</w:t>
      </w:r>
      <w:r>
        <w:rPr>
          <w:rFonts w:hint="eastAsia" w:ascii="黑体" w:hAnsi="黑体" w:eastAsia="黑体"/>
          <w:b w:val="0"/>
          <w:bCs w:val="0"/>
          <w:color w:val="000000" w:themeColor="text1"/>
          <w:sz w:val="32"/>
          <w:szCs w:val="32"/>
          <w14:textFill>
            <w14:solidFill>
              <w14:schemeClr w14:val="tx1"/>
            </w14:solidFill>
          </w14:textFill>
        </w:rPr>
        <w:t>、公共预算财政拨款“三公”经费支出预算情况</w:t>
      </w:r>
      <w:r>
        <w:rPr>
          <w:rFonts w:hint="eastAsia" w:ascii="黑体" w:hAnsi="黑体" w:eastAsia="黑体"/>
          <w:b w:val="0"/>
          <w:bCs w:val="0"/>
          <w:color w:val="000000" w:themeColor="text1"/>
          <w:sz w:val="32"/>
          <w:szCs w:val="32"/>
          <w:lang w:eastAsia="zh-CN"/>
          <w14:textFill>
            <w14:solidFill>
              <w14:schemeClr w14:val="tx1"/>
            </w14:solidFill>
          </w14:textFill>
        </w:rPr>
        <w:t>。</w:t>
      </w:r>
    </w:p>
    <w:p>
      <w:pPr>
        <w:widowControl/>
        <w:spacing w:line="375" w:lineRule="atLeast"/>
        <w:ind w:firstLine="640" w:firstLineChars="200"/>
        <w:jc w:val="left"/>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lang w:val="en-US" w:eastAsia="zh-CN"/>
        </w:rPr>
        <w:t>2022年住建局无</w:t>
      </w:r>
      <w:r>
        <w:rPr>
          <w:rFonts w:hint="eastAsia" w:ascii="仿宋" w:hAnsi="仿宋" w:eastAsia="仿宋" w:cs="仿宋"/>
          <w:b w:val="0"/>
          <w:bCs w:val="0"/>
          <w:color w:val="auto"/>
          <w:kern w:val="0"/>
          <w:sz w:val="32"/>
          <w:szCs w:val="32"/>
        </w:rPr>
        <w:t>“三公”经费预算支出。</w:t>
      </w:r>
    </w:p>
    <w:p>
      <w:pPr>
        <w:spacing w:line="540" w:lineRule="exact"/>
        <w:ind w:firstLine="640" w:firstLineChars="200"/>
        <w:rPr>
          <w:rFonts w:hint="eastAsia" w:ascii="黑体" w:hAnsi="黑体" w:eastAsia="黑体"/>
          <w:b w:val="0"/>
          <w:bCs w:val="0"/>
          <w:color w:val="auto"/>
          <w:sz w:val="32"/>
          <w:szCs w:val="32"/>
          <w:lang w:eastAsia="zh-CN"/>
        </w:rPr>
      </w:pPr>
      <w:r>
        <w:rPr>
          <w:rFonts w:hint="eastAsia" w:ascii="黑体" w:hAnsi="黑体" w:eastAsia="黑体"/>
          <w:b w:val="0"/>
          <w:bCs w:val="0"/>
          <w:color w:val="auto"/>
          <w:sz w:val="32"/>
          <w:szCs w:val="32"/>
          <w:lang w:val="en-US" w:eastAsia="zh-CN"/>
        </w:rPr>
        <w:t>三</w:t>
      </w:r>
      <w:r>
        <w:rPr>
          <w:rFonts w:hint="eastAsia" w:ascii="黑体" w:hAnsi="黑体" w:eastAsia="黑体"/>
          <w:b w:val="0"/>
          <w:bCs w:val="0"/>
          <w:color w:val="auto"/>
          <w:sz w:val="32"/>
          <w:szCs w:val="32"/>
        </w:rPr>
        <w:t>、其他重要事项的情况说明</w:t>
      </w:r>
      <w:r>
        <w:rPr>
          <w:rFonts w:hint="eastAsia" w:ascii="黑体" w:hAnsi="黑体" w:eastAsia="黑体"/>
          <w:b w:val="0"/>
          <w:bCs w:val="0"/>
          <w:color w:val="auto"/>
          <w:sz w:val="32"/>
          <w:szCs w:val="32"/>
          <w:lang w:eastAsia="zh-CN"/>
        </w:rPr>
        <w:t>。</w:t>
      </w:r>
    </w:p>
    <w:p>
      <w:pPr>
        <w:spacing w:line="54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（一）机关运行经费支出情况</w:t>
      </w:r>
    </w:p>
    <w:p>
      <w:pPr>
        <w:widowControl/>
        <w:shd w:val="clear" w:color="auto" w:fill="FDFEFD"/>
        <w:spacing w:line="540" w:lineRule="exact"/>
        <w:ind w:firstLine="627" w:firstLineChars="196"/>
        <w:jc w:val="left"/>
        <w:rPr>
          <w:rFonts w:hint="default" w:ascii="仿宋" w:hAnsi="仿宋" w:eastAsia="仿宋" w:cs="仿宋"/>
          <w:b w:val="0"/>
          <w:bCs/>
          <w:color w:val="auto"/>
          <w:kern w:val="0"/>
          <w:sz w:val="18"/>
          <w:szCs w:val="18"/>
          <w:u w:val="none"/>
          <w:lang w:val="en-US"/>
        </w:rPr>
      </w:pPr>
      <w:r>
        <w:rPr>
          <w:rFonts w:hint="eastAsia" w:ascii="仿宋" w:hAnsi="仿宋" w:eastAsia="仿宋" w:cs="仿宋"/>
          <w:b w:val="0"/>
          <w:bCs/>
          <w:color w:val="auto"/>
          <w:kern w:val="0"/>
          <w:sz w:val="32"/>
          <w:szCs w:val="32"/>
          <w:u w:val="none"/>
        </w:rPr>
        <w:t>20</w:t>
      </w:r>
      <w:r>
        <w:rPr>
          <w:rFonts w:hint="eastAsia" w:ascii="仿宋" w:hAnsi="仿宋" w:eastAsia="仿宋" w:cs="仿宋"/>
          <w:b w:val="0"/>
          <w:bCs/>
          <w:color w:val="auto"/>
          <w:kern w:val="0"/>
          <w:sz w:val="32"/>
          <w:szCs w:val="32"/>
          <w:u w:val="none"/>
          <w:lang w:val="en-US" w:eastAsia="zh-CN"/>
        </w:rPr>
        <w:t>22</w:t>
      </w:r>
      <w:r>
        <w:rPr>
          <w:rFonts w:hint="eastAsia" w:ascii="仿宋" w:hAnsi="仿宋" w:eastAsia="仿宋" w:cs="仿宋"/>
          <w:b w:val="0"/>
          <w:bCs/>
          <w:color w:val="auto"/>
          <w:kern w:val="0"/>
          <w:sz w:val="32"/>
          <w:szCs w:val="32"/>
          <w:u w:val="none"/>
        </w:rPr>
        <w:t>年机关运行经费预算安排</w:t>
      </w:r>
      <w:r>
        <w:rPr>
          <w:rFonts w:hint="eastAsia" w:ascii="仿宋" w:hAnsi="仿宋" w:eastAsia="仿宋" w:cs="仿宋"/>
          <w:b w:val="0"/>
          <w:bCs/>
          <w:color w:val="auto"/>
          <w:kern w:val="0"/>
          <w:sz w:val="32"/>
          <w:szCs w:val="32"/>
          <w:u w:val="none"/>
          <w:lang w:val="en-US" w:eastAsia="zh-CN"/>
        </w:rPr>
        <w:t>26.20</w:t>
      </w:r>
      <w:r>
        <w:rPr>
          <w:rFonts w:hint="eastAsia" w:ascii="仿宋" w:hAnsi="仿宋" w:eastAsia="仿宋" w:cs="仿宋"/>
          <w:b w:val="0"/>
          <w:bCs/>
          <w:color w:val="auto"/>
          <w:kern w:val="0"/>
          <w:sz w:val="32"/>
          <w:szCs w:val="32"/>
          <w:u w:val="none"/>
        </w:rPr>
        <w:t>万元，</w:t>
      </w:r>
      <w:r>
        <w:rPr>
          <w:rFonts w:hint="eastAsia" w:ascii="仿宋" w:hAnsi="仿宋" w:eastAsia="仿宋" w:cs="仿宋"/>
          <w:b w:val="0"/>
          <w:bCs/>
          <w:color w:val="auto"/>
          <w:kern w:val="0"/>
          <w:sz w:val="32"/>
          <w:szCs w:val="32"/>
          <w:u w:val="none"/>
          <w:lang w:val="en-US" w:eastAsia="zh-CN"/>
        </w:rPr>
        <w:t>比2021年预算减少4.8万元，减幅15.48%，</w:t>
      </w:r>
      <w:r>
        <w:rPr>
          <w:rFonts w:hint="eastAsia" w:ascii="仿宋" w:hAnsi="仿宋" w:eastAsia="仿宋" w:cs="仿宋"/>
          <w:b w:val="0"/>
          <w:bCs/>
          <w:color w:val="auto"/>
          <w:kern w:val="0"/>
          <w:sz w:val="32"/>
          <w:szCs w:val="32"/>
          <w:u w:val="none"/>
        </w:rPr>
        <w:t>主要是人员办公经费</w:t>
      </w:r>
      <w:r>
        <w:rPr>
          <w:rFonts w:hint="eastAsia" w:ascii="仿宋" w:hAnsi="仿宋" w:eastAsia="仿宋" w:cs="仿宋"/>
          <w:b w:val="0"/>
          <w:bCs/>
          <w:color w:val="auto"/>
          <w:kern w:val="0"/>
          <w:sz w:val="32"/>
          <w:szCs w:val="32"/>
          <w:u w:val="none"/>
          <w:lang w:val="en-US" w:eastAsia="zh-CN"/>
        </w:rPr>
        <w:t>调整，落实进一步压减办公费支出，牢固树立“过紧日子”的思想。</w:t>
      </w:r>
    </w:p>
    <w:p>
      <w:pPr>
        <w:numPr>
          <w:ilvl w:val="0"/>
          <w:numId w:val="0"/>
        </w:numPr>
        <w:spacing w:line="540" w:lineRule="exact"/>
        <w:ind w:firstLine="640" w:firstLineChars="200"/>
        <w:rPr>
          <w:rFonts w:hint="eastAsia" w:ascii="黑体" w:hAnsi="黑体" w:eastAsia="黑体" w:cs="黑体"/>
          <w:b w:val="0"/>
          <w:bCs/>
          <w:color w:val="auto"/>
          <w:sz w:val="32"/>
          <w:szCs w:val="32"/>
          <w:u w:val="none"/>
          <w:lang w:eastAsia="zh-CN"/>
        </w:rPr>
      </w:pPr>
      <w:r>
        <w:rPr>
          <w:rFonts w:hint="eastAsia" w:ascii="黑体" w:hAnsi="黑体" w:eastAsia="黑体" w:cs="黑体"/>
          <w:b w:val="0"/>
          <w:bCs/>
          <w:color w:val="auto"/>
          <w:sz w:val="32"/>
          <w:szCs w:val="32"/>
          <w:u w:val="none"/>
          <w:lang w:val="en-US" w:eastAsia="zh-CN"/>
        </w:rPr>
        <w:t>四、</w:t>
      </w:r>
      <w:r>
        <w:rPr>
          <w:rFonts w:hint="eastAsia" w:ascii="黑体" w:hAnsi="黑体" w:eastAsia="黑体" w:cs="黑体"/>
          <w:b w:val="0"/>
          <w:bCs/>
          <w:color w:val="auto"/>
          <w:sz w:val="32"/>
          <w:szCs w:val="32"/>
          <w:u w:val="none"/>
        </w:rPr>
        <w:t>政府采购支出情况</w:t>
      </w:r>
      <w:r>
        <w:rPr>
          <w:rFonts w:hint="eastAsia" w:ascii="黑体" w:hAnsi="黑体" w:eastAsia="黑体" w:cs="黑体"/>
          <w:b w:val="0"/>
          <w:bCs/>
          <w:color w:val="auto"/>
          <w:sz w:val="32"/>
          <w:szCs w:val="32"/>
          <w:u w:val="none"/>
          <w:lang w:eastAsia="zh-CN"/>
        </w:rPr>
        <w:t>。</w:t>
      </w:r>
    </w:p>
    <w:p>
      <w:pPr>
        <w:numPr>
          <w:ilvl w:val="0"/>
          <w:numId w:val="0"/>
        </w:num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年政府采购支出预算总额</w:t>
      </w:r>
      <w:r>
        <w:rPr>
          <w:rFonts w:hint="eastAsia" w:ascii="仿宋" w:hAnsi="仿宋" w:eastAsia="仿宋" w:cs="仿宋"/>
          <w:b/>
          <w:bCs/>
          <w:color w:val="auto"/>
          <w:sz w:val="32"/>
          <w:szCs w:val="32"/>
          <w:lang w:val="en-US" w:eastAsia="zh-CN"/>
        </w:rPr>
        <w:t>250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p>
    <w:p>
      <w:pPr>
        <w:numPr>
          <w:ilvl w:val="0"/>
          <w:numId w:val="3"/>
        </w:numPr>
        <w:spacing w:line="54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监理服务费200万元。</w:t>
      </w:r>
    </w:p>
    <w:p>
      <w:pPr>
        <w:numPr>
          <w:ilvl w:val="0"/>
          <w:numId w:val="3"/>
        </w:numPr>
        <w:spacing w:line="54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消防验收服务费50万元。</w:t>
      </w:r>
    </w:p>
    <w:p>
      <w:pPr>
        <w:spacing w:line="540" w:lineRule="exact"/>
        <w:ind w:firstLine="640" w:firstLineChars="200"/>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val="en-US" w:eastAsia="zh-CN"/>
        </w:rPr>
        <w:t>五、</w:t>
      </w:r>
      <w:r>
        <w:rPr>
          <w:rFonts w:hint="eastAsia" w:ascii="黑体" w:hAnsi="黑体" w:eastAsia="黑体" w:cs="黑体"/>
          <w:b w:val="0"/>
          <w:bCs/>
          <w:color w:val="auto"/>
          <w:sz w:val="32"/>
          <w:szCs w:val="32"/>
        </w:rPr>
        <w:t>国有资产占用情况</w:t>
      </w:r>
    </w:p>
    <w:p>
      <w:pPr>
        <w:spacing w:line="540"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截止2021年12月31日，盘锦市兴隆台区住房和城乡建设局资产总计54997.08万元，流动资产：29195.35万元，非流动资产：25801.65万元，固定资产1286.54万元，固定资产中共有车辆0台，原因是因</w:t>
      </w:r>
      <w:r>
        <w:rPr>
          <w:rFonts w:hint="eastAsia" w:ascii="仿宋" w:hAnsi="仿宋" w:eastAsia="仿宋" w:cs="仿宋"/>
          <w:color w:val="auto"/>
          <w:sz w:val="32"/>
          <w:szCs w:val="32"/>
          <w:lang w:eastAsia="zh-CN"/>
        </w:rPr>
        <w:t>行政单位公车改革</w:t>
      </w:r>
      <w:r>
        <w:rPr>
          <w:rFonts w:hint="eastAsia" w:ascii="仿宋" w:hAnsi="仿宋" w:eastAsia="仿宋" w:cs="仿宋"/>
          <w:color w:val="auto"/>
          <w:sz w:val="32"/>
          <w:szCs w:val="32"/>
          <w:lang w:val="en-US" w:eastAsia="zh-CN"/>
        </w:rPr>
        <w:t>后不再配置保障车辆</w:t>
      </w:r>
      <w:r>
        <w:rPr>
          <w:rFonts w:hint="eastAsia" w:ascii="仿宋" w:hAnsi="仿宋" w:eastAsia="仿宋" w:cs="仿宋"/>
          <w:color w:val="auto"/>
          <w:sz w:val="32"/>
          <w:szCs w:val="32"/>
        </w:rPr>
        <w:t>。</w:t>
      </w:r>
    </w:p>
    <w:p>
      <w:pPr>
        <w:numPr>
          <w:ilvl w:val="0"/>
          <w:numId w:val="4"/>
        </w:numPr>
        <w:spacing w:line="540" w:lineRule="exact"/>
        <w:ind w:firstLine="64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项目预算绩效目标情况说明</w:t>
      </w:r>
    </w:p>
    <w:p>
      <w:pPr>
        <w:numPr>
          <w:ilvl w:val="0"/>
          <w:numId w:val="0"/>
        </w:numPr>
        <w:spacing w:line="54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根据预算绩效管理要求，盘锦市兴隆台区住房和城乡建设局2022年应编制绩效目标的项目共计0个，绩效目标的项目共0个，涉及资金0万元，编制绩效目标的项目覆盖率（实际编制绩效目标的项目/应编制绩效目标的项目）为100%。</w:t>
      </w:r>
    </w:p>
    <w:p>
      <w:pPr>
        <w:numPr>
          <w:ilvl w:val="0"/>
          <w:numId w:val="0"/>
        </w:numPr>
        <w:spacing w:line="540" w:lineRule="exact"/>
        <w:jc w:val="both"/>
        <w:rPr>
          <w:rFonts w:hint="eastAsia" w:ascii="宋体" w:hAnsi="宋体"/>
          <w:b/>
          <w:color w:val="000000" w:themeColor="text1"/>
          <w:sz w:val="40"/>
          <w:szCs w:val="40"/>
          <w:lang w:eastAsia="zh-CN"/>
          <w14:textFill>
            <w14:solidFill>
              <w14:schemeClr w14:val="tx1"/>
            </w14:solidFill>
          </w14:textFill>
        </w:rPr>
      </w:pPr>
    </w:p>
    <w:p>
      <w:pPr>
        <w:numPr>
          <w:ilvl w:val="0"/>
          <w:numId w:val="0"/>
        </w:numPr>
        <w:spacing w:line="540" w:lineRule="exact"/>
        <w:jc w:val="center"/>
        <w:rPr>
          <w:rFonts w:hint="eastAsia" w:ascii="黑体" w:hAnsi="黑体" w:eastAsia="黑体" w:cs="黑体"/>
          <w:b w:val="0"/>
          <w:bCs/>
          <w:color w:val="000000" w:themeColor="text1"/>
          <w:sz w:val="40"/>
          <w:szCs w:val="40"/>
          <w:lang w:eastAsia="zh-CN"/>
          <w14:textFill>
            <w14:solidFill>
              <w14:schemeClr w14:val="tx1"/>
            </w14:solidFill>
          </w14:textFill>
        </w:rPr>
      </w:pPr>
      <w:r>
        <w:rPr>
          <w:rFonts w:hint="eastAsia" w:ascii="黑体" w:hAnsi="黑体" w:eastAsia="黑体" w:cs="黑体"/>
          <w:b w:val="0"/>
          <w:bCs/>
          <w:color w:val="000000" w:themeColor="text1"/>
          <w:sz w:val="40"/>
          <w:szCs w:val="40"/>
          <w:lang w:eastAsia="zh-CN"/>
          <w14:textFill>
            <w14:solidFill>
              <w14:schemeClr w14:val="tx1"/>
            </w14:solidFill>
          </w14:textFill>
        </w:rPr>
        <w:t>第四部分</w:t>
      </w:r>
      <w:r>
        <w:rPr>
          <w:rFonts w:hint="eastAsia" w:ascii="黑体" w:hAnsi="黑体" w:eastAsia="黑体" w:cs="黑体"/>
          <w:b w:val="0"/>
          <w:bCs/>
          <w:color w:val="000000" w:themeColor="text1"/>
          <w:sz w:val="40"/>
          <w:szCs w:val="40"/>
          <w:lang w:val="en-US" w:eastAsia="zh-CN"/>
          <w14:textFill>
            <w14:solidFill>
              <w14:schemeClr w14:val="tx1"/>
            </w14:solidFill>
          </w14:textFill>
        </w:rPr>
        <w:t xml:space="preserve">  </w:t>
      </w:r>
      <w:r>
        <w:rPr>
          <w:rFonts w:hint="eastAsia" w:ascii="黑体" w:hAnsi="黑体" w:eastAsia="黑体" w:cs="黑体"/>
          <w:b w:val="0"/>
          <w:bCs/>
          <w:color w:val="000000" w:themeColor="text1"/>
          <w:sz w:val="40"/>
          <w:szCs w:val="40"/>
          <w:lang w:eastAsia="zh-CN"/>
          <w14:textFill>
            <w14:solidFill>
              <w14:schemeClr w14:val="tx1"/>
            </w14:solidFill>
          </w14:textFill>
        </w:rPr>
        <w:t>其</w:t>
      </w:r>
      <w:r>
        <w:rPr>
          <w:rFonts w:hint="eastAsia" w:ascii="黑体" w:hAnsi="黑体" w:eastAsia="黑体" w:cs="黑体"/>
          <w:b w:val="0"/>
          <w:bCs/>
          <w:color w:val="000000" w:themeColor="text1"/>
          <w:sz w:val="40"/>
          <w:szCs w:val="40"/>
          <w:lang w:val="en-US" w:eastAsia="zh-CN"/>
          <w14:textFill>
            <w14:solidFill>
              <w14:schemeClr w14:val="tx1"/>
            </w14:solidFill>
          </w14:textFill>
        </w:rPr>
        <w:t xml:space="preserve"> </w:t>
      </w:r>
      <w:r>
        <w:rPr>
          <w:rFonts w:hint="eastAsia" w:ascii="黑体" w:hAnsi="黑体" w:eastAsia="黑体" w:cs="黑体"/>
          <w:b w:val="0"/>
          <w:bCs/>
          <w:color w:val="000000" w:themeColor="text1"/>
          <w:sz w:val="40"/>
          <w:szCs w:val="40"/>
          <w:lang w:eastAsia="zh-CN"/>
          <w14:textFill>
            <w14:solidFill>
              <w14:schemeClr w14:val="tx1"/>
            </w14:solidFill>
          </w14:textFill>
        </w:rPr>
        <w:t>他</w:t>
      </w:r>
    </w:p>
    <w:p>
      <w:pPr>
        <w:numPr>
          <w:ilvl w:val="0"/>
          <w:numId w:val="0"/>
        </w:numPr>
        <w:spacing w:line="540" w:lineRule="exact"/>
        <w:ind w:firstLine="723" w:firstLineChars="200"/>
        <w:jc w:val="both"/>
        <w:rPr>
          <w:rFonts w:hint="eastAsia" w:ascii="宋体" w:hAnsi="宋体"/>
          <w:b/>
          <w:color w:val="FF0000"/>
          <w:sz w:val="36"/>
          <w:szCs w:val="36"/>
          <w:lang w:eastAsia="zh-CN"/>
        </w:rPr>
      </w:pPr>
    </w:p>
    <w:p>
      <w:pPr>
        <w:numPr>
          <w:ilvl w:val="0"/>
          <w:numId w:val="0"/>
        </w:numPr>
        <w:spacing w:line="540" w:lineRule="exact"/>
        <w:ind w:firstLine="640" w:firstLineChars="200"/>
        <w:jc w:val="both"/>
        <w:rPr>
          <w:rFonts w:hint="eastAsia" w:ascii="黑体" w:hAnsi="黑体" w:eastAsia="黑体" w:cs="黑体"/>
          <w:b w:val="0"/>
          <w:bCs/>
          <w:color w:val="000000" w:themeColor="text1"/>
          <w:sz w:val="32"/>
          <w:szCs w:val="32"/>
          <w:lang w:eastAsia="zh-CN"/>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一、名称解释</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lang w:eastAsia="zh-CN"/>
        </w:rPr>
        <w:t>（一）</w:t>
      </w:r>
      <w:r>
        <w:rPr>
          <w:rFonts w:hint="eastAsia" w:ascii="仿宋_GB2312" w:eastAsia="仿宋_GB2312"/>
          <w:b w:val="0"/>
          <w:bCs/>
          <w:sz w:val="32"/>
          <w:szCs w:val="32"/>
        </w:rPr>
        <w:t>财政拨款收入：指省级财政当年拨付的资金。</w:t>
      </w:r>
    </w:p>
    <w:p>
      <w:pPr>
        <w:spacing w:line="540" w:lineRule="exact"/>
        <w:ind w:firstLine="640" w:firstLineChars="200"/>
        <w:jc w:val="left"/>
        <w:rPr>
          <w:rFonts w:ascii="仿宋_GB2312" w:eastAsia="仿宋_GB2312"/>
          <w:sz w:val="32"/>
          <w:szCs w:val="32"/>
        </w:rPr>
      </w:pPr>
      <w:r>
        <w:rPr>
          <w:rFonts w:hint="eastAsia" w:ascii="仿宋_GB2312" w:eastAsia="仿宋_GB2312"/>
          <w:b w:val="0"/>
          <w:bCs/>
          <w:sz w:val="32"/>
          <w:szCs w:val="32"/>
          <w:lang w:eastAsia="zh-CN"/>
        </w:rPr>
        <w:t>（二）</w:t>
      </w:r>
      <w:r>
        <w:rPr>
          <w:rFonts w:hint="eastAsia" w:ascii="仿宋_GB2312" w:eastAsia="仿宋_GB2312"/>
          <w:b w:val="0"/>
          <w:bCs/>
          <w:sz w:val="32"/>
          <w:szCs w:val="32"/>
        </w:rPr>
        <w:t>上级补助收入：</w:t>
      </w:r>
      <w:r>
        <w:rPr>
          <w:rFonts w:hint="eastAsia" w:ascii="仿宋_GB2312" w:eastAsia="仿宋_GB2312"/>
          <w:sz w:val="32"/>
          <w:szCs w:val="32"/>
        </w:rPr>
        <w:t>指单位从主管部门和上级单位取得的非财政性补助收入。</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lang w:eastAsia="zh-CN"/>
        </w:rPr>
        <w:t>（三）</w:t>
      </w:r>
      <w:r>
        <w:rPr>
          <w:rFonts w:hint="eastAsia" w:ascii="仿宋_GB2312" w:eastAsia="仿宋_GB2312"/>
          <w:b w:val="0"/>
          <w:bCs/>
          <w:sz w:val="32"/>
          <w:szCs w:val="32"/>
        </w:rPr>
        <w:t>事业收入：指事业单位开展专业业务活动及辅助活动所取得的收入。</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lang w:eastAsia="zh-CN"/>
        </w:rPr>
        <w:t>（四）</w:t>
      </w:r>
      <w:r>
        <w:rPr>
          <w:rFonts w:hint="eastAsia" w:ascii="仿宋_GB2312" w:eastAsia="仿宋_GB2312"/>
          <w:b w:val="0"/>
          <w:bCs/>
          <w:sz w:val="32"/>
          <w:szCs w:val="32"/>
        </w:rPr>
        <w:t>经营收入：指事业单位在专业业务活动及辅助活动之外开展非独立核算经营活动取得的收入。</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lang w:eastAsia="zh-CN"/>
        </w:rPr>
        <w:t>（五）</w:t>
      </w:r>
      <w:r>
        <w:rPr>
          <w:rFonts w:hint="eastAsia" w:ascii="仿宋_GB2312" w:eastAsia="仿宋_GB2312"/>
          <w:b w:val="0"/>
          <w:bCs/>
          <w:sz w:val="32"/>
          <w:szCs w:val="32"/>
        </w:rPr>
        <w:t>附属单位上缴收入：指单位附属的独立核算单位按照规定上缴的收入。</w:t>
      </w:r>
    </w:p>
    <w:p>
      <w:pPr>
        <w:spacing w:line="540" w:lineRule="exact"/>
        <w:ind w:firstLine="640" w:firstLineChars="200"/>
        <w:jc w:val="left"/>
        <w:rPr>
          <w:rFonts w:ascii="仿宋_GB2312" w:eastAsia="仿宋_GB2312"/>
          <w:sz w:val="32"/>
          <w:szCs w:val="32"/>
        </w:rPr>
      </w:pPr>
      <w:r>
        <w:rPr>
          <w:rFonts w:hint="eastAsia" w:ascii="仿宋_GB2312" w:eastAsia="仿宋_GB2312"/>
          <w:b w:val="0"/>
          <w:bCs/>
          <w:sz w:val="32"/>
          <w:szCs w:val="32"/>
          <w:lang w:eastAsia="zh-CN"/>
        </w:rPr>
        <w:t>（六）</w:t>
      </w:r>
      <w:r>
        <w:rPr>
          <w:rFonts w:hint="eastAsia" w:ascii="仿宋_GB2312" w:eastAsia="仿宋_GB2312"/>
          <w:b w:val="0"/>
          <w:bCs/>
          <w:sz w:val="32"/>
          <w:szCs w:val="32"/>
        </w:rPr>
        <w:t>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0" w:firstLineChars="200"/>
        <w:jc w:val="left"/>
        <w:rPr>
          <w:rFonts w:ascii="仿宋_GB2312" w:eastAsia="仿宋_GB2312"/>
          <w:b w:val="0"/>
          <w:bCs w:val="0"/>
          <w:sz w:val="32"/>
          <w:szCs w:val="32"/>
        </w:rPr>
      </w:pPr>
      <w:r>
        <w:rPr>
          <w:rFonts w:hint="eastAsia" w:ascii="仿宋_GB2312" w:eastAsia="仿宋_GB2312"/>
          <w:b w:val="0"/>
          <w:bCs/>
          <w:sz w:val="32"/>
          <w:szCs w:val="32"/>
          <w:lang w:eastAsia="zh-CN"/>
        </w:rPr>
        <w:t>（七）</w:t>
      </w:r>
      <w:r>
        <w:rPr>
          <w:rFonts w:hint="eastAsia" w:ascii="仿宋_GB2312" w:eastAsia="仿宋_GB2312"/>
          <w:b w:val="0"/>
          <w:bCs/>
          <w:sz w:val="32"/>
          <w:szCs w:val="32"/>
        </w:rPr>
        <w:t>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w:t>
      </w:r>
      <w:r>
        <w:rPr>
          <w:rFonts w:hint="eastAsia" w:ascii="仿宋_GB2312" w:eastAsia="仿宋_GB2312"/>
          <w:b w:val="0"/>
          <w:bCs w:val="0"/>
          <w:sz w:val="32"/>
          <w:szCs w:val="32"/>
        </w:rPr>
        <w:t>弥补以后年度收支差额的基金）弥补本年度收支缺口的资金。</w:t>
      </w:r>
    </w:p>
    <w:p>
      <w:pPr>
        <w:spacing w:line="540" w:lineRule="exact"/>
        <w:ind w:firstLine="640" w:firstLineChars="200"/>
        <w:jc w:val="left"/>
        <w:rPr>
          <w:rFonts w:ascii="仿宋_GB2312" w:eastAsia="仿宋_GB2312"/>
          <w:b w:val="0"/>
          <w:bCs w:val="0"/>
          <w:sz w:val="32"/>
          <w:szCs w:val="32"/>
        </w:rPr>
      </w:pPr>
      <w:r>
        <w:rPr>
          <w:rFonts w:hint="eastAsia" w:ascii="仿宋_GB2312" w:eastAsia="仿宋_GB2312"/>
          <w:b w:val="0"/>
          <w:bCs w:val="0"/>
          <w:sz w:val="32"/>
          <w:szCs w:val="32"/>
          <w:lang w:eastAsia="zh-CN"/>
        </w:rPr>
        <w:t>（八）</w:t>
      </w:r>
      <w:r>
        <w:rPr>
          <w:rFonts w:hint="eastAsia" w:ascii="仿宋_GB2312" w:eastAsia="仿宋_GB2312"/>
          <w:b w:val="0"/>
          <w:bCs w:val="0"/>
          <w:sz w:val="32"/>
          <w:szCs w:val="32"/>
        </w:rPr>
        <w:t>上年结转和结余：指以前年度尚未完成、结转到本年按有关规定继续使用的资金。</w:t>
      </w:r>
    </w:p>
    <w:p>
      <w:pPr>
        <w:spacing w:line="540" w:lineRule="exact"/>
        <w:ind w:firstLine="640" w:firstLineChars="200"/>
        <w:jc w:val="left"/>
        <w:rPr>
          <w:rFonts w:ascii="仿宋_GB2312" w:eastAsia="仿宋_GB2312"/>
          <w:b w:val="0"/>
          <w:bCs w:val="0"/>
          <w:sz w:val="32"/>
          <w:szCs w:val="32"/>
        </w:rPr>
      </w:pPr>
      <w:r>
        <w:rPr>
          <w:rFonts w:hint="eastAsia" w:ascii="仿宋_GB2312" w:eastAsia="仿宋_GB2312"/>
          <w:b w:val="0"/>
          <w:bCs w:val="0"/>
          <w:sz w:val="32"/>
          <w:szCs w:val="32"/>
          <w:lang w:eastAsia="zh-CN"/>
        </w:rPr>
        <w:t>（九）</w:t>
      </w:r>
      <w:r>
        <w:rPr>
          <w:rFonts w:hint="eastAsia" w:ascii="仿宋_GB2312" w:eastAsia="仿宋_GB2312"/>
          <w:b w:val="0"/>
          <w:bCs w:val="0"/>
          <w:sz w:val="32"/>
          <w:szCs w:val="32"/>
        </w:rPr>
        <w:t>基本支出：指保障机构正常运转、完成日常工作任务而发生的人员支出和公用支出。</w:t>
      </w:r>
    </w:p>
    <w:p>
      <w:pPr>
        <w:spacing w:line="540" w:lineRule="exact"/>
        <w:ind w:firstLine="640" w:firstLineChars="200"/>
        <w:jc w:val="left"/>
        <w:rPr>
          <w:rFonts w:ascii="仿宋_GB2312" w:eastAsia="仿宋_GB2312"/>
          <w:sz w:val="32"/>
          <w:szCs w:val="32"/>
        </w:rPr>
      </w:pPr>
      <w:r>
        <w:rPr>
          <w:rFonts w:hint="eastAsia" w:ascii="仿宋_GB2312" w:eastAsia="仿宋_GB2312"/>
          <w:b w:val="0"/>
          <w:bCs w:val="0"/>
          <w:sz w:val="32"/>
          <w:szCs w:val="32"/>
          <w:lang w:eastAsia="zh-CN"/>
        </w:rPr>
        <w:t>（十）</w:t>
      </w:r>
      <w:r>
        <w:rPr>
          <w:rFonts w:hint="eastAsia" w:ascii="仿宋_GB2312" w:eastAsia="仿宋_GB2312"/>
          <w:b w:val="0"/>
          <w:bCs w:val="0"/>
          <w:sz w:val="32"/>
          <w:szCs w:val="32"/>
        </w:rPr>
        <w:t>项目支出：</w:t>
      </w:r>
      <w:r>
        <w:rPr>
          <w:rFonts w:hint="eastAsia" w:ascii="仿宋_GB2312" w:eastAsia="仿宋_GB2312"/>
          <w:sz w:val="32"/>
          <w:szCs w:val="32"/>
        </w:rPr>
        <w:t>指在基本支出之外为完成特定行政任务和事业发展目标所发生的支出。</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lang w:eastAsia="zh-CN"/>
        </w:rPr>
        <w:t>（十一）</w:t>
      </w:r>
      <w:r>
        <w:rPr>
          <w:rFonts w:hint="eastAsia" w:ascii="仿宋_GB2312" w:eastAsia="仿宋_GB2312"/>
          <w:b w:val="0"/>
          <w:bCs/>
          <w:sz w:val="32"/>
          <w:szCs w:val="32"/>
        </w:rPr>
        <w:t>上缴上级支出：指事业单位按照财政部门和主管部门的规定上缴上级单位的支出。</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lang w:eastAsia="zh-CN"/>
        </w:rPr>
        <w:t>（十二）</w:t>
      </w:r>
      <w:r>
        <w:rPr>
          <w:rFonts w:hint="eastAsia" w:ascii="仿宋_GB2312" w:eastAsia="仿宋_GB2312"/>
          <w:b w:val="0"/>
          <w:bCs/>
          <w:sz w:val="32"/>
          <w:szCs w:val="32"/>
        </w:rPr>
        <w:t>经营支出：指事业单位在专业活动及辅助活动之外开展非独立核算经营活动发生的支出。</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lang w:eastAsia="zh-CN"/>
        </w:rPr>
        <w:t>（十三）</w:t>
      </w:r>
      <w:r>
        <w:rPr>
          <w:rFonts w:hint="eastAsia" w:ascii="仿宋_GB2312" w:eastAsia="仿宋_GB2312"/>
          <w:b w:val="0"/>
          <w:bCs/>
          <w:sz w:val="32"/>
          <w:szCs w:val="32"/>
        </w:rPr>
        <w:t>对附属单位补助支出：指事业单位用财政补助收入之外的收入对附属单位补助发生的支出。</w:t>
      </w:r>
    </w:p>
    <w:p>
      <w:pPr>
        <w:spacing w:line="54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eastAsia="zh-CN"/>
        </w:rPr>
        <w:t>（十四）</w:t>
      </w:r>
      <w:r>
        <w:rPr>
          <w:rFonts w:hint="eastAsia" w:ascii="仿宋" w:hAnsi="仿宋" w:eastAsia="仿宋" w:cs="仿宋"/>
          <w:b w:val="0"/>
          <w:bCs/>
          <w:sz w:val="32"/>
          <w:szCs w:val="32"/>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eastAsia="zh-CN"/>
        </w:rPr>
        <w:t>（十五）</w:t>
      </w:r>
      <w:r>
        <w:rPr>
          <w:rFonts w:hint="eastAsia" w:ascii="仿宋" w:hAnsi="仿宋" w:eastAsia="仿宋" w:cs="仿宋"/>
          <w:b w:val="0"/>
          <w:bCs/>
          <w:sz w:val="32"/>
          <w:szCs w:val="32"/>
        </w:rPr>
        <w:t>一般公共服务（类）财政事务（款）行政运行（项）：反映行政单位（包括实行公务员管理的事业单位）的基本支出。</w:t>
      </w:r>
    </w:p>
    <w:p>
      <w:pPr>
        <w:spacing w:line="54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eastAsia="zh-CN"/>
        </w:rPr>
        <w:t>（十六）</w:t>
      </w:r>
      <w:r>
        <w:rPr>
          <w:rFonts w:hint="eastAsia" w:ascii="仿宋" w:hAnsi="仿宋" w:eastAsia="仿宋" w:cs="仿宋"/>
          <w:b w:val="0"/>
          <w:bCs/>
          <w:sz w:val="32"/>
          <w:szCs w:val="32"/>
        </w:rPr>
        <w:t>一般公共服务（类）财政事务（款）一般行政管理事务（项）：反映行政单位（包括实行公务员管理的事业单位）未单独设置项级科目的其他项目支出。</w:t>
      </w:r>
    </w:p>
    <w:p>
      <w:pPr>
        <w:spacing w:line="54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eastAsia="zh-CN"/>
        </w:rPr>
        <w:t>（十七）</w:t>
      </w:r>
      <w:r>
        <w:rPr>
          <w:rFonts w:hint="eastAsia" w:ascii="仿宋" w:hAnsi="仿宋" w:eastAsia="仿宋" w:cs="仿宋"/>
          <w:b w:val="0"/>
          <w:bCs/>
          <w:sz w:val="32"/>
          <w:szCs w:val="32"/>
        </w:rPr>
        <w:t>一般公共服务（类）财政事务（款）预算改革业务（项）：反映财政部门用于预算改革方面的支出。</w:t>
      </w:r>
    </w:p>
    <w:p>
      <w:pPr>
        <w:spacing w:line="54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eastAsia="zh-CN"/>
        </w:rPr>
        <w:t>（十八）</w:t>
      </w:r>
      <w:r>
        <w:rPr>
          <w:rFonts w:hint="eastAsia" w:ascii="仿宋" w:hAnsi="仿宋" w:eastAsia="仿宋" w:cs="仿宋"/>
          <w:b w:val="0"/>
          <w:bCs/>
          <w:sz w:val="32"/>
          <w:szCs w:val="32"/>
        </w:rPr>
        <w:t>一般公共服务（类）财政事务（款）财政国库业务（项）反映财政部门用于财政国库集中收付业务方面的支出。</w:t>
      </w:r>
    </w:p>
    <w:p>
      <w:pPr>
        <w:spacing w:line="54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eastAsia="zh-CN"/>
        </w:rPr>
        <w:t>（十九）</w:t>
      </w:r>
      <w:r>
        <w:rPr>
          <w:rFonts w:hint="eastAsia" w:ascii="仿宋" w:hAnsi="仿宋" w:eastAsia="仿宋" w:cs="仿宋"/>
          <w:b w:val="0"/>
          <w:bCs/>
          <w:sz w:val="32"/>
          <w:szCs w:val="32"/>
        </w:rPr>
        <w:t>一般公共服务（类）财政事务（款）信息化建设支出（项）反映财政部门用于“金财工程”等信息化建设方面的支出。</w:t>
      </w:r>
    </w:p>
    <w:p>
      <w:pPr>
        <w:spacing w:line="54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eastAsia="zh-CN"/>
        </w:rPr>
        <w:t>（二十）</w:t>
      </w:r>
      <w:r>
        <w:rPr>
          <w:rFonts w:hint="eastAsia" w:ascii="仿宋" w:hAnsi="仿宋" w:eastAsia="仿宋" w:cs="仿宋"/>
          <w:b w:val="0"/>
          <w:bCs/>
          <w:sz w:val="32"/>
          <w:szCs w:val="32"/>
        </w:rPr>
        <w:t>一般公共服务（类）财政事务（款）财政委托业务支出（项）反映财政委托评审机构进行财政投资评审和委托建设银行等机构代理业务发生的支出。</w:t>
      </w:r>
    </w:p>
    <w:p>
      <w:pPr>
        <w:spacing w:line="54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eastAsia="zh-CN"/>
        </w:rPr>
        <w:t>（二十一）</w:t>
      </w:r>
      <w:r>
        <w:rPr>
          <w:rFonts w:hint="eastAsia" w:ascii="仿宋" w:hAnsi="仿宋" w:eastAsia="仿宋" w:cs="仿宋"/>
          <w:b w:val="0"/>
          <w:bCs/>
          <w:sz w:val="32"/>
          <w:szCs w:val="32"/>
        </w:rPr>
        <w:t>一般公共服务（类）财政事务（款）事业运行（项）反映事业单位的基本支出，不包括行政单位（包括实行公务员管理的事业单位）后勤服务中心、医务室等附属事业单位。</w:t>
      </w:r>
    </w:p>
    <w:p>
      <w:pPr>
        <w:spacing w:line="54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eastAsia="zh-CN"/>
        </w:rPr>
        <w:t>（二十二）</w:t>
      </w:r>
      <w:r>
        <w:rPr>
          <w:rFonts w:hint="eastAsia" w:ascii="仿宋" w:hAnsi="仿宋" w:eastAsia="仿宋" w:cs="仿宋"/>
          <w:b w:val="0"/>
          <w:bCs/>
          <w:sz w:val="32"/>
          <w:szCs w:val="32"/>
        </w:rPr>
        <w:t>一般公共服务（类）财政事务（款）其他财政事务支出（项）反映除上述项目以外其他财政事务方面的支出。</w:t>
      </w:r>
    </w:p>
    <w:p>
      <w:pPr>
        <w:spacing w:line="54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eastAsia="zh-CN"/>
        </w:rPr>
        <w:t>（二十三）</w:t>
      </w:r>
      <w:r>
        <w:rPr>
          <w:rFonts w:hint="eastAsia" w:ascii="仿宋" w:hAnsi="仿宋" w:eastAsia="仿宋" w:cs="仿宋"/>
          <w:b w:val="0"/>
          <w:bCs/>
          <w:sz w:val="32"/>
          <w:szCs w:val="32"/>
        </w:rPr>
        <w:t>科学技术（类）其他科学技术支出（款）其他科学技术支出（项）反映其他用于科技方面的支出。</w:t>
      </w:r>
    </w:p>
    <w:p>
      <w:pPr>
        <w:spacing w:line="54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eastAsia="zh-CN"/>
        </w:rPr>
        <w:t>（二十四）</w:t>
      </w:r>
      <w:r>
        <w:rPr>
          <w:rFonts w:hint="eastAsia" w:ascii="仿宋" w:hAnsi="仿宋" w:eastAsia="仿宋" w:cs="仿宋"/>
          <w:b w:val="0"/>
          <w:bCs/>
          <w:sz w:val="32"/>
          <w:szCs w:val="32"/>
        </w:rPr>
        <w:t>社会保障和就业（类）行政事业单位离退休（款）归口管理的行政单位离退休（项）反映实行归口管理的行政单位（包括实行公务员管理的事业单位）开支的离退休经费。</w:t>
      </w:r>
    </w:p>
    <w:p>
      <w:pPr>
        <w:spacing w:line="54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eastAsia="zh-CN"/>
        </w:rPr>
        <w:t>（二十五）</w:t>
      </w:r>
      <w:r>
        <w:rPr>
          <w:rFonts w:hint="eastAsia" w:ascii="仿宋" w:hAnsi="仿宋" w:eastAsia="仿宋" w:cs="仿宋"/>
          <w:b w:val="0"/>
          <w:bCs/>
          <w:sz w:val="32"/>
          <w:szCs w:val="32"/>
        </w:rPr>
        <w:t>社会保障和就业（类）行政事业单位离退休（款）事业单位离退休（项）反映实行归口管理的事业单位开支的离退休经费。</w:t>
      </w:r>
    </w:p>
    <w:p>
      <w:pPr>
        <w:spacing w:line="54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eastAsia="zh-CN"/>
        </w:rPr>
        <w:t>（二十六）</w:t>
      </w:r>
      <w:r>
        <w:rPr>
          <w:rFonts w:hint="eastAsia" w:ascii="仿宋" w:hAnsi="仿宋" w:eastAsia="仿宋" w:cs="仿宋"/>
          <w:b w:val="0"/>
          <w:bCs/>
          <w:sz w:val="32"/>
          <w:szCs w:val="32"/>
        </w:rPr>
        <w:t>医疗卫生（类）医疗保障（款）行政单位医疗（项）：反映财政部门集中安排的行政单位基本医疗保险缴费经费，未参加医疗保险的行政单位的公费医疗经费，按国家规定享受离休人员、红军老战士待遇人员的医疗经费。</w:t>
      </w:r>
    </w:p>
    <w:p>
      <w:pPr>
        <w:spacing w:line="54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eastAsia="zh-CN"/>
        </w:rPr>
        <w:t>（二十七）</w:t>
      </w:r>
      <w:r>
        <w:rPr>
          <w:rFonts w:hint="eastAsia" w:ascii="仿宋" w:hAnsi="仿宋" w:eastAsia="仿宋" w:cs="仿宋"/>
          <w:b w:val="0"/>
          <w:bCs/>
          <w:sz w:val="32"/>
          <w:szCs w:val="32"/>
        </w:rPr>
        <w:t>医疗卫生（类）其他医疗卫生支出（款）其他医疗卫生支出（项）反映除上述项目以外其他用于医疗卫生方面的支出。</w:t>
      </w:r>
    </w:p>
    <w:p>
      <w:pPr>
        <w:spacing w:line="54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eastAsia="zh-CN"/>
        </w:rPr>
        <w:t>（二十八）</w:t>
      </w:r>
      <w:r>
        <w:rPr>
          <w:rFonts w:hint="eastAsia" w:ascii="仿宋" w:hAnsi="仿宋" w:eastAsia="仿宋" w:cs="仿宋"/>
          <w:b w:val="0"/>
          <w:bCs/>
          <w:sz w:val="32"/>
          <w:szCs w:val="32"/>
        </w:rPr>
        <w:t>农林水事务（类）农业（款）其他农业支出（项）：反映其他用于农业方面的支出。</w:t>
      </w:r>
    </w:p>
    <w:p>
      <w:pPr>
        <w:spacing w:line="54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eastAsia="zh-CN"/>
        </w:rPr>
        <w:t>（二十九）</w:t>
      </w:r>
      <w:r>
        <w:rPr>
          <w:rFonts w:hint="eastAsia" w:ascii="仿宋" w:hAnsi="仿宋" w:eastAsia="仿宋" w:cs="仿宋"/>
          <w:b w:val="0"/>
          <w:bCs/>
          <w:sz w:val="32"/>
          <w:szCs w:val="32"/>
        </w:rPr>
        <w:t>交通运输（类）石油价格改革对交通运输的补贴（款）石油价格改革补贴其他支出（项）：反映石油价格改革财政补贴对其他方面的支出。</w:t>
      </w:r>
    </w:p>
    <w:p>
      <w:pPr>
        <w:spacing w:line="54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（三十）</w:t>
      </w:r>
      <w:r>
        <w:rPr>
          <w:rFonts w:hint="eastAsia" w:ascii="仿宋" w:hAnsi="仿宋" w:eastAsia="仿宋" w:cs="仿宋"/>
          <w:b w:val="0"/>
          <w:bCs/>
          <w:sz w:val="32"/>
          <w:szCs w:val="32"/>
        </w:rPr>
        <w:t>资源勘探信息等支出（类）工业和信息产业监管支出（款）其他工业和信息产业监管支出（项）反映其他用于工业和信息产业监管方面的支出。</w:t>
      </w:r>
    </w:p>
    <w:p>
      <w:pPr>
        <w:spacing w:line="54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eastAsia="zh-CN"/>
        </w:rPr>
        <w:t>（三十一）</w:t>
      </w:r>
      <w:r>
        <w:rPr>
          <w:rFonts w:hint="eastAsia" w:ascii="仿宋" w:hAnsi="仿宋" w:eastAsia="仿宋" w:cs="仿宋"/>
          <w:b w:val="0"/>
          <w:bCs/>
          <w:sz w:val="32"/>
          <w:szCs w:val="32"/>
        </w:rPr>
        <w:t>资源勘探信息等支出（类）其他资源勘探电力信息等支出（款）建设项目贷款贴息（项）：反映根据国家规定用于特定建设项目及国家级高新技术开发区、中西部经济技术开发区建设项目设施贷款的财政贴息支出。</w:t>
      </w:r>
    </w:p>
    <w:p>
      <w:pPr>
        <w:spacing w:line="54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eastAsia="zh-CN"/>
        </w:rPr>
        <w:t>（三十二）</w:t>
      </w:r>
      <w:r>
        <w:rPr>
          <w:rFonts w:hint="eastAsia" w:ascii="仿宋" w:hAnsi="仿宋" w:eastAsia="仿宋" w:cs="仿宋"/>
          <w:b w:val="0"/>
          <w:bCs/>
          <w:sz w:val="32"/>
          <w:szCs w:val="32"/>
        </w:rPr>
        <w:t xml:space="preserve"> 国土资源气象等支出（类）国土资源事务（款）其他国土资源事务支出（项）反映其他用于国土资源事务方面的支出。</w:t>
      </w:r>
    </w:p>
    <w:p>
      <w:pPr>
        <w:spacing w:line="54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eastAsia="zh-CN"/>
        </w:rPr>
        <w:t>（三十三）</w:t>
      </w:r>
      <w:r>
        <w:rPr>
          <w:rFonts w:hint="eastAsia" w:ascii="仿宋" w:hAnsi="仿宋" w:eastAsia="仿宋" w:cs="仿宋"/>
          <w:b w:val="0"/>
          <w:bCs/>
          <w:sz w:val="32"/>
          <w:szCs w:val="32"/>
        </w:rPr>
        <w:t>住房保障（类）住房改革（款）住房公积金（项）：反映行政事业单位按人力资源和社会保障部、财政部规定的基本工资和津贴补贴以及规定比例为职工缴纳的住房公积金。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eastAsia="zh-CN"/>
        </w:rPr>
        <w:t>（三十四）</w:t>
      </w:r>
      <w:r>
        <w:rPr>
          <w:rFonts w:hint="eastAsia" w:ascii="仿宋" w:hAnsi="仿宋" w:eastAsia="仿宋" w:cs="仿宋"/>
          <w:b w:val="0"/>
          <w:bCs/>
          <w:sz w:val="32"/>
          <w:szCs w:val="32"/>
        </w:rPr>
        <w:t>其他支出（类）其他支出（款）其他支出（项）：反映其他不能划分到具体功能科目中的支出项目。</w:t>
      </w:r>
    </w:p>
    <w:p>
      <w:pPr>
        <w:spacing w:line="54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eastAsia="zh-CN"/>
        </w:rPr>
        <w:t>（三十五）</w:t>
      </w:r>
      <w:r>
        <w:rPr>
          <w:rFonts w:hint="eastAsia" w:ascii="仿宋" w:hAnsi="仿宋" w:eastAsia="仿宋" w:cs="仿宋"/>
          <w:b w:val="0"/>
          <w:bCs/>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10</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A228C"/>
    <w:multiLevelType w:val="singleLevel"/>
    <w:tmpl w:val="94EA228C"/>
    <w:lvl w:ilvl="0" w:tentative="0">
      <w:start w:val="1"/>
      <w:numFmt w:val="chineseCounting"/>
      <w:suff w:val="nothing"/>
      <w:lvlText w:val="（%1）"/>
      <w:lvlJc w:val="left"/>
      <w:rPr>
        <w:rFonts w:hint="eastAsia"/>
      </w:rPr>
    </w:lvl>
  </w:abstractNum>
  <w:abstractNum w:abstractNumId="1">
    <w:nsid w:val="5114817D"/>
    <w:multiLevelType w:val="singleLevel"/>
    <w:tmpl w:val="5114817D"/>
    <w:lvl w:ilvl="0" w:tentative="0">
      <w:start w:val="6"/>
      <w:numFmt w:val="chineseCounting"/>
      <w:suff w:val="nothing"/>
      <w:lvlText w:val="%1、"/>
      <w:lvlJc w:val="left"/>
      <w:rPr>
        <w:rFonts w:hint="eastAsia"/>
      </w:rPr>
    </w:lvl>
  </w:abstractNum>
  <w:abstractNum w:abstractNumId="2">
    <w:nsid w:val="78364058"/>
    <w:multiLevelType w:val="singleLevel"/>
    <w:tmpl w:val="78364058"/>
    <w:lvl w:ilvl="0" w:tentative="0">
      <w:start w:val="3"/>
      <w:numFmt w:val="chineseCounting"/>
      <w:suff w:val="space"/>
      <w:lvlText w:val="第%1部分"/>
      <w:lvlJc w:val="left"/>
      <w:rPr>
        <w:rFonts w:hint="eastAsia"/>
      </w:rPr>
    </w:lvl>
  </w:abstractNum>
  <w:abstractNum w:abstractNumId="3">
    <w:nsid w:val="7D512C11"/>
    <w:multiLevelType w:val="singleLevel"/>
    <w:tmpl w:val="7D512C11"/>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NGM3YWNiODA1NGU3MGU4MmIwMjQ0ZmRjNWIxMGMifQ=="/>
  </w:docVars>
  <w:rsids>
    <w:rsidRoot w:val="00172A27"/>
    <w:rsid w:val="00172A27"/>
    <w:rsid w:val="002F3F65"/>
    <w:rsid w:val="00364D09"/>
    <w:rsid w:val="00667EA9"/>
    <w:rsid w:val="009E7FF0"/>
    <w:rsid w:val="00E432F8"/>
    <w:rsid w:val="00F82330"/>
    <w:rsid w:val="01C20C44"/>
    <w:rsid w:val="01E01461"/>
    <w:rsid w:val="03A54AA1"/>
    <w:rsid w:val="04682F74"/>
    <w:rsid w:val="04865689"/>
    <w:rsid w:val="05062381"/>
    <w:rsid w:val="05764001"/>
    <w:rsid w:val="05A30D0A"/>
    <w:rsid w:val="05D46C79"/>
    <w:rsid w:val="064821B6"/>
    <w:rsid w:val="078572B9"/>
    <w:rsid w:val="07866625"/>
    <w:rsid w:val="07C53057"/>
    <w:rsid w:val="09502025"/>
    <w:rsid w:val="0A2C7644"/>
    <w:rsid w:val="0AEA7107"/>
    <w:rsid w:val="0AF160CE"/>
    <w:rsid w:val="0BFC0802"/>
    <w:rsid w:val="0C1F363C"/>
    <w:rsid w:val="0C992DD6"/>
    <w:rsid w:val="0CB364B4"/>
    <w:rsid w:val="0CC04D32"/>
    <w:rsid w:val="0CF7726B"/>
    <w:rsid w:val="0D391E52"/>
    <w:rsid w:val="0DC63C55"/>
    <w:rsid w:val="0EA657DD"/>
    <w:rsid w:val="0F4222E1"/>
    <w:rsid w:val="0F60426C"/>
    <w:rsid w:val="10B47CF8"/>
    <w:rsid w:val="124E77E1"/>
    <w:rsid w:val="12FB66B3"/>
    <w:rsid w:val="133D2711"/>
    <w:rsid w:val="1691325D"/>
    <w:rsid w:val="17013FA9"/>
    <w:rsid w:val="1759227A"/>
    <w:rsid w:val="183F686A"/>
    <w:rsid w:val="192276B9"/>
    <w:rsid w:val="1A654562"/>
    <w:rsid w:val="1A883E85"/>
    <w:rsid w:val="1AAB0C1C"/>
    <w:rsid w:val="1ACD72D5"/>
    <w:rsid w:val="1C8E1ECD"/>
    <w:rsid w:val="1DCE4329"/>
    <w:rsid w:val="1E8732E6"/>
    <w:rsid w:val="1EA3513D"/>
    <w:rsid w:val="1ECA3879"/>
    <w:rsid w:val="1F693E9B"/>
    <w:rsid w:val="201A4A81"/>
    <w:rsid w:val="20466227"/>
    <w:rsid w:val="20871ED4"/>
    <w:rsid w:val="20A07A20"/>
    <w:rsid w:val="21FF7908"/>
    <w:rsid w:val="22B91EA4"/>
    <w:rsid w:val="231C5013"/>
    <w:rsid w:val="24C81B6F"/>
    <w:rsid w:val="26720766"/>
    <w:rsid w:val="26B87F9D"/>
    <w:rsid w:val="27185991"/>
    <w:rsid w:val="27917F69"/>
    <w:rsid w:val="280820E4"/>
    <w:rsid w:val="29C8278E"/>
    <w:rsid w:val="2BA902FE"/>
    <w:rsid w:val="2BD54270"/>
    <w:rsid w:val="2C090C31"/>
    <w:rsid w:val="2EBC4D8D"/>
    <w:rsid w:val="2F173434"/>
    <w:rsid w:val="2FB13F6E"/>
    <w:rsid w:val="2FF60EF7"/>
    <w:rsid w:val="30537296"/>
    <w:rsid w:val="30C657A6"/>
    <w:rsid w:val="315D3A39"/>
    <w:rsid w:val="31CB27A1"/>
    <w:rsid w:val="32995F54"/>
    <w:rsid w:val="32A435A8"/>
    <w:rsid w:val="33B714D0"/>
    <w:rsid w:val="343835DB"/>
    <w:rsid w:val="34D91AE6"/>
    <w:rsid w:val="362634F4"/>
    <w:rsid w:val="3655540E"/>
    <w:rsid w:val="36F51D77"/>
    <w:rsid w:val="39394B01"/>
    <w:rsid w:val="39CE3EE7"/>
    <w:rsid w:val="3A0F4DC1"/>
    <w:rsid w:val="3A1E529B"/>
    <w:rsid w:val="3C457B75"/>
    <w:rsid w:val="3C85615C"/>
    <w:rsid w:val="3C9338EF"/>
    <w:rsid w:val="3CF71010"/>
    <w:rsid w:val="3D273644"/>
    <w:rsid w:val="3D44011D"/>
    <w:rsid w:val="3DBF6803"/>
    <w:rsid w:val="3F0B140A"/>
    <w:rsid w:val="3F4A4559"/>
    <w:rsid w:val="3FCC177A"/>
    <w:rsid w:val="402C7AD2"/>
    <w:rsid w:val="403708AF"/>
    <w:rsid w:val="408D18F2"/>
    <w:rsid w:val="40CA2593"/>
    <w:rsid w:val="417B4073"/>
    <w:rsid w:val="41C15537"/>
    <w:rsid w:val="4266089C"/>
    <w:rsid w:val="431A2BCD"/>
    <w:rsid w:val="431D47E3"/>
    <w:rsid w:val="44047CE7"/>
    <w:rsid w:val="490E7306"/>
    <w:rsid w:val="49732FFE"/>
    <w:rsid w:val="49FF3AF8"/>
    <w:rsid w:val="4BAE3083"/>
    <w:rsid w:val="4DE821C1"/>
    <w:rsid w:val="4E1478D6"/>
    <w:rsid w:val="4E6940E8"/>
    <w:rsid w:val="4F8175B1"/>
    <w:rsid w:val="4FD65443"/>
    <w:rsid w:val="50192F9D"/>
    <w:rsid w:val="50CE4C44"/>
    <w:rsid w:val="51730952"/>
    <w:rsid w:val="51DF0C4A"/>
    <w:rsid w:val="521E6E20"/>
    <w:rsid w:val="524C5D80"/>
    <w:rsid w:val="52671F9B"/>
    <w:rsid w:val="53931697"/>
    <w:rsid w:val="55152EF2"/>
    <w:rsid w:val="55FD29FD"/>
    <w:rsid w:val="565F7790"/>
    <w:rsid w:val="57A21F76"/>
    <w:rsid w:val="58601B67"/>
    <w:rsid w:val="586D27C4"/>
    <w:rsid w:val="58F30E05"/>
    <w:rsid w:val="59404451"/>
    <w:rsid w:val="5AB124D5"/>
    <w:rsid w:val="5C1100A5"/>
    <w:rsid w:val="5DB05C03"/>
    <w:rsid w:val="5E8D4E72"/>
    <w:rsid w:val="5FAF01FA"/>
    <w:rsid w:val="5FBA3FD4"/>
    <w:rsid w:val="5FD676A1"/>
    <w:rsid w:val="61A83CFA"/>
    <w:rsid w:val="620A0EB1"/>
    <w:rsid w:val="63CD5856"/>
    <w:rsid w:val="63E03414"/>
    <w:rsid w:val="66916125"/>
    <w:rsid w:val="68AF38B3"/>
    <w:rsid w:val="691C5356"/>
    <w:rsid w:val="69420049"/>
    <w:rsid w:val="6B7F26EE"/>
    <w:rsid w:val="6B8D104F"/>
    <w:rsid w:val="6BB90992"/>
    <w:rsid w:val="6BCD6939"/>
    <w:rsid w:val="6BD732BE"/>
    <w:rsid w:val="6C850C61"/>
    <w:rsid w:val="6D7D0C9E"/>
    <w:rsid w:val="6DEB4DF7"/>
    <w:rsid w:val="6E2C7DE5"/>
    <w:rsid w:val="6EBB5279"/>
    <w:rsid w:val="700E6F46"/>
    <w:rsid w:val="719058BD"/>
    <w:rsid w:val="73663AEA"/>
    <w:rsid w:val="73B37250"/>
    <w:rsid w:val="73F23822"/>
    <w:rsid w:val="746300FF"/>
    <w:rsid w:val="74FB2D42"/>
    <w:rsid w:val="780409DB"/>
    <w:rsid w:val="78BE4A87"/>
    <w:rsid w:val="79D9447B"/>
    <w:rsid w:val="79EB767A"/>
    <w:rsid w:val="7A1548FD"/>
    <w:rsid w:val="7A862EA8"/>
    <w:rsid w:val="7ABB32C3"/>
    <w:rsid w:val="7B1D5938"/>
    <w:rsid w:val="7CB65148"/>
    <w:rsid w:val="7CD40DF3"/>
    <w:rsid w:val="7D50161A"/>
    <w:rsid w:val="7E9E1673"/>
    <w:rsid w:val="7ED93AB2"/>
    <w:rsid w:val="7F050967"/>
    <w:rsid w:val="7F517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qFormat/>
    <w:uiPriority w:val="0"/>
    <w:pPr>
      <w:spacing w:before="100" w:beforeAutospacing="1" w:after="100" w:afterAutospacing="1"/>
    </w:pPr>
    <w:rPr>
      <w:rFonts w:ascii="宋体" w:hAnsi="宋体" w:eastAsia="宋体" w:cs="Times New Roman"/>
      <w:sz w:val="24"/>
      <w:lang w:val="en-US" w:eastAsia="zh-CN" w:bidi="ar-SA"/>
    </w:rPr>
  </w:style>
  <w:style w:type="character" w:styleId="9">
    <w:name w:val="Strong"/>
    <w:qFormat/>
    <w:uiPriority w:val="0"/>
    <w:rPr>
      <w:b/>
      <w:bCs/>
    </w:rPr>
  </w:style>
  <w:style w:type="character" w:styleId="10">
    <w:name w:val="page number"/>
    <w:basedOn w:val="8"/>
    <w:qFormat/>
    <w:uiPriority w:val="0"/>
  </w:style>
  <w:style w:type="character" w:customStyle="1" w:styleId="11">
    <w:name w:val="页眉 Char"/>
    <w:basedOn w:val="8"/>
    <w:link w:val="5"/>
    <w:qFormat/>
    <w:uiPriority w:val="0"/>
    <w:rPr>
      <w:kern w:val="2"/>
      <w:sz w:val="18"/>
      <w:szCs w:val="18"/>
    </w:rPr>
  </w:style>
  <w:style w:type="character" w:customStyle="1" w:styleId="12">
    <w:name w:val="批注框文本 Char"/>
    <w:basedOn w:val="8"/>
    <w:link w:val="3"/>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paragraph" w:customStyle="1" w:styleId="14">
    <w:name w:val="Normal (Web)"/>
    <w:basedOn w:val="1"/>
    <w:qFormat/>
    <w:uiPriority w:val="0"/>
    <w:pPr>
      <w:spacing w:before="100" w:beforeAutospacing="1" w:after="100" w:afterAutospacing="1"/>
      <w:jc w:val="left"/>
    </w:pPr>
    <w:rPr>
      <w:rFonts w:ascii="宋体" w:hAnsi="宋体" w:cs="宋体"/>
      <w:kern w:val="0"/>
      <w:sz w:val="24"/>
      <w:szCs w:val="24"/>
    </w:rPr>
  </w:style>
  <w:style w:type="paragraph" w:customStyle="1" w:styleId="15">
    <w:name w:val="普通(网站)1"/>
    <w:basedOn w:val="1"/>
    <w:qFormat/>
    <w:uiPriority w:val="0"/>
    <w:pPr>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5299</Words>
  <Characters>5493</Characters>
  <Lines>25</Lines>
  <Paragraphs>7</Paragraphs>
  <TotalTime>10</TotalTime>
  <ScaleCrop>false</ScaleCrop>
  <LinksUpToDate>false</LinksUpToDate>
  <CharactersWithSpaces>5508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2019-01-10T06:14:00Z</dcterms:created>
  <dc:creator>lenovo</dc:creator>
  <cp:lastModifiedBy>LiMiT</cp:lastModifiedBy>
  <cp:lastPrinted>2017-12-11T05:12:00Z</cp:lastPrinted>
  <dcterms:modified xsi:type="dcterms:W3CDTF">2022-09-08T00:53:04Z</dcterms:modified>
  <dc:title>2018年兴隆台区（***单位名称）部门预算公开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22D6BDB6EE074E7BA3CBA8A573F3BCD1</vt:lpwstr>
  </property>
</Properties>
</file>