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044" w:firstLineChars="200"/>
        <w:rPr>
          <w:rFonts w:hint="eastAsia" w:ascii="宋体" w:hAnsi="宋体"/>
          <w:b/>
          <w:sz w:val="52"/>
          <w:szCs w:val="52"/>
        </w:rPr>
      </w:pPr>
      <w:r>
        <w:rPr>
          <w:rFonts w:hint="eastAsia" w:ascii="宋体" w:hAnsi="宋体"/>
          <w:b/>
          <w:sz w:val="52"/>
          <w:szCs w:val="52"/>
          <w:lang w:val="en-US" w:eastAsia="zh-CN"/>
        </w:rPr>
        <w:t>政务服务中心</w:t>
      </w:r>
      <w:r>
        <w:rPr>
          <w:rFonts w:hint="eastAsia" w:ascii="宋体" w:hAnsi="宋体"/>
          <w:b/>
          <w:sz w:val="52"/>
          <w:szCs w:val="52"/>
          <w:lang w:eastAsia="zh-CN"/>
        </w:rPr>
        <w:t>2021</w:t>
      </w:r>
      <w:r>
        <w:rPr>
          <w:rFonts w:hint="eastAsia" w:ascii="宋体" w:hAnsi="宋体"/>
          <w:b/>
          <w:sz w:val="52"/>
          <w:szCs w:val="52"/>
        </w:rPr>
        <w:t>年度部门决算</w:t>
      </w:r>
    </w:p>
    <w:p>
      <w:pPr>
        <w:spacing w:line="540" w:lineRule="exact"/>
        <w:jc w:val="center"/>
        <w:rPr>
          <w:rFonts w:hint="eastAsia"/>
          <w:b/>
          <w:sz w:val="44"/>
          <w:szCs w:val="44"/>
        </w:rPr>
      </w:pPr>
    </w:p>
    <w:p>
      <w:pPr>
        <w:spacing w:line="540" w:lineRule="exact"/>
        <w:ind w:firstLine="3975" w:firstLineChars="900"/>
        <w:jc w:val="both"/>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部门</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办公室工作职责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负责各种会议的安排、通知和记录，并督促检查会议决议的贯彻执行情况。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负责全系统精神文明建设，思想宣传教育、体育宣传报道工作。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负责机关文电、机要、保密、档案、印章管理、信访、政务公开等工作。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负责财务报账工作。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负责干部就餐工作。</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负责区政府交办的其他工作。</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综合服务室工作职责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负责区内各种会议的服务、接待工作。</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负责各个办公楼的电话、网络、通信、维护工作。</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行政科工作职责</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负责各个办公楼的治安、保卫、卫生、防火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防盗</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节能股工作职责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负责区本级公共节能减排工作，负责先进节能技术推广、信息报送、节能宣传和能源消耗数据统计管理工作。</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物业公司工作职责</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负责各办公楼水、电、</w:t>
      </w:r>
      <w:r>
        <w:rPr>
          <w:rFonts w:hint="eastAsia" w:ascii="仿宋_GB2312" w:hAnsi="仿宋_GB2312" w:eastAsia="仿宋_GB2312" w:cs="仿宋_GB2312"/>
          <w:sz w:val="32"/>
          <w:szCs w:val="32"/>
          <w:lang w:val="en-US" w:eastAsia="zh-CN"/>
        </w:rPr>
        <w:t>中央空调设备、</w:t>
      </w:r>
      <w:r>
        <w:rPr>
          <w:rFonts w:hint="eastAsia" w:ascii="仿宋_GB2312" w:hAnsi="仿宋_GB2312" w:eastAsia="仿宋_GB2312" w:cs="仿宋_GB2312"/>
          <w:sz w:val="32"/>
          <w:szCs w:val="32"/>
        </w:rPr>
        <w:t>供暖设备</w:t>
      </w:r>
      <w:r>
        <w:rPr>
          <w:rFonts w:hint="eastAsia" w:ascii="仿宋_GB2312" w:hAnsi="仿宋_GB2312" w:eastAsia="仿宋_GB2312" w:cs="仿宋_GB2312"/>
          <w:sz w:val="32"/>
          <w:szCs w:val="32"/>
          <w:lang w:val="en-US" w:eastAsia="zh-CN"/>
        </w:rPr>
        <w:t>等日常</w:t>
      </w:r>
      <w:r>
        <w:rPr>
          <w:rFonts w:hint="eastAsia" w:ascii="仿宋_GB2312" w:hAnsi="仿宋_GB2312" w:eastAsia="仿宋_GB2312" w:cs="仿宋_GB2312"/>
          <w:sz w:val="32"/>
          <w:szCs w:val="32"/>
        </w:rPr>
        <w:t>维护和维护</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w:t>
      </w:r>
    </w:p>
    <w:p>
      <w:pPr>
        <w:numPr>
          <w:ilvl w:val="0"/>
          <w:numId w:val="1"/>
        </w:numPr>
        <w:spacing w:line="540" w:lineRule="exact"/>
        <w:ind w:left="720" w:leftChars="0" w:hanging="720" w:firstLineChars="0"/>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政府办公室</w:t>
      </w:r>
      <w:r>
        <w:rPr>
          <w:rFonts w:hint="eastAsia" w:ascii="仿宋_GB2312" w:eastAsia="仿宋_GB2312"/>
          <w:b/>
          <w:sz w:val="32"/>
          <w:szCs w:val="32"/>
          <w:lang w:eastAsia="zh-CN"/>
        </w:rPr>
        <w:t>2021</w:t>
      </w:r>
      <w:r>
        <w:rPr>
          <w:rFonts w:hint="eastAsia" w:ascii="仿宋_GB2312" w:eastAsia="仿宋_GB2312"/>
          <w:b/>
          <w:sz w:val="32"/>
          <w:szCs w:val="32"/>
        </w:rPr>
        <w:t>年部门决算编制范围的二级预算单位包括：</w:t>
      </w:r>
    </w:p>
    <w:p>
      <w:pPr>
        <w:spacing w:line="54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政务服务中心是政府办公室二级预算单位</w:t>
      </w:r>
    </w:p>
    <w:p>
      <w:pPr>
        <w:numPr>
          <w:ilvl w:val="0"/>
          <w:numId w:val="0"/>
        </w:numPr>
        <w:spacing w:line="540" w:lineRule="exact"/>
        <w:ind w:leftChars="0"/>
        <w:rPr>
          <w:rFonts w:hint="eastAsia" w:ascii="仿宋_GB2312" w:hAnsi="黑体" w:eastAsia="仿宋_GB2312"/>
          <w:sz w:val="32"/>
          <w:szCs w:val="32"/>
        </w:rPr>
      </w:pP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2021</w:t>
      </w:r>
      <w:r>
        <w:rPr>
          <w:rFonts w:hint="eastAsia" w:ascii="黑体" w:hAnsi="黑体" w:eastAsia="黑体"/>
          <w:sz w:val="32"/>
          <w:szCs w:val="32"/>
        </w:rPr>
        <w:t>年度部门决算情况说明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eastAsia="zh-CN"/>
        </w:rPr>
        <w:t>2021</w:t>
      </w:r>
      <w:r>
        <w:rPr>
          <w:rFonts w:hint="eastAsia" w:ascii="黑体" w:hAnsi="黑体" w:eastAsia="黑体"/>
          <w:sz w:val="32"/>
          <w:szCs w:val="32"/>
        </w:rPr>
        <w:t>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ind w:left="720" w:leftChars="343" w:firstLine="1084" w:firstLineChars="300"/>
        <w:rPr>
          <w:rFonts w:hint="eastAsia"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部门</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一）贯彻执行国家税政方针政策，拟定省财税规划、政策和改革方案并组织实施，分析预测经济形势，参与制定各项宏观经济政策，提出运用财税政策实施宏观调控和综合平衡社会财力的建议，拟定和执行省与市、县及企业的分配政策，完善鼓励公益事业发展的财税政策。</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（二）起草财政、财务、会计管理的地方性法规和省政府规章草案。</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hint="eastAsia" w:ascii="宋体" w:hAnsi="宋体"/>
          <w:b/>
          <w:sz w:val="36"/>
          <w:szCs w:val="36"/>
        </w:rPr>
      </w:pPr>
      <w:r>
        <w:rPr>
          <w:rFonts w:hint="eastAsia" w:ascii="仿宋_GB2312" w:eastAsia="仿宋_GB2312"/>
          <w:b/>
          <w:sz w:val="32"/>
          <w:szCs w:val="32"/>
        </w:rPr>
        <w:t>纳入</w:t>
      </w:r>
      <w:r>
        <w:rPr>
          <w:rFonts w:hint="eastAsia" w:ascii="仿宋_GB2312" w:eastAsia="仿宋_GB2312"/>
          <w:b/>
          <w:sz w:val="32"/>
          <w:szCs w:val="32"/>
          <w:lang w:val="en-US" w:eastAsia="zh-CN"/>
        </w:rPr>
        <w:t>政府办公室</w:t>
      </w:r>
      <w:r>
        <w:rPr>
          <w:rFonts w:hint="eastAsia" w:ascii="仿宋_GB2312" w:eastAsia="仿宋_GB2312"/>
          <w:b/>
          <w:sz w:val="32"/>
          <w:szCs w:val="32"/>
          <w:lang w:eastAsia="zh-CN"/>
        </w:rPr>
        <w:t>2021</w:t>
      </w:r>
      <w:r>
        <w:rPr>
          <w:rFonts w:hint="eastAsia" w:ascii="仿宋_GB2312" w:eastAsia="仿宋_GB2312"/>
          <w:b/>
          <w:sz w:val="32"/>
          <w:szCs w:val="32"/>
        </w:rPr>
        <w:t>年部门决算编制范围的二级预算单</w:t>
      </w:r>
      <w:r>
        <w:rPr>
          <w:rFonts w:ascii="仿宋_GB2312" w:eastAsia="仿宋_GB2312"/>
          <w:sz w:val="32"/>
          <w:szCs w:val="32"/>
        </w:rPr>
        <w:br w:type="page"/>
      </w: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宋体" w:hAnsi="宋体"/>
          <w:b/>
          <w:sz w:val="36"/>
          <w:szCs w:val="36"/>
          <w:lang w:eastAsia="zh-CN"/>
        </w:rPr>
        <w:t>2021</w:t>
      </w:r>
      <w:r>
        <w:rPr>
          <w:rFonts w:hint="eastAsia" w:ascii="宋体" w:hAnsi="宋体"/>
          <w:b/>
          <w:sz w:val="36"/>
          <w:szCs w:val="36"/>
        </w:rPr>
        <w:t>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3443.52</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3443.52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3264.50</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2.18</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0.06</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黄金微法院</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减少431.62</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减少11</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日常公用经费减少</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3445.70</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1312.21</w:t>
      </w:r>
      <w:bookmarkStart w:id="0" w:name="_GoBack"/>
      <w:bookmarkEnd w:id="0"/>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37</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761.26</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550.95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其他业务活动费用支出0万元</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2133.49</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62</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食堂补助、电梯、空调维修、维保费、后勤保障费、饮水机租赁费、安保费</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ascii="仿宋_GB2312" w:hAnsi="宋体" w:eastAsia="仿宋_GB2312"/>
          <w:sz w:val="32"/>
          <w:szCs w:val="32"/>
        </w:rPr>
        <w:t>XX</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2.18</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黄金微法院扣款</w:t>
      </w:r>
      <w:r>
        <w:rPr>
          <w:rFonts w:hint="eastAsia" w:ascii="仿宋_GB2312" w:hAnsi="宋体" w:eastAsia="仿宋_GB2312"/>
          <w:sz w:val="32"/>
          <w:szCs w:val="32"/>
        </w:rPr>
        <w:t>等原因形成的结余。与上年相比，今年结转结余增加（减少）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万元，增长（降低）</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%，主要原因：</w:t>
      </w:r>
      <w:r>
        <w:rPr>
          <w:rFonts w:hint="eastAsia" w:ascii="黑体" w:hAnsi="黑体" w:eastAsia="黑体"/>
          <w:sz w:val="32"/>
          <w:szCs w:val="32"/>
        </w:rPr>
        <w:t>一是</w:t>
      </w:r>
      <w:r>
        <w:rPr>
          <w:rFonts w:ascii="仿宋_GB2312" w:hAnsi="宋体" w:eastAsia="仿宋_GB2312"/>
          <w:sz w:val="32"/>
          <w:szCs w:val="32"/>
        </w:rPr>
        <w:t>XX</w:t>
      </w:r>
      <w:r>
        <w:rPr>
          <w:rFonts w:hint="eastAsia" w:ascii="仿宋_GB2312" w:hAnsi="宋体" w:eastAsia="仿宋_GB2312"/>
          <w:sz w:val="32"/>
          <w:szCs w:val="32"/>
        </w:rPr>
        <w:t>；</w:t>
      </w:r>
      <w:r>
        <w:rPr>
          <w:rFonts w:hint="eastAsia" w:ascii="黑体" w:hAnsi="黑体" w:eastAsia="黑体"/>
          <w:sz w:val="32"/>
          <w:szCs w:val="32"/>
        </w:rPr>
        <w:t>二是</w:t>
      </w:r>
      <w:r>
        <w:rPr>
          <w:rFonts w:ascii="仿宋_GB2312" w:hAnsi="宋体" w:eastAsia="仿宋_GB2312"/>
          <w:sz w:val="32"/>
          <w:szCs w:val="32"/>
        </w:rPr>
        <w:t>XX……</w:t>
      </w:r>
      <w:r>
        <w:rPr>
          <w:rFonts w:hint="eastAsia" w:ascii="仿宋_GB2312" w:hAnsi="宋体" w:eastAsia="仿宋_GB2312"/>
          <w:sz w:val="32"/>
          <w:szCs w:val="32"/>
        </w:rPr>
        <w:t>。</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3443.52</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1312.21</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2133.49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val="en-US" w:eastAsia="zh-CN"/>
        </w:rPr>
        <w:t>减少431.62</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减少11</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日常公用经费减少</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2021</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127</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49</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3445.70</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3264.50</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95</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3264.50</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类）财政事务（款）</w:t>
      </w:r>
      <w:r>
        <w:rPr>
          <w:rFonts w:hint="eastAsia" w:ascii="仿宋_GB2312" w:hAnsi="宋体" w:eastAsia="仿宋_GB2312"/>
          <w:sz w:val="32"/>
          <w:szCs w:val="32"/>
        </w:rPr>
        <w:t>行政运行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项）3264.50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社会保障、卫生健康支出、住房保障</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ascii="仿宋_GB2312" w:hAnsi="宋体" w:eastAsia="仿宋_GB2312"/>
          <w:sz w:val="32"/>
          <w:szCs w:val="32"/>
        </w:rPr>
        <w:t>XX</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1.……</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年度一般公共预算财政拨款安排的“三公”经费支出</w:t>
      </w:r>
      <w:r>
        <w:rPr>
          <w:rFonts w:ascii="仿宋_GB2312" w:hAnsi="宋体" w:eastAsia="仿宋_GB2312"/>
          <w:sz w:val="32"/>
          <w:szCs w:val="32"/>
        </w:rPr>
        <w:t>XX</w:t>
      </w:r>
      <w:r>
        <w:rPr>
          <w:rFonts w:hint="eastAsia" w:ascii="仿宋_GB2312" w:hAnsi="宋体" w:eastAsia="仿宋_GB2312"/>
          <w:sz w:val="32"/>
          <w:szCs w:val="32"/>
        </w:rPr>
        <w:t>万元，完成年初预算的</w:t>
      </w:r>
      <w:r>
        <w:rPr>
          <w:rFonts w:ascii="仿宋_GB2312" w:hAnsi="宋体" w:eastAsia="仿宋_GB2312"/>
          <w:sz w:val="32"/>
          <w:szCs w:val="32"/>
        </w:rPr>
        <w:t>XX</w:t>
      </w:r>
      <w:r>
        <w:rPr>
          <w:rFonts w:hint="eastAsia" w:ascii="仿宋_GB2312" w:hAnsi="宋体" w:eastAsia="仿宋_GB2312"/>
          <w:sz w:val="32"/>
          <w:szCs w:val="32"/>
        </w:rPr>
        <w:t>%，决算数小于（大于）年初预算数的主要原因是</w:t>
      </w:r>
      <w:r>
        <w:rPr>
          <w:rFonts w:ascii="仿宋_GB2312" w:hAnsi="宋体" w:eastAsia="仿宋_GB2312"/>
          <w:sz w:val="32"/>
          <w:szCs w:val="32"/>
        </w:rPr>
        <w:t>XX</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ascii="仿宋_GB2312" w:hAnsi="宋体" w:eastAsia="仿宋_GB2312"/>
          <w:sz w:val="32"/>
          <w:szCs w:val="32"/>
        </w:rPr>
        <w:t>XX</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64.55</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%，决算数小于（大于）年初预算数的主要原因是</w:t>
      </w:r>
      <w:r>
        <w:rPr>
          <w:rFonts w:ascii="仿宋_GB2312" w:hAnsi="宋体" w:eastAsia="仿宋_GB2312"/>
          <w:sz w:val="32"/>
          <w:szCs w:val="32"/>
        </w:rPr>
        <w:t>XX</w:t>
      </w:r>
      <w:r>
        <w:rPr>
          <w:rFonts w:hint="eastAsia" w:ascii="仿宋_GB2312" w:hAnsi="宋体" w:eastAsia="仿宋_GB2312"/>
          <w:sz w:val="32"/>
          <w:szCs w:val="32"/>
        </w:rPr>
        <w:t>。</w:t>
      </w:r>
      <w:r>
        <w:rPr>
          <w:rFonts w:hint="eastAsia" w:ascii="仿宋_GB2312" w:hAnsi="宋体" w:eastAsia="仿宋_GB2312"/>
          <w:sz w:val="32"/>
          <w:szCs w:val="32"/>
          <w:lang w:eastAsia="zh-CN"/>
        </w:rPr>
        <w:t>2021</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val="en-US" w:eastAsia="zh-CN"/>
        </w:rPr>
        <w:t>,</w:t>
      </w:r>
      <w:r>
        <w:rPr>
          <w:rFonts w:hint="eastAsia" w:ascii="仿宋_GB2312" w:hAnsi="宋体" w:eastAsia="仿宋_GB2312"/>
          <w:sz w:val="32"/>
          <w:szCs w:val="32"/>
        </w:rPr>
        <w:t>主要</w:t>
      </w:r>
      <w:r>
        <w:rPr>
          <w:rFonts w:hint="eastAsia" w:ascii="仿宋_GB2312" w:hAnsi="宋体" w:eastAsia="仿宋_GB2312"/>
          <w:sz w:val="32"/>
          <w:szCs w:val="32"/>
          <w:lang w:val="en-US" w:eastAsia="zh-CN"/>
        </w:rPr>
        <w:t>为参加0团</w:t>
      </w:r>
      <w:r>
        <w:rPr>
          <w:rFonts w:hint="eastAsia" w:ascii="仿宋_GB2312" w:hAnsi="宋体" w:eastAsia="仿宋_GB2312"/>
          <w:sz w:val="32"/>
          <w:szCs w:val="32"/>
        </w:rPr>
        <w:t>等。</w:t>
      </w:r>
      <w:r>
        <w:rPr>
          <w:rFonts w:hint="eastAsia" w:ascii="仿宋_GB2312" w:hAnsi="宋体" w:eastAsia="仿宋_GB2312"/>
          <w:sz w:val="32"/>
          <w:szCs w:val="32"/>
          <w:lang w:eastAsia="zh-CN"/>
        </w:rPr>
        <w:t>2021</w:t>
      </w:r>
      <w:r>
        <w:rPr>
          <w:rFonts w:hint="eastAsia" w:ascii="仿宋_GB2312" w:hAnsi="宋体" w:eastAsia="仿宋_GB2312"/>
          <w:sz w:val="32"/>
          <w:szCs w:val="32"/>
        </w:rPr>
        <w:t>年因公出国（境）费比上年减少（增加）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ascii="仿宋_GB2312" w:hAnsi="宋体" w:eastAsia="仿宋_GB2312"/>
          <w:sz w:val="32"/>
          <w:szCs w:val="32"/>
        </w:rPr>
        <w:t>XX</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 xml:space="preserve"> 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的XX%。</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%，决算数小于（大于）年初预算数的主要原因是</w:t>
      </w:r>
      <w:r>
        <w:rPr>
          <w:rFonts w:ascii="仿宋_GB2312" w:hAnsi="宋体" w:eastAsia="仿宋_GB2312"/>
          <w:sz w:val="32"/>
          <w:szCs w:val="32"/>
        </w:rPr>
        <w:t>XX</w:t>
      </w:r>
      <w:r>
        <w:rPr>
          <w:rFonts w:hint="eastAsia" w:ascii="仿宋_GB2312" w:hAnsi="宋体" w:eastAsia="仿宋_GB2312"/>
          <w:sz w:val="32"/>
          <w:szCs w:val="32"/>
        </w:rPr>
        <w:t>。</w:t>
      </w:r>
      <w:r>
        <w:rPr>
          <w:rFonts w:hint="eastAsia" w:ascii="仿宋_GB2312" w:hAnsi="宋体" w:eastAsia="仿宋_GB2312"/>
          <w:sz w:val="32"/>
          <w:szCs w:val="32"/>
          <w:lang w:eastAsia="zh-CN"/>
        </w:rPr>
        <w:t>2021</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2021</w:t>
      </w:r>
      <w:r>
        <w:rPr>
          <w:rFonts w:hint="eastAsia" w:ascii="仿宋_GB2312" w:hAnsi="宋体" w:eastAsia="仿宋_GB2312"/>
          <w:sz w:val="32"/>
          <w:szCs w:val="32"/>
        </w:rPr>
        <w:t>年公务接待费比上年减少（增加）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64.55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的100 %。</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 xml:space="preserve">100 </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val="en-US" w:eastAsia="zh-CN"/>
        </w:rPr>
        <w:t>购买车辆</w:t>
      </w:r>
      <w:r>
        <w:rPr>
          <w:rFonts w:hint="eastAsia" w:ascii="仿宋_GB2312" w:hAnsi="宋体" w:eastAsia="仿宋_GB2312"/>
          <w:sz w:val="32"/>
          <w:szCs w:val="32"/>
        </w:rPr>
        <w:t>。比上年增</w:t>
      </w:r>
      <w:r>
        <w:rPr>
          <w:rFonts w:hint="eastAsia" w:ascii="仿宋_GB2312" w:hAnsi="宋体" w:eastAsia="仿宋_GB2312"/>
          <w:sz w:val="32"/>
          <w:szCs w:val="32"/>
          <w:lang w:val="en-US" w:eastAsia="zh-CN"/>
        </w:rPr>
        <w:t>加 22.1</w:t>
      </w:r>
      <w:r>
        <w:rPr>
          <w:rFonts w:hint="eastAsia" w:ascii="仿宋_GB2312" w:hAnsi="宋体" w:eastAsia="仿宋_GB2312"/>
          <w:sz w:val="32"/>
          <w:szCs w:val="32"/>
        </w:rPr>
        <w:t>万元，增长%，主要是</w:t>
      </w:r>
      <w:r>
        <w:rPr>
          <w:rFonts w:hint="eastAsia" w:ascii="仿宋_GB2312" w:hAnsi="宋体" w:eastAsia="仿宋_GB2312"/>
          <w:sz w:val="32"/>
          <w:szCs w:val="32"/>
          <w:lang w:val="en-US" w:eastAsia="zh-CN"/>
        </w:rPr>
        <w:t>购买公务用车</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22.1</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购买公务用车</w:t>
      </w:r>
      <w:r>
        <w:rPr>
          <w:rFonts w:hint="eastAsia" w:ascii="仿宋_GB2312" w:hAnsi="宋体" w:eastAsia="仿宋_GB2312"/>
          <w:sz w:val="32"/>
          <w:szCs w:val="32"/>
        </w:rPr>
        <w:t>,当年购置公务用车</w:t>
      </w:r>
      <w:r>
        <w:rPr>
          <w:rFonts w:hint="eastAsia" w:ascii="仿宋_GB2312" w:hAnsi="宋体" w:eastAsia="仿宋_GB2312"/>
          <w:sz w:val="32"/>
          <w:szCs w:val="32"/>
          <w:lang w:val="en-US" w:eastAsia="zh-CN"/>
        </w:rPr>
        <w:t>1</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64.55</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政府公务用车</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11</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3264.50</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76.22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55.10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2021</w:t>
      </w:r>
      <w:r>
        <w:rPr>
          <w:rFonts w:hint="eastAsia" w:ascii="仿宋_GB2312" w:hAnsi="黑体" w:eastAsia="仿宋_GB2312"/>
          <w:sz w:val="32"/>
          <w:szCs w:val="32"/>
        </w:rPr>
        <w:t>年机关运行经费支出</w:t>
      </w:r>
      <w:r>
        <w:rPr>
          <w:rFonts w:hint="eastAsia" w:ascii="仿宋_GB2312" w:hAnsi="黑体" w:eastAsia="仿宋_GB2312"/>
          <w:sz w:val="32"/>
          <w:szCs w:val="32"/>
          <w:lang w:val="en-US" w:eastAsia="zh-CN"/>
        </w:rPr>
        <w:t>2640.50</w:t>
      </w:r>
      <w:r>
        <w:rPr>
          <w:rFonts w:hint="eastAsia" w:ascii="仿宋_GB2312" w:hAnsi="黑体" w:eastAsia="仿宋_GB2312"/>
          <w:sz w:val="32"/>
          <w:szCs w:val="32"/>
        </w:rPr>
        <w:t>万元，比上年</w:t>
      </w:r>
      <w:r>
        <w:rPr>
          <w:rFonts w:hint="eastAsia" w:ascii="仿宋_GB2312" w:hAnsi="黑体" w:eastAsia="仿宋_GB2312"/>
          <w:sz w:val="32"/>
          <w:szCs w:val="32"/>
          <w:lang w:val="en-US" w:eastAsia="zh-CN"/>
        </w:rPr>
        <w:t>减少695.35</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减少21</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日常公用经费减少</w:t>
      </w:r>
      <w:r>
        <w:rPr>
          <w:rFonts w:hint="eastAsia" w:ascii="仿宋_GB2312" w:hAnsi="黑体"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2021</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186.00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186.00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2021</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11</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辆，机要通讯用车X</w:t>
      </w:r>
      <w:r>
        <w:rPr>
          <w:rFonts w:hint="eastAsia" w:ascii="仿宋_GB2312" w:hAnsi="黑体" w:eastAsia="仿宋_GB2312"/>
          <w:sz w:val="32"/>
          <w:szCs w:val="32"/>
          <w:lang w:val="en-US" w:eastAsia="zh-CN"/>
        </w:rPr>
        <w:t>0</w:t>
      </w:r>
      <w:r>
        <w:rPr>
          <w:rFonts w:hint="eastAsia" w:ascii="仿宋_GB2312" w:hAnsi="黑体" w:eastAsia="仿宋_GB2312"/>
          <w:sz w:val="32"/>
          <w:szCs w:val="32"/>
        </w:rPr>
        <w:t>，应急</w:t>
      </w:r>
      <w:r>
        <w:rPr>
          <w:rFonts w:ascii="仿宋_GB2312" w:hAnsi="黑体" w:eastAsia="仿宋_GB2312"/>
          <w:sz w:val="32"/>
          <w:szCs w:val="32"/>
        </w:rPr>
        <w:t>保障用车</w:t>
      </w:r>
      <w:r>
        <w:rPr>
          <w:rFonts w:hint="eastAsia" w:ascii="仿宋_GB2312" w:hAnsi="黑体" w:eastAsia="仿宋_GB2312"/>
          <w:sz w:val="32"/>
          <w:szCs w:val="32"/>
          <w:lang w:val="en-US" w:eastAsia="zh-CN"/>
        </w:rPr>
        <w:t>11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干部用车XX</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辆，其他用车主要是</w:t>
      </w:r>
      <w:r>
        <w:rPr>
          <w:rFonts w:ascii="仿宋_GB2312" w:hAnsi="黑体" w:eastAsia="仿宋_GB2312"/>
          <w:sz w:val="32"/>
          <w:szCs w:val="32"/>
        </w:rPr>
        <w:t>……</w:t>
      </w:r>
      <w:r>
        <w:rPr>
          <w:rFonts w:hint="eastAsia" w:ascii="仿宋_GB2312" w:hAnsi="黑体" w:eastAsia="仿宋_GB2312"/>
          <w:sz w:val="32"/>
          <w:szCs w:val="32"/>
        </w:rPr>
        <w:t>；单位价值50万元以上通用设备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keepNext w:val="0"/>
        <w:keepLines w:val="0"/>
        <w:widowControl/>
        <w:suppressLineNumbers w:val="0"/>
        <w:spacing w:before="0" w:beforeAutospacing="0" w:after="0" w:afterAutospacing="0" w:line="540" w:lineRule="exact"/>
        <w:ind w:left="0" w:right="0" w:firstLine="643" w:firstLineChars="200"/>
        <w:jc w:val="left"/>
        <w:rPr>
          <w:color w:val="auto"/>
          <w:highlight w:val="none"/>
          <w:shd w:val="clear" w:color="auto" w:fill="auto"/>
        </w:rPr>
      </w:pPr>
      <w:r>
        <w:rPr>
          <w:rFonts w:ascii="楷体_GB2312" w:hAnsi="宋体" w:eastAsia="楷体_GB2312" w:cs="楷体_GB2312"/>
          <w:b/>
          <w:color w:val="auto"/>
          <w:kern w:val="2"/>
          <w:sz w:val="32"/>
          <w:szCs w:val="32"/>
          <w:highlight w:val="none"/>
          <w:shd w:val="clear" w:color="auto" w:fill="auto"/>
          <w:lang w:val="en-US" w:eastAsia="zh-CN" w:bidi="ar"/>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年度预算项目支出全面开展绩效自评，共涉及预算支出项目8个，涉及资金916.80万元，自评覆盖率（开展绩效自评的项目数</w:t>
      </w:r>
      <w:r>
        <w:rPr>
          <w:rFonts w:hint="eastAsia" w:ascii="仿宋_GB2312" w:hAnsi="宋体" w:eastAsia="仿宋_GB2312" w:cs="宋体"/>
          <w:color w:val="auto"/>
          <w:kern w:val="2"/>
          <w:sz w:val="32"/>
          <w:szCs w:val="32"/>
          <w:highlight w:val="none"/>
          <w:shd w:val="clear" w:color="auto" w:fill="auto"/>
          <w:lang w:val="en-US" w:eastAsia="zh-CN" w:bidi="ar"/>
        </w:rPr>
        <w:t>/年初批复绩效目标的项目数）达到98%，自评平均分（开展绩效自评的项目分数总和/开展绩效自评的项目数）98</w:t>
      </w:r>
      <w:r>
        <w:rPr>
          <w:rFonts w:hint="eastAsia" w:ascii="仿宋_GB2312" w:hAnsi="宋体" w:eastAsia="仿宋_GB2312" w:cs="仿宋_GB2312"/>
          <w:color w:val="auto"/>
          <w:kern w:val="2"/>
          <w:sz w:val="32"/>
          <w:szCs w:val="32"/>
          <w:highlight w:val="none"/>
          <w:shd w:val="clear" w:color="auto" w:fill="auto"/>
          <w:lang w:val="en-US" w:eastAsia="zh-CN" w:bidi="ar"/>
        </w:rPr>
        <w:t>分。</w:t>
      </w:r>
      <w:r>
        <w:rPr>
          <w:rFonts w:hint="eastAsia" w:hAnsi="宋体" w:eastAsia="仿宋_GB2312" w:cs="仿宋_GB2312"/>
          <w:color w:val="auto"/>
          <w:kern w:val="2"/>
          <w:sz w:val="32"/>
          <w:szCs w:val="32"/>
          <w:highlight w:val="none"/>
          <w:shd w:val="clear" w:color="auto" w:fill="auto"/>
          <w:lang w:val="en-US" w:eastAsia="zh-CN" w:bidi="ar"/>
        </w:rPr>
        <w:t>组织对1个单位开展整体绩效自评，涉及资金916.80万元，自评平均分98分。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（2）部门评价情况。</w:t>
      </w:r>
      <w:r>
        <w:rPr>
          <w:rFonts w:hint="eastAsia" w:hAnsi="宋体" w:eastAsia="仿宋_GB2312" w:cs="仿宋_GB2312"/>
          <w:color w:val="auto"/>
          <w:kern w:val="2"/>
          <w:sz w:val="32"/>
          <w:szCs w:val="32"/>
          <w:highlight w:val="none"/>
          <w:shd w:val="clear" w:color="auto" w:fill="auto"/>
          <w:lang w:val="en-US" w:eastAsia="zh-CN" w:bidi="ar"/>
        </w:rPr>
        <w:t>我部门</w:t>
      </w:r>
      <w:r>
        <w:rPr>
          <w:rFonts w:hint="eastAsia" w:ascii="仿宋" w:hAnsi="仿宋" w:eastAsia="仿宋"/>
          <w:sz w:val="32"/>
          <w:highlight w:val="none"/>
        </w:rPr>
        <w:t>组织对“</w:t>
      </w:r>
      <w:r>
        <w:rPr>
          <w:rFonts w:hint="eastAsia" w:ascii="仿宋" w:hAnsi="仿宋" w:eastAsia="仿宋"/>
          <w:sz w:val="32"/>
          <w:highlight w:val="none"/>
          <w:lang w:val="en-US" w:eastAsia="zh-CN"/>
        </w:rPr>
        <w:t>安保费、食堂补助、后勤保障</w:t>
      </w:r>
      <w:r>
        <w:rPr>
          <w:rFonts w:hint="eastAsia" w:ascii="仿宋" w:hAnsi="仿宋" w:eastAsia="仿宋"/>
          <w:sz w:val="32"/>
          <w:highlight w:val="none"/>
        </w:rPr>
        <w:t>等</w:t>
      </w:r>
      <w:r>
        <w:rPr>
          <w:rFonts w:hint="eastAsia" w:ascii="仿宋" w:hAnsi="仿宋" w:eastAsia="仿宋"/>
          <w:sz w:val="32"/>
          <w:highlight w:val="none"/>
          <w:lang w:val="en-US" w:eastAsia="zh-CN"/>
        </w:rPr>
        <w:t>8</w:t>
      </w:r>
      <w:r>
        <w:rPr>
          <w:rFonts w:hint="eastAsia" w:ascii="仿宋" w:hAnsi="仿宋" w:eastAsia="仿宋"/>
          <w:sz w:val="32"/>
          <w:highlight w:val="none"/>
        </w:rPr>
        <w:t>个项目开展了部门评价</w:t>
      </w:r>
      <w:r>
        <w:rPr>
          <w:rFonts w:hint="eastAsia" w:ascii="仿宋" w:hAnsi="仿宋" w:eastAsia="仿宋"/>
          <w:sz w:val="32"/>
          <w:highlight w:val="none"/>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涉及资金916.80万元。</w:t>
      </w:r>
      <w:r>
        <w:rPr>
          <w:rFonts w:hint="eastAsia" w:ascii="仿宋" w:hAnsi="仿宋" w:eastAsia="仿宋"/>
          <w:sz w:val="32"/>
          <w:highlight w:val="none"/>
          <w:lang w:eastAsia="zh-CN"/>
        </w:rPr>
        <w:t>其中，</w:t>
      </w:r>
      <w:r>
        <w:rPr>
          <w:rFonts w:hint="eastAsia" w:hAnsi="宋体" w:eastAsia="仿宋_GB2312" w:cs="仿宋_GB2312"/>
          <w:color w:val="auto"/>
          <w:kern w:val="2"/>
          <w:sz w:val="32"/>
          <w:szCs w:val="32"/>
          <w:highlight w:val="none"/>
          <w:shd w:val="clear" w:color="auto" w:fill="auto"/>
          <w:lang w:val="en-US" w:eastAsia="zh-CN" w:bidi="ar"/>
        </w:rPr>
        <w:t>通过部门绩效评价发现主要存在以下问题：装修尾款项目没执行到位。</w:t>
      </w:r>
      <w:r>
        <w:rPr>
          <w:rFonts w:hint="eastAsia" w:ascii="仿宋_GB2312" w:hAnsi="宋体" w:eastAsia="仿宋_GB2312" w:cs="仿宋_GB2312"/>
          <w:color w:val="auto"/>
          <w:kern w:val="2"/>
          <w:sz w:val="32"/>
          <w:szCs w:val="32"/>
          <w:highlight w:val="none"/>
          <w:shd w:val="clear" w:color="auto" w:fill="auto"/>
          <w:lang w:val="en-US" w:eastAsia="zh-CN" w:bidi="ar"/>
        </w:rPr>
        <w:t>下一步将采取以下措施加以改进：确保项目款项执行率100%。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安保服务费、后勤保障、食堂补助、电梯、空调维修、租用水机、办公楼装修、意外保险等款”项目自评综述：根据年初设定的绩效目标，项目自评得分9分。项目全年预算数为916.80万元，执行数为898.80万元，完成预算的98%。项目绩效目标完成情况：全年项目预算数916.80万元，执行数898.80万元，发现的主要问题及原因：装修尾款没执行到位。下一步改进措施：确保项目款项执行率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2）“安保服务费、后勤保障、食堂补助、电梯、空调维修、租用水机、办公楼装修、意外保险等款”项目自评综述：我单位8大项目工作基本完成年度绩效目标，所有项目的日常管理工作均按照我单位相关管理制度执行，建立了工作有计划、实施有方案、日常有监督的管理机制。工作取得了较好的成效，效能得到了提高，获得了社会公众的好评100%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br w:type="page"/>
      </w:r>
      <w:r>
        <w:rPr>
          <w:rFonts w:hint="eastAsia" w:ascii="仿宋_GB2312" w:hAnsi="宋体" w:eastAsia="仿宋_GB2312" w:cs="仿宋_GB2312"/>
          <w:color w:val="auto"/>
          <w:kern w:val="2"/>
          <w:sz w:val="32"/>
          <w:szCs w:val="32"/>
          <w:highlight w:val="none"/>
          <w:shd w:val="clear" w:color="auto" w:fill="auto"/>
          <w:lang w:val="en-US" w:eastAsia="zh-CN" w:bidi="ar"/>
        </w:rPr>
        <w:drawing>
          <wp:anchor distT="0" distB="0" distL="114300" distR="114300" simplePos="0" relativeHeight="251659264" behindDoc="0" locked="0" layoutInCell="1" allowOverlap="1">
            <wp:simplePos x="0" y="0"/>
            <wp:positionH relativeFrom="column">
              <wp:align>center</wp:align>
            </wp:positionH>
            <wp:positionV relativeFrom="paragraph">
              <wp:posOffset>80010</wp:posOffset>
            </wp:positionV>
            <wp:extent cx="6411595" cy="6794500"/>
            <wp:effectExtent l="0" t="0" r="8255" b="6350"/>
            <wp:wrapNone/>
            <wp:docPr id="1" name="图片 3" descr="整体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整体自评表模版_00"/>
                    <pic:cNvPicPr>
                      <a:picLocks noChangeAspect="1"/>
                    </pic:cNvPicPr>
                  </pic:nvPicPr>
                  <pic:blipFill>
                    <a:blip r:embed="rId6"/>
                    <a:srcRect t="8415" b="16714"/>
                    <a:stretch>
                      <a:fillRect/>
                    </a:stretch>
                  </pic:blipFill>
                  <pic:spPr>
                    <a:xfrm>
                      <a:off x="0" y="0"/>
                      <a:ext cx="6411595" cy="6794500"/>
                    </a:xfrm>
                    <a:prstGeom prst="rect">
                      <a:avLst/>
                    </a:prstGeom>
                    <a:noFill/>
                    <a:ln>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ascii="宋体" w:hAnsi="宋体"/>
          <w:b/>
          <w:sz w:val="36"/>
          <w:szCs w:val="36"/>
        </w:rPr>
      </w:pPr>
      <w:r>
        <w:rPr>
          <w:rFonts w:hint="eastAsia" w:ascii="仿宋_GB2312" w:hAnsi="宋体" w:eastAsia="仿宋_GB2312" w:cs="仿宋_GB2312"/>
          <w:b/>
          <w:bCs/>
          <w:color w:val="auto"/>
          <w:kern w:val="2"/>
          <w:sz w:val="32"/>
          <w:szCs w:val="32"/>
          <w:highlight w:val="none"/>
          <w:shd w:val="clear" w:color="auto" w:fill="auto"/>
          <w:lang w:val="en-US" w:eastAsia="zh-CN" w:bidi="ar"/>
        </w:rPr>
        <w:br w:type="page"/>
      </w:r>
      <w:r>
        <w:rPr>
          <w:rFonts w:ascii="宋体" w:hAnsi="宋体"/>
          <w:b/>
          <w:sz w:val="36"/>
          <w:szCs w:val="36"/>
        </w:rPr>
        <w:drawing>
          <wp:anchor distT="0" distB="0" distL="114300" distR="114300" simplePos="0" relativeHeight="251660288" behindDoc="0" locked="0" layoutInCell="1" allowOverlap="1">
            <wp:simplePos x="0" y="0"/>
            <wp:positionH relativeFrom="page">
              <wp:posOffset>852170</wp:posOffset>
            </wp:positionH>
            <wp:positionV relativeFrom="page">
              <wp:posOffset>942975</wp:posOffset>
            </wp:positionV>
            <wp:extent cx="5757545" cy="8148955"/>
            <wp:effectExtent l="0" t="0" r="14605" b="4445"/>
            <wp:wrapNone/>
            <wp:docPr id="2" name="图片 3" descr="项目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项目自评表模版_00"/>
                    <pic:cNvPicPr>
                      <a:picLocks noChangeAspect="1"/>
                    </pic:cNvPicPr>
                  </pic:nvPicPr>
                  <pic:blipFill>
                    <a:blip r:embed="rId7"/>
                    <a:stretch>
                      <a:fillRect/>
                    </a:stretch>
                  </pic:blipFill>
                  <pic:spPr>
                    <a:xfrm>
                      <a:off x="0" y="0"/>
                      <a:ext cx="5757545" cy="8148955"/>
                    </a:xfrm>
                    <a:prstGeom prst="rect">
                      <a:avLst/>
                    </a:prstGeom>
                    <a:noFill/>
                    <a:ln>
                      <a:noFill/>
                    </a:ln>
                  </pic:spPr>
                </pic:pic>
              </a:graphicData>
            </a:graphic>
          </wp:anchor>
        </w:drawing>
      </w:r>
      <w:r>
        <w:rPr>
          <w:rFonts w:hint="eastAsia" w:ascii="仿宋_GB2312" w:hAnsi="宋体" w:eastAsia="仿宋_GB2312" w:cs="仿宋_GB2312"/>
          <w:color w:val="auto"/>
          <w:kern w:val="2"/>
          <w:sz w:val="32"/>
          <w:szCs w:val="32"/>
          <w:highlight w:val="none"/>
          <w:shd w:val="clear" w:color="auto" w:fill="auto"/>
          <w:lang w:val="en-US" w:eastAsia="zh-CN" w:bidi="ar"/>
        </w:rP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0" w:firstLineChars="200"/>
        <w:rPr>
          <w:rFonts w:hint="eastAsia" w:ascii="仿宋_GB2312" w:eastAsia="仿宋_GB2312"/>
          <w:b/>
          <w:sz w:val="32"/>
          <w:szCs w:val="32"/>
        </w:rPr>
      </w:pPr>
      <w:r>
        <w:rPr>
          <w:rFonts w:hint="eastAsia" w:ascii="仿宋_GB2312" w:eastAsia="仿宋_GB2312"/>
          <w:i/>
          <w:sz w:val="32"/>
          <w:szCs w:val="32"/>
          <w:u w:val="single"/>
        </w:rPr>
        <w:t>（部门决算涉及的支出功能分类全部项级科目，逐一解释）……</w:t>
      </w:r>
    </w:p>
    <w:p>
      <w:pPr>
        <w:spacing w:line="540" w:lineRule="exact"/>
        <w:rPr>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p>
    <w:p>
      <w:pPr>
        <w:spacing w:line="540" w:lineRule="exact"/>
        <w:ind w:firstLine="640" w:firstLineChars="200"/>
        <w:jc w:val="left"/>
        <w:rPr>
          <w:rFonts w:hint="eastAsia" w:ascii="仿宋_GB2312" w:eastAsia="仿宋_GB2312"/>
          <w:i/>
          <w:sz w:val="32"/>
          <w:szCs w:val="32"/>
          <w:u w:val="single"/>
        </w:rPr>
      </w:pP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仿宋_GB2312" w:eastAsia="仿宋_GB2312"/>
          <w:sz w:val="52"/>
          <w:szCs w:val="52"/>
        </w:rPr>
      </w:pPr>
      <w:r>
        <w:rPr>
          <w:rFonts w:hint="eastAsia" w:ascii="宋体" w:hAnsi="宋体"/>
          <w:b/>
          <w:sz w:val="52"/>
          <w:szCs w:val="52"/>
        </w:rPr>
        <w:t xml:space="preserve">第四部分 </w:t>
      </w:r>
      <w:r>
        <w:rPr>
          <w:rFonts w:hint="eastAsia" w:ascii="宋体" w:hAnsi="宋体"/>
          <w:b/>
          <w:sz w:val="52"/>
          <w:szCs w:val="52"/>
          <w:lang w:eastAsia="zh-CN"/>
        </w:rPr>
        <w:t>2021</w:t>
      </w:r>
      <w:r>
        <w:rPr>
          <w:rFonts w:hint="eastAsia" w:ascii="宋体" w:hAnsi="宋体"/>
          <w:b/>
          <w:sz w:val="52"/>
          <w:szCs w:val="52"/>
        </w:rPr>
        <w:t>年度部门决算表</w:t>
      </w:r>
    </w:p>
    <w:p>
      <w:pPr>
        <w:spacing w:line="540" w:lineRule="exact"/>
        <w:jc w:val="left"/>
        <w:rPr>
          <w:sz w:val="32"/>
          <w:szCs w:val="32"/>
        </w:rPr>
      </w:pPr>
    </w:p>
    <w:p>
      <w:pPr>
        <w:spacing w:line="540" w:lineRule="exact"/>
        <w:rPr>
          <w:sz w:val="32"/>
          <w:szCs w:val="32"/>
        </w:rPr>
      </w:pPr>
    </w:p>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OWM3NTNmYmVkZTAxYzY1ZDI1ZDE3NWYzODQ1YTUifQ=="/>
  </w:docVars>
  <w:rsids>
    <w:rsidRoot w:val="00BE62AD"/>
    <w:rsid w:val="00032E9E"/>
    <w:rsid w:val="00060115"/>
    <w:rsid w:val="000658A3"/>
    <w:rsid w:val="00072D02"/>
    <w:rsid w:val="000B3DEA"/>
    <w:rsid w:val="000B6122"/>
    <w:rsid w:val="000D22BA"/>
    <w:rsid w:val="000D240A"/>
    <w:rsid w:val="000F765E"/>
    <w:rsid w:val="001032C2"/>
    <w:rsid w:val="00163B6F"/>
    <w:rsid w:val="00180B70"/>
    <w:rsid w:val="00197AF9"/>
    <w:rsid w:val="001C1C90"/>
    <w:rsid w:val="001C6690"/>
    <w:rsid w:val="001D2A6F"/>
    <w:rsid w:val="001E08A3"/>
    <w:rsid w:val="001F06E5"/>
    <w:rsid w:val="001F4827"/>
    <w:rsid w:val="00207D64"/>
    <w:rsid w:val="0022212D"/>
    <w:rsid w:val="00290AFF"/>
    <w:rsid w:val="003203A0"/>
    <w:rsid w:val="003203C6"/>
    <w:rsid w:val="00321141"/>
    <w:rsid w:val="00323084"/>
    <w:rsid w:val="00332D2F"/>
    <w:rsid w:val="00336596"/>
    <w:rsid w:val="0035450D"/>
    <w:rsid w:val="00367CAA"/>
    <w:rsid w:val="00387D22"/>
    <w:rsid w:val="00393A92"/>
    <w:rsid w:val="003B6717"/>
    <w:rsid w:val="003F6668"/>
    <w:rsid w:val="003F6BEE"/>
    <w:rsid w:val="004041E3"/>
    <w:rsid w:val="00411F62"/>
    <w:rsid w:val="00456D37"/>
    <w:rsid w:val="004732D7"/>
    <w:rsid w:val="004A23C9"/>
    <w:rsid w:val="004B0299"/>
    <w:rsid w:val="004D61EA"/>
    <w:rsid w:val="004F2A87"/>
    <w:rsid w:val="0050710B"/>
    <w:rsid w:val="005116A6"/>
    <w:rsid w:val="00524803"/>
    <w:rsid w:val="00534C2B"/>
    <w:rsid w:val="00564067"/>
    <w:rsid w:val="005948B6"/>
    <w:rsid w:val="005D57A0"/>
    <w:rsid w:val="00604DF5"/>
    <w:rsid w:val="00631CB0"/>
    <w:rsid w:val="00662644"/>
    <w:rsid w:val="006644B5"/>
    <w:rsid w:val="00671A28"/>
    <w:rsid w:val="00691121"/>
    <w:rsid w:val="006A684B"/>
    <w:rsid w:val="006E587F"/>
    <w:rsid w:val="007121E9"/>
    <w:rsid w:val="00726A72"/>
    <w:rsid w:val="00750153"/>
    <w:rsid w:val="007537EA"/>
    <w:rsid w:val="00780DF3"/>
    <w:rsid w:val="007B04F4"/>
    <w:rsid w:val="007B6B61"/>
    <w:rsid w:val="007C52D7"/>
    <w:rsid w:val="007D2BBC"/>
    <w:rsid w:val="007D6F23"/>
    <w:rsid w:val="007F2DFA"/>
    <w:rsid w:val="008137CD"/>
    <w:rsid w:val="00822085"/>
    <w:rsid w:val="00822199"/>
    <w:rsid w:val="00881DD9"/>
    <w:rsid w:val="00884AC9"/>
    <w:rsid w:val="0089145A"/>
    <w:rsid w:val="00894620"/>
    <w:rsid w:val="008B3CCB"/>
    <w:rsid w:val="008D138C"/>
    <w:rsid w:val="008D1604"/>
    <w:rsid w:val="008F7276"/>
    <w:rsid w:val="00985733"/>
    <w:rsid w:val="009B4D1E"/>
    <w:rsid w:val="009B79E2"/>
    <w:rsid w:val="009E4E30"/>
    <w:rsid w:val="009F0A40"/>
    <w:rsid w:val="009F2380"/>
    <w:rsid w:val="00A0483E"/>
    <w:rsid w:val="00A7262F"/>
    <w:rsid w:val="00A80804"/>
    <w:rsid w:val="00AB4DD1"/>
    <w:rsid w:val="00AF3E3D"/>
    <w:rsid w:val="00AF5725"/>
    <w:rsid w:val="00B13FB0"/>
    <w:rsid w:val="00B515A4"/>
    <w:rsid w:val="00B70A86"/>
    <w:rsid w:val="00B869C4"/>
    <w:rsid w:val="00BB3AF8"/>
    <w:rsid w:val="00BD0675"/>
    <w:rsid w:val="00BE4E88"/>
    <w:rsid w:val="00BE62AD"/>
    <w:rsid w:val="00BF04D3"/>
    <w:rsid w:val="00C102DC"/>
    <w:rsid w:val="00C30DAE"/>
    <w:rsid w:val="00C524CB"/>
    <w:rsid w:val="00C52BC7"/>
    <w:rsid w:val="00C63AF4"/>
    <w:rsid w:val="00C9510A"/>
    <w:rsid w:val="00CB5AB6"/>
    <w:rsid w:val="00CD5373"/>
    <w:rsid w:val="00CD6864"/>
    <w:rsid w:val="00CD6878"/>
    <w:rsid w:val="00CD6DCF"/>
    <w:rsid w:val="00CE6EE4"/>
    <w:rsid w:val="00CF12E5"/>
    <w:rsid w:val="00D60970"/>
    <w:rsid w:val="00D67601"/>
    <w:rsid w:val="00D7682F"/>
    <w:rsid w:val="00D93016"/>
    <w:rsid w:val="00DB5F6B"/>
    <w:rsid w:val="00E029F0"/>
    <w:rsid w:val="00E20F61"/>
    <w:rsid w:val="00E30744"/>
    <w:rsid w:val="00E33812"/>
    <w:rsid w:val="00E36863"/>
    <w:rsid w:val="00E51358"/>
    <w:rsid w:val="00E632F0"/>
    <w:rsid w:val="00E93FAF"/>
    <w:rsid w:val="00EA177D"/>
    <w:rsid w:val="00EE1982"/>
    <w:rsid w:val="00F12957"/>
    <w:rsid w:val="00F24450"/>
    <w:rsid w:val="00F54C5F"/>
    <w:rsid w:val="00F622B4"/>
    <w:rsid w:val="00F65298"/>
    <w:rsid w:val="00F72460"/>
    <w:rsid w:val="00F932BE"/>
    <w:rsid w:val="00FE3E9D"/>
    <w:rsid w:val="01FC7CF9"/>
    <w:rsid w:val="01FD0A5D"/>
    <w:rsid w:val="02EF20A0"/>
    <w:rsid w:val="030E471C"/>
    <w:rsid w:val="03F84428"/>
    <w:rsid w:val="044254C9"/>
    <w:rsid w:val="048B3E34"/>
    <w:rsid w:val="12C32215"/>
    <w:rsid w:val="14DB09CF"/>
    <w:rsid w:val="16233488"/>
    <w:rsid w:val="29512E02"/>
    <w:rsid w:val="2DEF5AD2"/>
    <w:rsid w:val="2F375C1A"/>
    <w:rsid w:val="3059017E"/>
    <w:rsid w:val="313A1C72"/>
    <w:rsid w:val="32476D3D"/>
    <w:rsid w:val="33923FE8"/>
    <w:rsid w:val="348A4CBF"/>
    <w:rsid w:val="35134CB4"/>
    <w:rsid w:val="353C65FF"/>
    <w:rsid w:val="356E45E1"/>
    <w:rsid w:val="3AA06FEA"/>
    <w:rsid w:val="3B2200C6"/>
    <w:rsid w:val="405D52D9"/>
    <w:rsid w:val="420267DC"/>
    <w:rsid w:val="477E91EC"/>
    <w:rsid w:val="47DE52E7"/>
    <w:rsid w:val="4ACF18ED"/>
    <w:rsid w:val="50760AC1"/>
    <w:rsid w:val="57D23F23"/>
    <w:rsid w:val="58EE436D"/>
    <w:rsid w:val="5A5A796A"/>
    <w:rsid w:val="5B9E711E"/>
    <w:rsid w:val="5D8F4F70"/>
    <w:rsid w:val="62C94A95"/>
    <w:rsid w:val="67AB306E"/>
    <w:rsid w:val="6DDF09BC"/>
    <w:rsid w:val="73EE3B88"/>
    <w:rsid w:val="7D6B29E9"/>
    <w:rsid w:val="7FE9E0A4"/>
    <w:rsid w:val="BFBFD28E"/>
    <w:rsid w:val="F3FEC273"/>
    <w:rsid w:val="FF75DC2D"/>
    <w:rsid w:val="FFBD88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qFormat/>
    <w:uiPriority w:val="0"/>
    <w:rPr>
      <w:kern w:val="2"/>
      <w:sz w:val="18"/>
      <w:szCs w:val="18"/>
    </w:rPr>
  </w:style>
  <w:style w:type="character" w:customStyle="1" w:styleId="9">
    <w:name w:val="页眉 Char"/>
    <w:link w:val="4"/>
    <w:uiPriority w:val="0"/>
    <w:rPr>
      <w:kern w:val="2"/>
      <w:sz w:val="18"/>
      <w:szCs w:val="18"/>
    </w:rPr>
  </w:style>
  <w:style w:type="paragraph" w:customStyle="1" w:styleId="10">
    <w:name w:val=" Char"/>
    <w:basedOn w:val="1"/>
    <w:qFormat/>
    <w:uiPriority w:val="0"/>
    <w:pPr>
      <w:widowControl/>
      <w:jc w:val="left"/>
    </w:pPr>
    <w:rPr>
      <w:rFonts w:ascii="Verdana" w:hAnsi="Verdana" w:eastAsia="仿宋_GB2312"/>
      <w:kern w:val="0"/>
      <w:sz w:val="28"/>
      <w:szCs w:val="20"/>
      <w:lang w:eastAsia="en-US"/>
    </w:rPr>
  </w:style>
  <w:style w:type="character" w:customStyle="1" w:styleId="11">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4720</Words>
  <Characters>5126</Characters>
  <Lines>37</Lines>
  <Paragraphs>10</Paragraphs>
  <TotalTime>25</TotalTime>
  <ScaleCrop>false</ScaleCrop>
  <LinksUpToDate>false</LinksUpToDate>
  <CharactersWithSpaces>5161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2014-08-20T08:46:00Z</dcterms:created>
  <dc:creator>lenovo</dc:creator>
  <cp:lastModifiedBy>O_o~zZ</cp:lastModifiedBy>
  <cp:lastPrinted>2022-07-29T10:11:00Z</cp:lastPrinted>
  <dcterms:modified xsi:type="dcterms:W3CDTF">2022-08-29T03:10:23Z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001587FC9FA64634AD75B844D572682D</vt:lpwstr>
  </property>
</Properties>
</file>