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rPr>
          <w:rFonts w:hint="default" w:ascii="黑体" w:hAnsi="黑体" w:eastAsia="黑体" w:cs="黑体"/>
          <w:b w:val="0"/>
          <w:bCs/>
          <w:sz w:val="28"/>
          <w:szCs w:val="28"/>
          <w:lang w:val="en"/>
        </w:rPr>
      </w:pPr>
      <w:r>
        <w:rPr>
          <w:rFonts w:hint="eastAsia" w:ascii="黑体" w:hAnsi="黑体" w:eastAsia="黑体" w:cs="黑体"/>
          <w:b w:val="0"/>
          <w:bCs/>
          <w:sz w:val="28"/>
          <w:szCs w:val="28"/>
        </w:rPr>
        <w:t>附件</w:t>
      </w:r>
      <w:r>
        <w:rPr>
          <w:rFonts w:hint="default" w:ascii="黑体" w:hAnsi="黑体" w:eastAsia="黑体" w:cs="黑体"/>
          <w:b w:val="0"/>
          <w:bCs/>
          <w:sz w:val="28"/>
          <w:szCs w:val="28"/>
          <w:lang w:val="en" w:eastAsia="zh-CN"/>
        </w:rPr>
        <w:t>2</w:t>
      </w: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ascii="宋体" w:hAnsi="宋体"/>
          <w:b/>
          <w:sz w:val="52"/>
          <w:szCs w:val="52"/>
        </w:rPr>
      </w:pPr>
      <w:r>
        <w:rPr>
          <w:rFonts w:hint="eastAsia" w:ascii="宋体" w:hAnsi="宋体"/>
          <w:b/>
          <w:sz w:val="52"/>
          <w:szCs w:val="52"/>
          <w:lang w:val="en-US" w:eastAsia="zh-CN"/>
        </w:rPr>
        <w:t>盘锦市兴隆台区农业和水利服务中心</w:t>
      </w:r>
      <w:r>
        <w:rPr>
          <w:rFonts w:hint="eastAsia" w:ascii="宋体" w:hAnsi="宋体"/>
          <w:b/>
          <w:sz w:val="52"/>
          <w:szCs w:val="52"/>
          <w:lang w:eastAsia="zh-CN"/>
        </w:rPr>
        <w:t>2021</w:t>
      </w:r>
      <w:r>
        <w:rPr>
          <w:rFonts w:hint="eastAsia" w:ascii="宋体" w:hAnsi="宋体"/>
          <w:b/>
          <w:sz w:val="52"/>
          <w:szCs w:val="52"/>
        </w:rPr>
        <w:t>年度部门决算</w:t>
      </w:r>
    </w:p>
    <w:p>
      <w:pPr>
        <w:spacing w:line="540" w:lineRule="exact"/>
        <w:jc w:val="center"/>
        <w:rPr>
          <w:rFonts w:hint="eastAsia"/>
          <w:b/>
          <w:sz w:val="44"/>
          <w:szCs w:val="44"/>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u w:val="single"/>
        </w:rPr>
      </w:pPr>
    </w:p>
    <w:p>
      <w:pPr>
        <w:spacing w:line="540" w:lineRule="exact"/>
        <w:jc w:val="center"/>
        <w:rPr>
          <w:rFonts w:hint="eastAsia"/>
          <w:b/>
          <w:sz w:val="44"/>
          <w:szCs w:val="44"/>
        </w:rPr>
      </w:pPr>
    </w:p>
    <w:p>
      <w:pPr>
        <w:spacing w:line="540" w:lineRule="exact"/>
        <w:jc w:val="center"/>
        <w:rPr>
          <w:rFonts w:hint="eastAsia"/>
          <w:b/>
          <w:sz w:val="44"/>
          <w:szCs w:val="44"/>
        </w:rPr>
      </w:pPr>
      <w:r>
        <w:rPr>
          <w:rFonts w:hint="eastAsia"/>
          <w:b/>
          <w:sz w:val="44"/>
          <w:szCs w:val="44"/>
        </w:rPr>
        <w:t>目    录</w:t>
      </w:r>
    </w:p>
    <w:p>
      <w:pPr>
        <w:spacing w:line="540" w:lineRule="exact"/>
        <w:rPr>
          <w:rFonts w:hint="eastAsia"/>
          <w:b/>
          <w:sz w:val="44"/>
          <w:szCs w:val="44"/>
          <w:u w:val="single"/>
        </w:rPr>
      </w:pPr>
    </w:p>
    <w:p>
      <w:pPr>
        <w:spacing w:line="540" w:lineRule="exact"/>
        <w:rPr>
          <w:rFonts w:hint="eastAsia" w:ascii="黑体" w:hAnsi="黑体" w:eastAsia="黑体"/>
          <w:sz w:val="32"/>
          <w:szCs w:val="32"/>
        </w:rPr>
      </w:pPr>
      <w:r>
        <w:rPr>
          <w:rFonts w:hint="eastAsia" w:ascii="黑体" w:hAnsi="黑体" w:eastAsia="黑体"/>
          <w:sz w:val="32"/>
          <w:szCs w:val="32"/>
        </w:rPr>
        <w:t xml:space="preserve">第一部分    </w:t>
      </w:r>
      <w:r>
        <w:rPr>
          <w:rFonts w:hint="eastAsia" w:ascii="黑体" w:hAnsi="黑体" w:eastAsia="黑体"/>
          <w:sz w:val="32"/>
          <w:szCs w:val="32"/>
          <w:lang w:eastAsia="zh-CN"/>
        </w:rPr>
        <w:t>部门</w:t>
      </w:r>
      <w:r>
        <w:rPr>
          <w:rFonts w:hint="eastAsia" w:ascii="黑体" w:hAnsi="黑体" w:eastAsia="黑体"/>
          <w:sz w:val="32"/>
          <w:szCs w:val="32"/>
        </w:rPr>
        <w:t>概况</w:t>
      </w:r>
    </w:p>
    <w:p>
      <w:pPr>
        <w:numPr>
          <w:ilvl w:val="0"/>
          <w:numId w:val="1"/>
        </w:numPr>
        <w:spacing w:line="540" w:lineRule="exact"/>
        <w:rPr>
          <w:rFonts w:hint="eastAsia" w:ascii="仿宋_GB2312" w:hAnsi="黑体" w:eastAsia="仿宋_GB2312"/>
          <w:sz w:val="32"/>
          <w:szCs w:val="32"/>
        </w:rPr>
      </w:pPr>
      <w:r>
        <w:rPr>
          <w:rFonts w:hint="eastAsia" w:ascii="仿宋_GB2312" w:hAnsi="黑体" w:eastAsia="仿宋_GB2312"/>
          <w:sz w:val="32"/>
          <w:szCs w:val="32"/>
        </w:rPr>
        <w:t>主要职责</w:t>
      </w:r>
    </w:p>
    <w:p>
      <w:pPr>
        <w:numPr>
          <w:ilvl w:val="0"/>
          <w:numId w:val="1"/>
        </w:numPr>
        <w:spacing w:line="540" w:lineRule="exact"/>
        <w:rPr>
          <w:rFonts w:hint="eastAsia" w:ascii="仿宋_GB2312" w:hAnsi="黑体" w:eastAsia="仿宋_GB2312"/>
          <w:sz w:val="32"/>
          <w:szCs w:val="32"/>
        </w:rPr>
      </w:pPr>
      <w:r>
        <w:rPr>
          <w:rFonts w:hint="eastAsia" w:ascii="仿宋_GB2312" w:hAnsi="黑体" w:eastAsia="仿宋_GB2312"/>
          <w:sz w:val="32"/>
          <w:szCs w:val="32"/>
        </w:rPr>
        <w:t>部门决算单位构成</w:t>
      </w:r>
    </w:p>
    <w:p>
      <w:pPr>
        <w:spacing w:line="540" w:lineRule="exact"/>
        <w:rPr>
          <w:rFonts w:hint="eastAsia"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eastAsia="zh-CN"/>
        </w:rPr>
        <w:t>二</w:t>
      </w:r>
      <w:r>
        <w:rPr>
          <w:rFonts w:hint="eastAsia" w:ascii="黑体" w:hAnsi="黑体" w:eastAsia="黑体"/>
          <w:sz w:val="32"/>
          <w:szCs w:val="32"/>
        </w:rPr>
        <w:t xml:space="preserve">部分    </w:t>
      </w:r>
      <w:r>
        <w:rPr>
          <w:rFonts w:hint="eastAsia" w:ascii="黑体" w:hAnsi="黑体" w:eastAsia="黑体"/>
          <w:sz w:val="32"/>
          <w:szCs w:val="32"/>
          <w:lang w:eastAsia="zh-CN"/>
        </w:rPr>
        <w:t>2021</w:t>
      </w:r>
      <w:r>
        <w:rPr>
          <w:rFonts w:hint="eastAsia" w:ascii="黑体" w:hAnsi="黑体" w:eastAsia="黑体"/>
          <w:sz w:val="32"/>
          <w:szCs w:val="32"/>
        </w:rPr>
        <w:t>年度部门决算情况说明</w:t>
      </w:r>
    </w:p>
    <w:p>
      <w:pPr>
        <w:spacing w:line="540" w:lineRule="exact"/>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一、收入支出决算总体情况说明</w:t>
      </w:r>
    </w:p>
    <w:p>
      <w:pPr>
        <w:spacing w:line="540" w:lineRule="exact"/>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二、财政拨款收入支出决算情况说明</w:t>
      </w:r>
    </w:p>
    <w:p>
      <w:pPr>
        <w:spacing w:line="540" w:lineRule="exact"/>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三、一般公共预算财政拨款“三公”经费支出决算情况说明</w:t>
      </w:r>
    </w:p>
    <w:p>
      <w:pPr>
        <w:spacing w:line="540" w:lineRule="exact"/>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四、一般公共预算财政拨款基本支出决算情况说明</w:t>
      </w:r>
    </w:p>
    <w:p>
      <w:pPr>
        <w:spacing w:line="540" w:lineRule="exact"/>
        <w:rPr>
          <w:rFonts w:hint="eastAsia" w:ascii="仿宋_GB2312" w:hAnsi="Times New Roman" w:eastAsia="仿宋_GB2312" w:cs="Times New Roman"/>
          <w:sz w:val="32"/>
          <w:szCs w:val="32"/>
          <w:lang w:eastAsia="zh-CN"/>
        </w:rPr>
      </w:pPr>
      <w:r>
        <w:rPr>
          <w:rFonts w:hint="eastAsia" w:ascii="仿宋_GB2312" w:hAnsi="Times New Roman" w:eastAsia="仿宋_GB2312" w:cs="Times New Roman"/>
          <w:sz w:val="32"/>
          <w:szCs w:val="32"/>
          <w:lang w:eastAsia="zh-CN"/>
        </w:rPr>
        <w:t>五、其他重要事项的情况说明</w:t>
      </w:r>
    </w:p>
    <w:p>
      <w:pPr>
        <w:spacing w:line="540" w:lineRule="exact"/>
        <w:rPr>
          <w:rFonts w:hint="eastAsia"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eastAsia="zh-CN"/>
        </w:rPr>
        <w:t>三</w:t>
      </w:r>
      <w:r>
        <w:rPr>
          <w:rFonts w:hint="eastAsia" w:ascii="黑体" w:hAnsi="黑体" w:eastAsia="黑体"/>
          <w:sz w:val="32"/>
          <w:szCs w:val="32"/>
        </w:rPr>
        <w:t>部分    名词解释</w:t>
      </w:r>
    </w:p>
    <w:p>
      <w:pPr>
        <w:spacing w:line="540" w:lineRule="exact"/>
        <w:rPr>
          <w:rFonts w:hint="eastAsia"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eastAsia="zh-CN"/>
        </w:rPr>
        <w:t>四</w:t>
      </w:r>
      <w:r>
        <w:rPr>
          <w:rFonts w:hint="eastAsia" w:ascii="黑体" w:hAnsi="黑体" w:eastAsia="黑体"/>
          <w:sz w:val="32"/>
          <w:szCs w:val="32"/>
        </w:rPr>
        <w:t xml:space="preserve">部分    </w:t>
      </w:r>
      <w:r>
        <w:rPr>
          <w:rFonts w:hint="eastAsia" w:ascii="黑体" w:hAnsi="黑体" w:eastAsia="黑体"/>
          <w:sz w:val="32"/>
          <w:szCs w:val="32"/>
          <w:lang w:eastAsia="zh-CN"/>
        </w:rPr>
        <w:t>2021</w:t>
      </w:r>
      <w:r>
        <w:rPr>
          <w:rFonts w:hint="eastAsia" w:ascii="黑体" w:hAnsi="黑体" w:eastAsia="黑体"/>
          <w:sz w:val="32"/>
          <w:szCs w:val="32"/>
        </w:rPr>
        <w:t>年度部门决算报表</w:t>
      </w:r>
    </w:p>
    <w:p>
      <w:pPr>
        <w:spacing w:line="540" w:lineRule="exact"/>
        <w:rPr>
          <w:rFonts w:hint="eastAsia"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pPr>
        <w:spacing w:line="540" w:lineRule="exact"/>
        <w:rPr>
          <w:rFonts w:hint="eastAsia" w:ascii="仿宋_GB2312" w:eastAsia="仿宋_GB2312"/>
          <w:sz w:val="32"/>
          <w:szCs w:val="32"/>
        </w:rPr>
      </w:pPr>
      <w:r>
        <w:rPr>
          <w:rFonts w:hint="eastAsia" w:ascii="仿宋_GB2312" w:eastAsia="仿宋_GB2312"/>
          <w:sz w:val="32"/>
          <w:szCs w:val="32"/>
        </w:rPr>
        <w:t>二、收入决算表</w:t>
      </w:r>
    </w:p>
    <w:p>
      <w:pPr>
        <w:spacing w:line="540" w:lineRule="exact"/>
        <w:rPr>
          <w:rFonts w:hint="eastAsia" w:ascii="仿宋_GB2312" w:eastAsia="仿宋_GB2312"/>
          <w:sz w:val="32"/>
          <w:szCs w:val="32"/>
        </w:rPr>
      </w:pPr>
      <w:r>
        <w:rPr>
          <w:rFonts w:hint="eastAsia" w:ascii="仿宋_GB2312" w:eastAsia="仿宋_GB2312"/>
          <w:sz w:val="32"/>
          <w:szCs w:val="32"/>
        </w:rPr>
        <w:t>三、支出决算表</w:t>
      </w:r>
    </w:p>
    <w:p>
      <w:pPr>
        <w:spacing w:line="540" w:lineRule="exact"/>
        <w:rPr>
          <w:rFonts w:hint="eastAsia"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财政拨款收入支出决算表</w:t>
      </w:r>
    </w:p>
    <w:p>
      <w:pPr>
        <w:spacing w:line="540" w:lineRule="exact"/>
        <w:rPr>
          <w:rFonts w:hint="eastAsia"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pPr>
        <w:spacing w:line="540" w:lineRule="exact"/>
        <w:rPr>
          <w:rFonts w:hint="eastAsia"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pPr>
        <w:spacing w:line="540" w:lineRule="exact"/>
        <w:rPr>
          <w:rFonts w:hint="eastAsia" w:ascii="仿宋_GB2312" w:eastAsia="仿宋_GB2312"/>
          <w:sz w:val="32"/>
          <w:szCs w:val="32"/>
        </w:rPr>
      </w:pPr>
      <w:r>
        <w:rPr>
          <w:rFonts w:hint="eastAsia" w:ascii="仿宋_GB2312" w:eastAsia="仿宋_GB2312"/>
          <w:sz w:val="32"/>
          <w:szCs w:val="32"/>
        </w:rPr>
        <w:t>七、</w:t>
      </w:r>
      <w:r>
        <w:rPr>
          <w:rFonts w:ascii="仿宋_GB2312" w:eastAsia="仿宋_GB2312"/>
          <w:sz w:val="32"/>
          <w:szCs w:val="32"/>
        </w:rPr>
        <w:t>政府性基金预算财政拨款支出决算表</w:t>
      </w:r>
    </w:p>
    <w:p>
      <w:pPr>
        <w:spacing w:line="540" w:lineRule="exact"/>
        <w:ind w:left="640" w:hanging="640" w:hangingChars="200"/>
        <w:rPr>
          <w:rFonts w:hint="eastAsia" w:ascii="仿宋_GB2312" w:eastAsia="仿宋_GB2312"/>
          <w:sz w:val="32"/>
          <w:szCs w:val="32"/>
        </w:rPr>
      </w:pPr>
      <w:r>
        <w:rPr>
          <w:rFonts w:hint="eastAsia" w:ascii="仿宋_GB2312" w:eastAsia="仿宋_GB2312"/>
          <w:sz w:val="32"/>
          <w:szCs w:val="32"/>
        </w:rPr>
        <w:t>八、一般公共预算财政拨款“三公”经费支出决算表</w:t>
      </w:r>
    </w:p>
    <w:p>
      <w:pPr>
        <w:spacing w:line="540" w:lineRule="exact"/>
        <w:ind w:left="640" w:hanging="640" w:hangingChars="200"/>
        <w:rPr>
          <w:rFonts w:hint="eastAsia" w:ascii="仿宋_GB2312" w:eastAsia="仿宋_GB2312"/>
          <w:sz w:val="32"/>
          <w:szCs w:val="32"/>
          <w:lang w:val="en-US" w:eastAsia="zh-CN"/>
        </w:rPr>
      </w:pPr>
      <w:r>
        <w:rPr>
          <w:rFonts w:hint="eastAsia" w:ascii="仿宋_GB2312" w:eastAsia="仿宋_GB2312"/>
          <w:sz w:val="32"/>
          <w:szCs w:val="32"/>
          <w:lang w:val="en-US" w:eastAsia="zh-CN"/>
        </w:rPr>
        <w:t>九、国有资本经营预算财政拨款支出决算表</w:t>
      </w:r>
    </w:p>
    <w:p>
      <w:pPr>
        <w:spacing w:line="540" w:lineRule="exact"/>
        <w:jc w:val="center"/>
        <w:rPr>
          <w:rFonts w:hint="eastAsia" w:ascii="黑体" w:hAnsi="黑体" w:eastAsia="黑体"/>
          <w:b/>
          <w:sz w:val="44"/>
          <w:szCs w:val="44"/>
          <w:u w:val="single"/>
        </w:rPr>
      </w:pPr>
    </w:p>
    <w:p>
      <w:pPr>
        <w:spacing w:line="540" w:lineRule="exact"/>
        <w:jc w:val="center"/>
        <w:rPr>
          <w:rFonts w:hint="eastAsia" w:ascii="宋体" w:hAnsi="宋体"/>
          <w:b/>
          <w:sz w:val="36"/>
          <w:szCs w:val="36"/>
        </w:rPr>
      </w:pPr>
      <w:r>
        <w:rPr>
          <w:rFonts w:hint="eastAsia"/>
          <w:b/>
          <w:sz w:val="44"/>
          <w:szCs w:val="44"/>
          <w:u w:val="single"/>
        </w:rPr>
        <w:br w:type="page"/>
      </w:r>
      <w:r>
        <w:rPr>
          <w:rFonts w:hint="eastAsia" w:ascii="宋体" w:hAnsi="宋体"/>
          <w:b/>
          <w:sz w:val="36"/>
          <w:szCs w:val="36"/>
        </w:rPr>
        <w:t xml:space="preserve">第一部分 </w:t>
      </w:r>
      <w:r>
        <w:rPr>
          <w:rFonts w:hint="eastAsia" w:ascii="宋体" w:hAnsi="宋体"/>
          <w:b/>
          <w:sz w:val="36"/>
          <w:szCs w:val="36"/>
          <w:lang w:eastAsia="zh-CN"/>
        </w:rPr>
        <w:t>部门</w:t>
      </w:r>
      <w:r>
        <w:rPr>
          <w:rFonts w:hint="eastAsia" w:ascii="宋体" w:hAnsi="宋体"/>
          <w:b/>
          <w:sz w:val="36"/>
          <w:szCs w:val="36"/>
        </w:rPr>
        <w:t>概况</w:t>
      </w:r>
    </w:p>
    <w:p>
      <w:pPr>
        <w:spacing w:line="540" w:lineRule="exact"/>
        <w:ind w:firstLine="640" w:firstLineChars="200"/>
        <w:jc w:val="left"/>
        <w:rPr>
          <w:rFonts w:hint="eastAsia" w:ascii="黑体" w:eastAsia="黑体"/>
          <w:sz w:val="32"/>
          <w:szCs w:val="32"/>
        </w:rPr>
      </w:pPr>
    </w:p>
    <w:p>
      <w:pPr>
        <w:numPr>
          <w:ilvl w:val="0"/>
          <w:numId w:val="2"/>
        </w:numPr>
        <w:spacing w:line="540" w:lineRule="exact"/>
        <w:ind w:firstLine="640" w:firstLineChars="200"/>
        <w:jc w:val="left"/>
        <w:rPr>
          <w:rFonts w:hint="eastAsia" w:ascii="黑体" w:eastAsia="黑体"/>
          <w:sz w:val="32"/>
          <w:szCs w:val="32"/>
        </w:rPr>
      </w:pPr>
      <w:r>
        <w:rPr>
          <w:rFonts w:hint="eastAsia" w:ascii="黑体" w:eastAsia="黑体"/>
          <w:sz w:val="32"/>
          <w:szCs w:val="32"/>
        </w:rPr>
        <w:t>主要职责</w:t>
      </w:r>
    </w:p>
    <w:p>
      <w:pPr>
        <w:pStyle w:val="3"/>
        <w:snapToGrid w:val="0"/>
        <w:spacing w:before="0" w:beforeAutospacing="0" w:after="0" w:afterAutospacing="0" w:line="560" w:lineRule="exact"/>
        <w:ind w:left="1360"/>
        <w:jc w:val="both"/>
        <w:rPr>
          <w:rFonts w:hint="eastAsia" w:ascii="仿宋" w:hAnsi="仿宋" w:eastAsia="仿宋" w:cs="仿宋"/>
          <w:kern w:val="2"/>
          <w:sz w:val="32"/>
          <w:szCs w:val="32"/>
        </w:rPr>
      </w:pPr>
      <w:r>
        <w:rPr>
          <w:rFonts w:hint="eastAsia" w:ascii="仿宋" w:hAnsi="仿宋" w:eastAsia="仿宋" w:cs="仿宋"/>
          <w:kern w:val="2"/>
          <w:sz w:val="32"/>
          <w:szCs w:val="32"/>
        </w:rPr>
        <w:t>（一）为全区河长制、水资源、水利工程、移民扶持、水土保持、农村饮水、水利工程建设质量与安全监督等提供技术支持和服务保障。承担全区地表水和地下水监测、计划用水、节约用水，农村饮水等水资源管理的事务性工作；为水资源开发利用、配置调度、管理保护和水生态治理提供相关技术服务；承担全区河道、水利设施、水域及其岸线的生态保护、管理与综合利用相关事务性工作；承担全区城市防洪工程规划、河道生态及景观等工程建设相关事务性工作；为全区水利建设和管理相关事务性工作；承担水利工程征地、移民安置及后期扶持相关事务性工作；承担全区水土流失综合防治工作；为全区水利工程除险加固、维修养护、运行管理提供技术支持和服务保障；承担区水利局交办的其他工作。</w:t>
      </w:r>
    </w:p>
    <w:p>
      <w:pPr>
        <w:pStyle w:val="3"/>
        <w:snapToGrid w:val="0"/>
        <w:spacing w:before="0" w:beforeAutospacing="0" w:after="0" w:afterAutospacing="0" w:line="560" w:lineRule="exact"/>
        <w:ind w:left="1360"/>
        <w:jc w:val="both"/>
        <w:rPr>
          <w:rFonts w:hint="eastAsia" w:ascii="仿宋" w:hAnsi="仿宋" w:eastAsia="仿宋" w:cs="仿宋"/>
          <w:kern w:val="2"/>
          <w:sz w:val="32"/>
          <w:szCs w:val="32"/>
        </w:rPr>
      </w:pPr>
      <w:r>
        <w:rPr>
          <w:rFonts w:hint="eastAsia" w:ascii="仿宋" w:hAnsi="仿宋" w:eastAsia="仿宋" w:cs="仿宋"/>
          <w:kern w:val="2"/>
          <w:sz w:val="32"/>
          <w:szCs w:val="32"/>
        </w:rPr>
        <w:t>（二）为农业开发项目的设计、申报、施工、管理、监督和验收等相关工作提供服务保障；为全区农业技术推广、农作物种业、农业品牌认证推介、农产品质量安全、农业病虫害检疫监测防治、土壤肥料、农药登记、农用药械服务等相关工作提供技术支持和服务保障；负责全区农业农村信息化建设；承担农业教育培训等相关工作。</w:t>
      </w:r>
    </w:p>
    <w:p>
      <w:pPr>
        <w:pStyle w:val="3"/>
        <w:snapToGrid w:val="0"/>
        <w:spacing w:before="0" w:beforeAutospacing="0" w:after="0" w:afterAutospacing="0" w:line="560" w:lineRule="exact"/>
        <w:ind w:left="1360"/>
        <w:jc w:val="both"/>
        <w:rPr>
          <w:rFonts w:hint="eastAsia" w:ascii="仿宋" w:hAnsi="仿宋" w:eastAsia="仿宋" w:cs="仿宋"/>
          <w:kern w:val="2"/>
          <w:sz w:val="32"/>
          <w:szCs w:val="32"/>
        </w:rPr>
      </w:pPr>
      <w:r>
        <w:rPr>
          <w:rFonts w:hint="eastAsia" w:ascii="仿宋" w:hAnsi="仿宋" w:eastAsia="仿宋" w:cs="仿宋"/>
          <w:kern w:val="2"/>
          <w:sz w:val="32"/>
          <w:szCs w:val="32"/>
        </w:rPr>
        <w:t>（三）组织林业生态保护修复和造林绿化工作。组织实施林业生态保护修复工作，指导公益林和商品林的培育，指导、监督全民义务植树、乡村绿化工作。指导林业有害生物防治、检疫工作。</w:t>
      </w:r>
    </w:p>
    <w:p>
      <w:pPr>
        <w:pStyle w:val="3"/>
        <w:snapToGrid w:val="0"/>
        <w:spacing w:before="0" w:beforeAutospacing="0" w:after="0" w:afterAutospacing="0" w:line="560" w:lineRule="exact"/>
        <w:ind w:left="1360"/>
        <w:jc w:val="both"/>
        <w:rPr>
          <w:rFonts w:hint="eastAsia" w:ascii="仿宋" w:hAnsi="仿宋" w:eastAsia="仿宋" w:cs="仿宋"/>
          <w:kern w:val="2"/>
          <w:sz w:val="32"/>
          <w:szCs w:val="32"/>
        </w:rPr>
      </w:pPr>
      <w:r>
        <w:rPr>
          <w:rFonts w:hint="eastAsia" w:ascii="仿宋" w:hAnsi="仿宋" w:eastAsia="仿宋" w:cs="仿宋"/>
          <w:kern w:val="2"/>
          <w:sz w:val="32"/>
          <w:szCs w:val="32"/>
        </w:rPr>
        <w:t>（四）承担水产养殖病害监测预报、防疫检疫的事务性工作。</w:t>
      </w:r>
    </w:p>
    <w:p>
      <w:pPr>
        <w:pStyle w:val="3"/>
        <w:snapToGrid w:val="0"/>
        <w:spacing w:before="0" w:beforeAutospacing="0" w:after="0" w:afterAutospacing="0" w:line="560" w:lineRule="exact"/>
        <w:ind w:left="1360"/>
        <w:jc w:val="both"/>
        <w:rPr>
          <w:rFonts w:hint="eastAsia" w:ascii="仿宋" w:hAnsi="仿宋" w:eastAsia="仿宋" w:cs="仿宋"/>
          <w:kern w:val="2"/>
          <w:sz w:val="32"/>
          <w:szCs w:val="32"/>
        </w:rPr>
      </w:pPr>
      <w:r>
        <w:rPr>
          <w:rFonts w:hint="eastAsia" w:ascii="仿宋" w:hAnsi="仿宋" w:eastAsia="仿宋" w:cs="仿宋"/>
          <w:kern w:val="2"/>
          <w:sz w:val="32"/>
          <w:szCs w:val="32"/>
        </w:rPr>
        <w:t>（五）为全区动物疫病防控、动物检疫、畜禽屠宰、疫情监测、疫情处置和应急保障提供技术和服务保障；动物疫病预防控制服务、动物卫生监督管理、畜牧兽医服务工作职责。为畜牧良种繁育、兽药、饲料等相关工作提供技术支持和服务保障。</w:t>
      </w:r>
    </w:p>
    <w:p>
      <w:pPr>
        <w:pStyle w:val="3"/>
        <w:snapToGrid w:val="0"/>
        <w:spacing w:before="0" w:beforeAutospacing="0" w:after="0" w:afterAutospacing="0" w:line="560" w:lineRule="exact"/>
        <w:ind w:left="1360"/>
        <w:jc w:val="both"/>
        <w:rPr>
          <w:rFonts w:hint="eastAsia" w:ascii="仿宋" w:hAnsi="仿宋" w:eastAsia="仿宋" w:cs="仿宋"/>
          <w:kern w:val="2"/>
          <w:sz w:val="32"/>
          <w:szCs w:val="32"/>
        </w:rPr>
      </w:pPr>
      <w:r>
        <w:rPr>
          <w:rFonts w:hint="eastAsia" w:ascii="仿宋" w:hAnsi="仿宋" w:eastAsia="仿宋" w:cs="仿宋"/>
          <w:kern w:val="2"/>
          <w:sz w:val="32"/>
          <w:szCs w:val="32"/>
        </w:rPr>
        <w:t>（六）畜产品安全工作职责。</w:t>
      </w:r>
    </w:p>
    <w:p>
      <w:pPr>
        <w:pStyle w:val="3"/>
        <w:snapToGrid w:val="0"/>
        <w:spacing w:before="0" w:beforeAutospacing="0" w:after="0" w:afterAutospacing="0" w:line="560" w:lineRule="exact"/>
        <w:ind w:left="1360"/>
        <w:jc w:val="both"/>
        <w:rPr>
          <w:rFonts w:hint="eastAsia" w:ascii="仿宋" w:hAnsi="仿宋" w:eastAsia="仿宋" w:cs="仿宋"/>
          <w:kern w:val="2"/>
          <w:sz w:val="32"/>
          <w:szCs w:val="32"/>
        </w:rPr>
      </w:pPr>
      <w:r>
        <w:rPr>
          <w:rFonts w:hint="eastAsia" w:ascii="仿宋" w:hAnsi="仿宋" w:eastAsia="仿宋" w:cs="仿宋"/>
          <w:kern w:val="2"/>
          <w:sz w:val="32"/>
          <w:szCs w:val="32"/>
        </w:rPr>
        <w:t>（七）农机服务工作职责。</w:t>
      </w:r>
    </w:p>
    <w:p>
      <w:pPr>
        <w:pStyle w:val="3"/>
        <w:snapToGrid w:val="0"/>
        <w:spacing w:before="0" w:beforeAutospacing="0" w:after="0" w:afterAutospacing="0" w:line="560" w:lineRule="exact"/>
        <w:ind w:left="1360"/>
        <w:jc w:val="both"/>
        <w:rPr>
          <w:rFonts w:hint="eastAsia" w:ascii="仿宋" w:hAnsi="仿宋" w:eastAsia="仿宋" w:cs="仿宋"/>
          <w:kern w:val="2"/>
          <w:sz w:val="32"/>
          <w:szCs w:val="32"/>
        </w:rPr>
      </w:pPr>
      <w:r>
        <w:rPr>
          <w:rFonts w:hint="eastAsia" w:ascii="仿宋" w:hAnsi="仿宋" w:eastAsia="仿宋" w:cs="仿宋"/>
          <w:kern w:val="2"/>
          <w:sz w:val="32"/>
          <w:szCs w:val="32"/>
        </w:rPr>
        <w:t>（八）农业农村综合执法工作职责</w:t>
      </w:r>
      <w:r>
        <w:rPr>
          <w:rFonts w:hint="eastAsia" w:ascii="仿宋" w:hAnsi="仿宋" w:eastAsia="仿宋" w:cs="仿宋"/>
          <w:sz w:val="32"/>
          <w:szCs w:val="32"/>
        </w:rPr>
        <w:t>。</w:t>
      </w:r>
    </w:p>
    <w:p>
      <w:pPr>
        <w:pStyle w:val="3"/>
        <w:snapToGrid w:val="0"/>
        <w:spacing w:before="0" w:beforeAutospacing="0" w:after="0" w:afterAutospacing="0" w:line="560" w:lineRule="exact"/>
        <w:ind w:left="1360"/>
        <w:jc w:val="both"/>
        <w:rPr>
          <w:rFonts w:hint="eastAsia" w:ascii="仿宋" w:hAnsi="仿宋" w:eastAsia="仿宋" w:cs="仿宋"/>
          <w:kern w:val="2"/>
          <w:sz w:val="32"/>
          <w:szCs w:val="32"/>
        </w:rPr>
      </w:pPr>
      <w:r>
        <w:rPr>
          <w:rFonts w:hint="eastAsia" w:ascii="仿宋" w:hAnsi="仿宋" w:eastAsia="仿宋" w:cs="仿宋"/>
          <w:kern w:val="2"/>
          <w:sz w:val="32"/>
          <w:szCs w:val="32"/>
        </w:rPr>
        <w:t>（九）农田灌溉、排涝服务。</w:t>
      </w:r>
    </w:p>
    <w:p>
      <w:pPr>
        <w:pStyle w:val="3"/>
        <w:snapToGrid w:val="0"/>
        <w:spacing w:before="0" w:beforeAutospacing="0" w:after="0" w:afterAutospacing="0" w:line="560" w:lineRule="exact"/>
        <w:ind w:left="1360"/>
        <w:jc w:val="both"/>
        <w:rPr>
          <w:rFonts w:hint="eastAsia" w:ascii="仿宋" w:hAnsi="仿宋" w:eastAsia="仿宋" w:cs="仿宋"/>
          <w:kern w:val="2"/>
          <w:sz w:val="32"/>
          <w:szCs w:val="32"/>
        </w:rPr>
      </w:pPr>
      <w:r>
        <w:rPr>
          <w:rFonts w:hint="eastAsia" w:ascii="仿宋" w:hAnsi="仿宋" w:eastAsia="仿宋" w:cs="仿宋"/>
          <w:kern w:val="2"/>
          <w:sz w:val="32"/>
          <w:szCs w:val="32"/>
        </w:rPr>
        <w:t xml:space="preserve"> (十）承接区委、区政府、上级业务部门等其它工作任务。</w:t>
      </w:r>
    </w:p>
    <w:p>
      <w:pPr>
        <w:numPr>
          <w:ilvl w:val="0"/>
          <w:numId w:val="0"/>
        </w:numPr>
        <w:spacing w:line="540" w:lineRule="exact"/>
        <w:jc w:val="left"/>
        <w:rPr>
          <w:rFonts w:hint="eastAsia" w:ascii="黑体" w:eastAsia="黑体"/>
          <w:sz w:val="32"/>
          <w:szCs w:val="32"/>
        </w:rPr>
      </w:pPr>
    </w:p>
    <w:p>
      <w:pPr>
        <w:spacing w:line="540" w:lineRule="exact"/>
        <w:ind w:firstLine="640" w:firstLineChars="200"/>
        <w:jc w:val="left"/>
        <w:rPr>
          <w:rFonts w:hint="eastAsia" w:ascii="黑体" w:eastAsia="黑体"/>
          <w:sz w:val="32"/>
          <w:szCs w:val="32"/>
        </w:rPr>
      </w:pPr>
      <w:r>
        <w:rPr>
          <w:rFonts w:hint="eastAsia" w:ascii="黑体" w:eastAsia="黑体"/>
          <w:sz w:val="32"/>
          <w:szCs w:val="32"/>
        </w:rPr>
        <w:t>二、部门决算单位构成</w:t>
      </w:r>
    </w:p>
    <w:p>
      <w:pPr>
        <w:spacing w:line="540" w:lineRule="exact"/>
        <w:ind w:firstLine="643" w:firstLineChars="200"/>
        <w:jc w:val="left"/>
        <w:rPr>
          <w:rFonts w:hint="eastAsia" w:ascii="仿宋_GB2312" w:eastAsia="仿宋_GB2312"/>
          <w:b/>
          <w:sz w:val="32"/>
          <w:szCs w:val="32"/>
        </w:rPr>
      </w:pPr>
      <w:r>
        <w:rPr>
          <w:rFonts w:hint="eastAsia" w:ascii="仿宋_GB2312" w:eastAsia="仿宋_GB2312"/>
          <w:b/>
          <w:sz w:val="32"/>
          <w:szCs w:val="32"/>
        </w:rPr>
        <w:t>纳入</w:t>
      </w:r>
      <w:r>
        <w:rPr>
          <w:rFonts w:hint="eastAsia" w:ascii="仿宋_GB2312" w:eastAsia="仿宋_GB2312"/>
          <w:b/>
          <w:sz w:val="32"/>
          <w:szCs w:val="32"/>
          <w:lang w:val="en-US" w:eastAsia="zh-CN"/>
        </w:rPr>
        <w:t>盘锦市兴隆台区农业和水利服务中心</w:t>
      </w:r>
      <w:r>
        <w:rPr>
          <w:rFonts w:hint="eastAsia" w:ascii="仿宋_GB2312" w:eastAsia="仿宋_GB2312"/>
          <w:b/>
          <w:sz w:val="32"/>
          <w:szCs w:val="32"/>
          <w:lang w:eastAsia="zh-CN"/>
        </w:rPr>
        <w:t>2021</w:t>
      </w:r>
      <w:r>
        <w:rPr>
          <w:rFonts w:hint="eastAsia" w:ascii="仿宋_GB2312" w:eastAsia="仿宋_GB2312"/>
          <w:b/>
          <w:sz w:val="32"/>
          <w:szCs w:val="32"/>
        </w:rPr>
        <w:t>年部门决算编制范围的二级预算单位包括：</w:t>
      </w:r>
    </w:p>
    <w:p>
      <w:pPr>
        <w:spacing w:line="540" w:lineRule="exact"/>
        <w:ind w:firstLine="640" w:firstLineChars="200"/>
        <w:jc w:val="left"/>
        <w:rPr>
          <w:rFonts w:hint="eastAsia" w:ascii="仿宋_GB2312" w:eastAsia="仿宋_GB2312"/>
          <w:sz w:val="32"/>
          <w:szCs w:val="32"/>
          <w:lang w:val="en-US" w:eastAsia="zh-CN"/>
        </w:rPr>
      </w:pPr>
      <w:r>
        <w:rPr>
          <w:rFonts w:hint="eastAsia" w:ascii="仿宋_GB2312" w:eastAsia="仿宋_GB2312"/>
          <w:sz w:val="32"/>
          <w:szCs w:val="32"/>
        </w:rPr>
        <w:t>1.</w:t>
      </w:r>
      <w:r>
        <w:rPr>
          <w:rFonts w:hint="eastAsia" w:ascii="仿宋_GB2312" w:eastAsia="仿宋_GB2312"/>
          <w:sz w:val="32"/>
          <w:szCs w:val="32"/>
          <w:lang w:val="en-US" w:eastAsia="zh-CN"/>
        </w:rPr>
        <w:t>无。</w:t>
      </w:r>
    </w:p>
    <w:p>
      <w:pPr>
        <w:spacing w:line="540" w:lineRule="exact"/>
        <w:ind w:firstLine="723" w:firstLineChars="200"/>
        <w:jc w:val="center"/>
        <w:rPr>
          <w:rFonts w:hint="eastAsia" w:ascii="宋体" w:hAnsi="宋体"/>
          <w:b/>
          <w:sz w:val="36"/>
          <w:szCs w:val="36"/>
        </w:rPr>
      </w:pPr>
    </w:p>
    <w:p>
      <w:pPr>
        <w:spacing w:line="540" w:lineRule="exact"/>
        <w:ind w:firstLine="723" w:firstLineChars="200"/>
        <w:jc w:val="center"/>
        <w:rPr>
          <w:rFonts w:hint="eastAsia" w:ascii="宋体" w:hAnsi="宋体"/>
          <w:b/>
          <w:sz w:val="36"/>
          <w:szCs w:val="36"/>
        </w:rPr>
      </w:pPr>
    </w:p>
    <w:p>
      <w:pPr>
        <w:spacing w:line="540" w:lineRule="exact"/>
        <w:ind w:firstLine="723" w:firstLineChars="200"/>
        <w:jc w:val="center"/>
        <w:rPr>
          <w:rFonts w:hint="eastAsia" w:ascii="宋体" w:hAnsi="宋体"/>
          <w:b/>
          <w:sz w:val="36"/>
          <w:szCs w:val="36"/>
        </w:rPr>
      </w:pPr>
    </w:p>
    <w:p>
      <w:pPr>
        <w:spacing w:line="540" w:lineRule="exact"/>
        <w:ind w:firstLine="723" w:firstLineChars="200"/>
        <w:jc w:val="center"/>
        <w:rPr>
          <w:rFonts w:hint="eastAsia" w:ascii="宋体" w:hAnsi="宋体"/>
          <w:b/>
          <w:sz w:val="36"/>
          <w:szCs w:val="36"/>
        </w:rPr>
      </w:pPr>
    </w:p>
    <w:p>
      <w:pPr>
        <w:spacing w:line="540" w:lineRule="exact"/>
        <w:ind w:firstLine="723" w:firstLineChars="200"/>
        <w:jc w:val="center"/>
        <w:rPr>
          <w:rFonts w:hint="eastAsia" w:ascii="宋体" w:hAnsi="宋体"/>
          <w:b/>
          <w:sz w:val="36"/>
          <w:szCs w:val="36"/>
        </w:rPr>
      </w:pPr>
    </w:p>
    <w:p>
      <w:pPr>
        <w:spacing w:line="540" w:lineRule="exact"/>
        <w:ind w:firstLine="723" w:firstLineChars="200"/>
        <w:jc w:val="center"/>
        <w:rPr>
          <w:rFonts w:hint="eastAsia" w:ascii="宋体" w:hAnsi="宋体"/>
          <w:b/>
          <w:sz w:val="36"/>
          <w:szCs w:val="36"/>
        </w:rPr>
      </w:pPr>
      <w:r>
        <w:rPr>
          <w:rFonts w:hint="eastAsia" w:ascii="宋体" w:hAnsi="宋体"/>
          <w:b/>
          <w:sz w:val="36"/>
          <w:szCs w:val="36"/>
        </w:rPr>
        <w:t>第</w:t>
      </w:r>
      <w:r>
        <w:rPr>
          <w:rFonts w:hint="eastAsia" w:ascii="宋体" w:hAnsi="宋体"/>
          <w:b/>
          <w:sz w:val="36"/>
          <w:szCs w:val="36"/>
          <w:lang w:val="en-US" w:eastAsia="zh-CN"/>
        </w:rPr>
        <w:t>二</w:t>
      </w:r>
      <w:r>
        <w:rPr>
          <w:rFonts w:hint="eastAsia" w:ascii="宋体" w:hAnsi="宋体"/>
          <w:b/>
          <w:sz w:val="36"/>
          <w:szCs w:val="36"/>
        </w:rPr>
        <w:t xml:space="preserve">部分 </w:t>
      </w:r>
      <w:r>
        <w:rPr>
          <w:rFonts w:hint="eastAsia" w:ascii="宋体" w:hAnsi="宋体"/>
          <w:b/>
          <w:sz w:val="36"/>
          <w:szCs w:val="36"/>
          <w:lang w:eastAsia="zh-CN"/>
        </w:rPr>
        <w:t>2021</w:t>
      </w:r>
      <w:r>
        <w:rPr>
          <w:rFonts w:hint="eastAsia" w:ascii="宋体" w:hAnsi="宋体"/>
          <w:b/>
          <w:sz w:val="36"/>
          <w:szCs w:val="36"/>
        </w:rPr>
        <w:t>年度部门决算情况说明</w:t>
      </w:r>
    </w:p>
    <w:p>
      <w:pPr>
        <w:spacing w:line="540" w:lineRule="exact"/>
        <w:rPr>
          <w:rFonts w:hint="eastAsia" w:ascii="宋体" w:hAnsi="宋体"/>
          <w:b/>
          <w:sz w:val="36"/>
          <w:szCs w:val="36"/>
        </w:rPr>
      </w:pPr>
    </w:p>
    <w:p>
      <w:pPr>
        <w:spacing w:line="540" w:lineRule="exact"/>
        <w:ind w:firstLine="627" w:firstLineChars="196"/>
        <w:rPr>
          <w:rFonts w:hint="eastAsia" w:ascii="黑体" w:hAnsi="黑体" w:eastAsia="黑体"/>
          <w:sz w:val="32"/>
          <w:szCs w:val="32"/>
          <w:lang w:eastAsia="zh-CN"/>
        </w:rPr>
      </w:pPr>
      <w:r>
        <w:rPr>
          <w:rFonts w:hint="eastAsia" w:ascii="黑体" w:hAnsi="黑体" w:eastAsia="黑体"/>
          <w:sz w:val="32"/>
          <w:szCs w:val="32"/>
        </w:rPr>
        <w:t>一、收入支出决算总体情况</w:t>
      </w:r>
      <w:r>
        <w:rPr>
          <w:rFonts w:hint="eastAsia" w:ascii="黑体" w:hAnsi="黑体" w:eastAsia="黑体"/>
          <w:sz w:val="32"/>
          <w:szCs w:val="32"/>
          <w:lang w:eastAsia="zh-CN"/>
        </w:rPr>
        <w:t>说明</w:t>
      </w:r>
    </w:p>
    <w:p>
      <w:pPr>
        <w:spacing w:line="540" w:lineRule="exact"/>
        <w:ind w:firstLine="660"/>
        <w:rPr>
          <w:rFonts w:hint="eastAsia" w:ascii="楷体_GB2312" w:hAnsi="宋体" w:eastAsia="楷体_GB2312"/>
          <w:b/>
          <w:sz w:val="32"/>
          <w:szCs w:val="32"/>
        </w:rPr>
      </w:pPr>
      <w:r>
        <w:rPr>
          <w:rFonts w:hint="eastAsia" w:ascii="楷体_GB2312" w:hAnsi="宋体" w:eastAsia="楷体_GB2312"/>
          <w:b/>
          <w:sz w:val="32"/>
          <w:szCs w:val="32"/>
        </w:rPr>
        <w:t>（一）收入总计</w:t>
      </w:r>
      <w:r>
        <w:rPr>
          <w:rFonts w:hint="eastAsia" w:ascii="楷体_GB2312" w:hAnsi="宋体" w:eastAsia="楷体_GB2312"/>
          <w:b/>
          <w:sz w:val="32"/>
          <w:szCs w:val="32"/>
          <w:lang w:val="en-US" w:eastAsia="zh-CN"/>
        </w:rPr>
        <w:t>6637.35</w:t>
      </w:r>
      <w:r>
        <w:rPr>
          <w:rFonts w:hint="eastAsia" w:ascii="楷体_GB2312" w:hAnsi="宋体" w:eastAsia="楷体_GB2312"/>
          <w:b/>
          <w:sz w:val="32"/>
          <w:szCs w:val="32"/>
        </w:rPr>
        <w:t>万元，包括：</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1.财政拨款收入</w:t>
      </w:r>
      <w:r>
        <w:rPr>
          <w:rFonts w:hint="eastAsia" w:ascii="仿宋_GB2312" w:hAnsi="宋体" w:eastAsia="仿宋_GB2312"/>
          <w:sz w:val="32"/>
          <w:szCs w:val="32"/>
          <w:lang w:val="en-US" w:eastAsia="zh-CN"/>
        </w:rPr>
        <w:t>3555.5</w:t>
      </w:r>
      <w:r>
        <w:rPr>
          <w:rFonts w:hint="eastAsia" w:ascii="仿宋_GB2312" w:hAnsi="宋体" w:eastAsia="仿宋_GB2312"/>
          <w:sz w:val="32"/>
          <w:szCs w:val="32"/>
        </w:rPr>
        <w:t>万元，占</w:t>
      </w:r>
      <w:r>
        <w:rPr>
          <w:rFonts w:ascii="仿宋_GB2312" w:hAnsi="宋体" w:eastAsia="仿宋_GB2312"/>
          <w:sz w:val="32"/>
          <w:szCs w:val="32"/>
        </w:rPr>
        <w:t>收入总计的</w:t>
      </w:r>
      <w:r>
        <w:rPr>
          <w:rFonts w:hint="eastAsia" w:ascii="仿宋_GB2312" w:hAnsi="宋体" w:eastAsia="仿宋_GB2312"/>
          <w:sz w:val="32"/>
          <w:szCs w:val="32"/>
          <w:lang w:val="en-US" w:eastAsia="zh-CN"/>
        </w:rPr>
        <w:t>53%</w:t>
      </w:r>
      <w:r>
        <w:rPr>
          <w:rFonts w:hint="eastAsia" w:ascii="仿宋_GB2312" w:hAnsi="宋体" w:eastAsia="仿宋_GB2312"/>
          <w:sz w:val="32"/>
          <w:szCs w:val="32"/>
        </w:rPr>
        <w:t>。其中：</w:t>
      </w:r>
      <w:r>
        <w:rPr>
          <w:rFonts w:hint="eastAsia" w:ascii="仿宋_GB2312" w:hAnsi="宋体" w:eastAsia="仿宋_GB2312"/>
          <w:sz w:val="32"/>
          <w:szCs w:val="32"/>
          <w:lang w:val="en-US" w:eastAsia="zh-CN"/>
        </w:rPr>
        <w:t>一般</w:t>
      </w:r>
      <w:r>
        <w:rPr>
          <w:rFonts w:hint="eastAsia" w:ascii="仿宋_GB2312" w:hAnsi="宋体" w:eastAsia="仿宋_GB2312"/>
          <w:sz w:val="32"/>
          <w:szCs w:val="32"/>
        </w:rPr>
        <w:t>公共预算财政拨款收入</w:t>
      </w:r>
      <w:r>
        <w:rPr>
          <w:rFonts w:hint="eastAsia" w:ascii="仿宋_GB2312" w:hAnsi="宋体" w:eastAsia="仿宋_GB2312"/>
          <w:sz w:val="32"/>
          <w:szCs w:val="32"/>
          <w:lang w:val="en-US" w:eastAsia="zh-CN"/>
        </w:rPr>
        <w:t>3517.76</w:t>
      </w:r>
      <w:r>
        <w:rPr>
          <w:rFonts w:hint="eastAsia" w:ascii="仿宋_GB2312" w:hAnsi="宋体" w:eastAsia="仿宋_GB2312"/>
          <w:sz w:val="32"/>
          <w:szCs w:val="32"/>
        </w:rPr>
        <w:t>万元，政府性基金收入</w:t>
      </w:r>
      <w:r>
        <w:rPr>
          <w:rFonts w:hint="eastAsia" w:ascii="仿宋_GB2312" w:hAnsi="宋体" w:eastAsia="仿宋_GB2312"/>
          <w:sz w:val="32"/>
          <w:szCs w:val="32"/>
          <w:lang w:val="en-US" w:eastAsia="zh-CN"/>
        </w:rPr>
        <w:t>37.74</w:t>
      </w:r>
      <w:r>
        <w:rPr>
          <w:rFonts w:hint="eastAsia" w:ascii="仿宋_GB2312" w:hAnsi="宋体" w:eastAsia="仿宋_GB2312"/>
          <w:sz w:val="32"/>
          <w:szCs w:val="32"/>
        </w:rPr>
        <w:t>万元</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国有资本经营预算财政拨款收入0</w:t>
      </w:r>
      <w:r>
        <w:rPr>
          <w:rFonts w:hint="eastAsia" w:ascii="仿宋_GB2312" w:hAnsi="宋体" w:eastAsia="仿宋_GB2312"/>
          <w:sz w:val="32"/>
          <w:szCs w:val="32"/>
        </w:rPr>
        <w:t>万元。</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2.上级补助收入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万元，占收入总计的</w:t>
      </w:r>
      <w:r>
        <w:rPr>
          <w:rFonts w:hint="eastAsia" w:ascii="仿宋_GB2312" w:hAnsi="宋体" w:eastAsia="仿宋_GB2312"/>
          <w:sz w:val="32"/>
          <w:szCs w:val="32"/>
          <w:lang w:val="en-US" w:eastAsia="zh-CN"/>
        </w:rPr>
        <w:t>0</w:t>
      </w:r>
      <w:r>
        <w:rPr>
          <w:rFonts w:hint="eastAsia" w:ascii="仿宋_GB2312" w:hAnsi="宋体" w:eastAsia="仿宋_GB2312"/>
          <w:sz w:val="32"/>
          <w:szCs w:val="32"/>
        </w:rPr>
        <w:t>%。主要是</w:t>
      </w:r>
      <w:r>
        <w:rPr>
          <w:rFonts w:hint="eastAsia" w:ascii="仿宋_GB2312" w:hAnsi="宋体" w:eastAsia="仿宋_GB2312"/>
          <w:sz w:val="32"/>
          <w:szCs w:val="32"/>
          <w:lang w:val="en-US" w:eastAsia="zh-CN"/>
        </w:rPr>
        <w:t>0</w:t>
      </w:r>
      <w:r>
        <w:rPr>
          <w:rFonts w:hint="eastAsia" w:ascii="仿宋_GB2312" w:hAnsi="宋体" w:eastAsia="仿宋_GB2312"/>
          <w:sz w:val="32"/>
          <w:szCs w:val="32"/>
        </w:rPr>
        <w:t>等收入。</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3.事业收入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万元，占收入总计的</w:t>
      </w:r>
      <w:r>
        <w:rPr>
          <w:rFonts w:hint="eastAsia" w:ascii="仿宋_GB2312" w:hAnsi="宋体" w:eastAsia="仿宋_GB2312"/>
          <w:sz w:val="32"/>
          <w:szCs w:val="32"/>
          <w:lang w:val="en-US" w:eastAsia="zh-CN"/>
        </w:rPr>
        <w:t>0</w:t>
      </w:r>
      <w:r>
        <w:rPr>
          <w:rFonts w:hint="eastAsia" w:ascii="仿宋_GB2312" w:hAnsi="宋体" w:eastAsia="仿宋_GB2312"/>
          <w:sz w:val="32"/>
          <w:szCs w:val="32"/>
        </w:rPr>
        <w:t>%。主要是</w:t>
      </w:r>
      <w:r>
        <w:rPr>
          <w:rFonts w:hint="eastAsia" w:ascii="仿宋_GB2312" w:hAnsi="宋体" w:eastAsia="仿宋_GB2312"/>
          <w:sz w:val="32"/>
          <w:szCs w:val="32"/>
          <w:lang w:val="en-US" w:eastAsia="zh-CN"/>
        </w:rPr>
        <w:t>0</w:t>
      </w:r>
      <w:r>
        <w:rPr>
          <w:rFonts w:hint="eastAsia" w:ascii="仿宋_GB2312" w:hAnsi="宋体" w:eastAsia="仿宋_GB2312"/>
          <w:sz w:val="32"/>
          <w:szCs w:val="32"/>
        </w:rPr>
        <w:t>等收入。</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4.经营收入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万元，占收入总计的</w:t>
      </w:r>
      <w:r>
        <w:rPr>
          <w:rFonts w:hint="eastAsia" w:ascii="仿宋_GB2312" w:hAnsi="宋体" w:eastAsia="仿宋_GB2312"/>
          <w:sz w:val="32"/>
          <w:szCs w:val="32"/>
          <w:lang w:val="en-US" w:eastAsia="zh-CN"/>
        </w:rPr>
        <w:t>0</w:t>
      </w:r>
      <w:r>
        <w:rPr>
          <w:rFonts w:hint="eastAsia" w:ascii="仿宋_GB2312" w:hAnsi="宋体" w:eastAsia="仿宋_GB2312"/>
          <w:sz w:val="32"/>
          <w:szCs w:val="32"/>
        </w:rPr>
        <w:t>%。主要是</w:t>
      </w:r>
      <w:r>
        <w:rPr>
          <w:rFonts w:hint="eastAsia" w:ascii="仿宋_GB2312" w:hAnsi="宋体" w:eastAsia="仿宋_GB2312"/>
          <w:sz w:val="32"/>
          <w:szCs w:val="32"/>
          <w:lang w:val="en-US" w:eastAsia="zh-CN"/>
        </w:rPr>
        <w:t>0</w:t>
      </w:r>
      <w:r>
        <w:rPr>
          <w:rFonts w:hint="eastAsia" w:ascii="仿宋_GB2312" w:hAnsi="宋体" w:eastAsia="仿宋_GB2312"/>
          <w:sz w:val="32"/>
          <w:szCs w:val="32"/>
        </w:rPr>
        <w:t>等收入。</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5.附属单位上缴收入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万元，占收入总计的</w:t>
      </w:r>
      <w:r>
        <w:rPr>
          <w:rFonts w:hint="eastAsia" w:ascii="仿宋_GB2312" w:hAnsi="宋体" w:eastAsia="仿宋_GB2312"/>
          <w:sz w:val="32"/>
          <w:szCs w:val="32"/>
          <w:lang w:val="en-US" w:eastAsia="zh-CN"/>
        </w:rPr>
        <w:t>0</w:t>
      </w:r>
      <w:r>
        <w:rPr>
          <w:rFonts w:hint="eastAsia" w:ascii="仿宋_GB2312" w:hAnsi="宋体" w:eastAsia="仿宋_GB2312"/>
          <w:sz w:val="32"/>
          <w:szCs w:val="32"/>
        </w:rPr>
        <w:t>%。主要是</w:t>
      </w:r>
      <w:r>
        <w:rPr>
          <w:rFonts w:hint="eastAsia" w:ascii="仿宋_GB2312" w:hAnsi="宋体" w:eastAsia="仿宋_GB2312"/>
          <w:sz w:val="32"/>
          <w:szCs w:val="32"/>
          <w:lang w:val="en-US" w:eastAsia="zh-CN"/>
        </w:rPr>
        <w:t>0</w:t>
      </w:r>
      <w:r>
        <w:rPr>
          <w:rFonts w:hint="eastAsia" w:ascii="仿宋_GB2312" w:hAnsi="宋体" w:eastAsia="仿宋_GB2312"/>
          <w:sz w:val="32"/>
          <w:szCs w:val="32"/>
        </w:rPr>
        <w:t>等收入。</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6.其他收入</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万元，占收入总计的</w:t>
      </w:r>
      <w:r>
        <w:rPr>
          <w:rFonts w:hint="eastAsia" w:ascii="仿宋_GB2312" w:hAnsi="宋体" w:eastAsia="仿宋_GB2312"/>
          <w:sz w:val="32"/>
          <w:szCs w:val="32"/>
          <w:lang w:val="en-US" w:eastAsia="zh-CN"/>
        </w:rPr>
        <w:t>0</w:t>
      </w:r>
      <w:r>
        <w:rPr>
          <w:rFonts w:hint="eastAsia" w:ascii="仿宋_GB2312" w:hAnsi="宋体" w:eastAsia="仿宋_GB2312"/>
          <w:sz w:val="32"/>
          <w:szCs w:val="32"/>
        </w:rPr>
        <w:t>%。主要是</w:t>
      </w:r>
      <w:r>
        <w:rPr>
          <w:rFonts w:hint="eastAsia" w:ascii="仿宋_GB2312" w:hAnsi="宋体" w:eastAsia="仿宋_GB2312"/>
          <w:sz w:val="32"/>
          <w:szCs w:val="32"/>
          <w:lang w:val="en-US" w:eastAsia="zh-CN"/>
        </w:rPr>
        <w:t>0</w:t>
      </w:r>
      <w:r>
        <w:rPr>
          <w:rFonts w:hint="eastAsia" w:ascii="仿宋_GB2312" w:hAnsi="宋体" w:eastAsia="仿宋_GB2312"/>
          <w:sz w:val="32"/>
          <w:szCs w:val="32"/>
        </w:rPr>
        <w:t>等收入。</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7.</w:t>
      </w:r>
      <w:r>
        <w:rPr>
          <w:rFonts w:hint="eastAsia" w:ascii="仿宋_GB2312" w:hAnsi="宋体" w:eastAsia="仿宋_GB2312"/>
          <w:sz w:val="32"/>
          <w:szCs w:val="32"/>
          <w:lang w:val="en-US" w:eastAsia="zh-CN"/>
        </w:rPr>
        <w:t>使用非财政拨款结余0</w:t>
      </w:r>
      <w:r>
        <w:rPr>
          <w:rFonts w:hint="eastAsia" w:ascii="仿宋_GB2312" w:hAnsi="宋体" w:eastAsia="仿宋_GB2312"/>
          <w:sz w:val="32"/>
          <w:szCs w:val="32"/>
        </w:rPr>
        <w:t>万元，占收入总计的</w:t>
      </w:r>
      <w:r>
        <w:rPr>
          <w:rFonts w:hint="eastAsia" w:ascii="仿宋_GB2312" w:hAnsi="宋体" w:eastAsia="仿宋_GB2312"/>
          <w:sz w:val="32"/>
          <w:szCs w:val="32"/>
          <w:lang w:val="en-US" w:eastAsia="zh-CN"/>
        </w:rPr>
        <w:t>0</w:t>
      </w:r>
      <w:r>
        <w:rPr>
          <w:rFonts w:hint="eastAsia" w:ascii="仿宋_GB2312" w:hAnsi="宋体" w:eastAsia="仿宋_GB2312"/>
          <w:sz w:val="32"/>
          <w:szCs w:val="32"/>
        </w:rPr>
        <w:t>%。主要是</w:t>
      </w:r>
      <w:r>
        <w:rPr>
          <w:rFonts w:hint="eastAsia" w:ascii="仿宋_GB2312" w:hAnsi="宋体" w:eastAsia="仿宋_GB2312"/>
          <w:sz w:val="32"/>
          <w:szCs w:val="32"/>
          <w:lang w:val="en-US" w:eastAsia="zh-CN"/>
        </w:rPr>
        <w:t>0</w:t>
      </w:r>
      <w:r>
        <w:rPr>
          <w:rFonts w:hint="eastAsia" w:ascii="仿宋_GB2312" w:hAnsi="宋体" w:eastAsia="仿宋_GB2312"/>
          <w:sz w:val="32"/>
          <w:szCs w:val="32"/>
        </w:rPr>
        <w:t>等。</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8.上年结转和结余</w:t>
      </w:r>
      <w:r>
        <w:rPr>
          <w:rFonts w:hint="eastAsia" w:ascii="仿宋_GB2312" w:hAnsi="宋体" w:eastAsia="仿宋_GB2312"/>
          <w:sz w:val="32"/>
          <w:szCs w:val="32"/>
          <w:lang w:val="en-US" w:eastAsia="zh-CN"/>
        </w:rPr>
        <w:t>3081.85</w:t>
      </w:r>
      <w:r>
        <w:rPr>
          <w:rFonts w:hint="eastAsia" w:ascii="仿宋_GB2312" w:hAnsi="宋体" w:eastAsia="仿宋_GB2312"/>
          <w:sz w:val="32"/>
          <w:szCs w:val="32"/>
        </w:rPr>
        <w:t>万元，占收入总计的</w:t>
      </w:r>
      <w:r>
        <w:rPr>
          <w:rFonts w:hint="eastAsia" w:ascii="仿宋_GB2312" w:hAnsi="宋体" w:eastAsia="仿宋_GB2312"/>
          <w:sz w:val="32"/>
          <w:szCs w:val="32"/>
          <w:lang w:val="en-US" w:eastAsia="zh-CN"/>
        </w:rPr>
        <w:t>47</w:t>
      </w:r>
      <w:r>
        <w:rPr>
          <w:rFonts w:hint="eastAsia" w:ascii="仿宋_GB2312" w:hAnsi="宋体" w:eastAsia="仿宋_GB2312"/>
          <w:sz w:val="32"/>
          <w:szCs w:val="32"/>
        </w:rPr>
        <w:t>%。主要是</w:t>
      </w:r>
      <w:r>
        <w:rPr>
          <w:rFonts w:hint="eastAsia" w:ascii="仿宋_GB2312" w:hAnsi="宋体" w:eastAsia="仿宋_GB2312"/>
          <w:sz w:val="32"/>
          <w:szCs w:val="32"/>
          <w:lang w:val="en-US" w:eastAsia="zh-CN"/>
        </w:rPr>
        <w:t>项目款项结转</w:t>
      </w:r>
      <w:r>
        <w:rPr>
          <w:rFonts w:hint="eastAsia" w:ascii="仿宋_GB2312" w:hAnsi="宋体" w:eastAsia="仿宋_GB2312"/>
          <w:sz w:val="32"/>
          <w:szCs w:val="32"/>
        </w:rPr>
        <w:t>等。</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与上年相比，今年收入减少</w:t>
      </w:r>
      <w:r>
        <w:rPr>
          <w:rFonts w:hint="eastAsia" w:ascii="仿宋_GB2312" w:hAnsi="宋体" w:eastAsia="仿宋_GB2312"/>
          <w:sz w:val="32"/>
          <w:szCs w:val="32"/>
          <w:lang w:val="en-US" w:eastAsia="zh-CN"/>
        </w:rPr>
        <w:t>10858.67</w:t>
      </w:r>
      <w:r>
        <w:rPr>
          <w:rFonts w:hint="eastAsia" w:ascii="仿宋_GB2312" w:hAnsi="宋体" w:eastAsia="仿宋_GB2312"/>
          <w:sz w:val="32"/>
          <w:szCs w:val="32"/>
        </w:rPr>
        <w:t>万元，降低</w:t>
      </w:r>
      <w:r>
        <w:rPr>
          <w:rFonts w:hint="eastAsia" w:ascii="仿宋_GB2312" w:hAnsi="宋体" w:eastAsia="仿宋_GB2312"/>
          <w:sz w:val="32"/>
          <w:szCs w:val="32"/>
          <w:lang w:val="en-US" w:eastAsia="zh-CN"/>
        </w:rPr>
        <w:t>62</w:t>
      </w:r>
      <w:r>
        <w:rPr>
          <w:rFonts w:hint="eastAsia" w:ascii="仿宋_GB2312" w:hAnsi="宋体" w:eastAsia="仿宋_GB2312"/>
          <w:sz w:val="32"/>
          <w:szCs w:val="32"/>
        </w:rPr>
        <w:t>%，主要原因：</w:t>
      </w:r>
      <w:r>
        <w:rPr>
          <w:rFonts w:hint="eastAsia" w:ascii="仿宋_GB2312" w:hAnsi="宋体" w:eastAsia="仿宋_GB2312"/>
          <w:sz w:val="32"/>
          <w:szCs w:val="32"/>
          <w:lang w:val="en-US" w:eastAsia="zh-CN"/>
        </w:rPr>
        <w:t>项目资金减少</w:t>
      </w:r>
      <w:r>
        <w:rPr>
          <w:rFonts w:hint="eastAsia" w:ascii="仿宋_GB2312" w:hAnsi="宋体" w:eastAsia="仿宋_GB2312"/>
          <w:sz w:val="32"/>
          <w:szCs w:val="32"/>
        </w:rPr>
        <w:t>。</w:t>
      </w:r>
    </w:p>
    <w:p>
      <w:pPr>
        <w:spacing w:line="540" w:lineRule="exact"/>
        <w:ind w:firstLine="660"/>
        <w:rPr>
          <w:rFonts w:hint="eastAsia" w:ascii="楷体_GB2312" w:hAnsi="宋体" w:eastAsia="楷体_GB2312"/>
          <w:b/>
          <w:sz w:val="32"/>
          <w:szCs w:val="32"/>
        </w:rPr>
      </w:pPr>
      <w:r>
        <w:rPr>
          <w:rFonts w:hint="eastAsia" w:ascii="楷体_GB2312" w:hAnsi="宋体" w:eastAsia="楷体_GB2312"/>
          <w:b/>
          <w:sz w:val="32"/>
          <w:szCs w:val="32"/>
        </w:rPr>
        <w:t>（二）支出总计</w:t>
      </w:r>
      <w:r>
        <w:rPr>
          <w:rFonts w:hint="eastAsia" w:ascii="楷体_GB2312" w:hAnsi="宋体" w:eastAsia="楷体_GB2312"/>
          <w:b/>
          <w:sz w:val="32"/>
          <w:szCs w:val="32"/>
          <w:lang w:val="en-US" w:eastAsia="zh-CN"/>
        </w:rPr>
        <w:t>6387.35</w:t>
      </w:r>
      <w:r>
        <w:rPr>
          <w:rFonts w:hint="eastAsia" w:ascii="楷体_GB2312" w:hAnsi="宋体" w:eastAsia="楷体_GB2312"/>
          <w:b/>
          <w:sz w:val="32"/>
          <w:szCs w:val="32"/>
        </w:rPr>
        <w:t>万元，包括：</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1.基本支出</w:t>
      </w:r>
      <w:r>
        <w:rPr>
          <w:rFonts w:hint="eastAsia" w:ascii="仿宋_GB2312" w:hAnsi="宋体" w:eastAsia="仿宋_GB2312"/>
          <w:sz w:val="32"/>
          <w:szCs w:val="32"/>
          <w:lang w:val="en-US" w:eastAsia="zh-CN"/>
        </w:rPr>
        <w:t>1578.58</w:t>
      </w:r>
      <w:r>
        <w:rPr>
          <w:rFonts w:hint="eastAsia" w:ascii="仿宋_GB2312" w:hAnsi="宋体" w:eastAsia="仿宋_GB2312"/>
          <w:sz w:val="32"/>
          <w:szCs w:val="32"/>
        </w:rPr>
        <w:t>万元，占支出总计的</w:t>
      </w:r>
      <w:r>
        <w:rPr>
          <w:rFonts w:hint="eastAsia" w:ascii="仿宋_GB2312" w:hAnsi="宋体" w:eastAsia="仿宋_GB2312"/>
          <w:sz w:val="32"/>
          <w:szCs w:val="32"/>
          <w:lang w:val="en-US" w:eastAsia="zh-CN"/>
        </w:rPr>
        <w:t>25</w:t>
      </w:r>
      <w:r>
        <w:rPr>
          <w:rFonts w:hint="eastAsia" w:ascii="仿宋_GB2312" w:hAnsi="宋体" w:eastAsia="仿宋_GB2312"/>
          <w:sz w:val="32"/>
          <w:szCs w:val="32"/>
        </w:rPr>
        <w:t>%。主要是为保障机构正常运转、完成日常工作任务而发生的各项支出，其中：工资福利支出</w:t>
      </w:r>
      <w:r>
        <w:rPr>
          <w:rFonts w:hint="eastAsia" w:ascii="仿宋_GB2312" w:hAnsi="宋体" w:eastAsia="仿宋_GB2312"/>
          <w:sz w:val="32"/>
          <w:szCs w:val="32"/>
          <w:lang w:val="en-US" w:eastAsia="zh-CN"/>
        </w:rPr>
        <w:t>1368.07</w:t>
      </w:r>
      <w:r>
        <w:rPr>
          <w:rFonts w:hint="eastAsia" w:ascii="仿宋_GB2312" w:hAnsi="宋体" w:eastAsia="仿宋_GB2312"/>
          <w:sz w:val="32"/>
          <w:szCs w:val="32"/>
        </w:rPr>
        <w:t>万元，对个人和家庭的补助支出</w:t>
      </w:r>
      <w:r>
        <w:rPr>
          <w:rFonts w:hint="eastAsia" w:ascii="仿宋_GB2312" w:hAnsi="宋体" w:eastAsia="仿宋_GB2312"/>
          <w:sz w:val="32"/>
          <w:szCs w:val="32"/>
          <w:lang w:val="en-US" w:eastAsia="zh-CN"/>
        </w:rPr>
        <w:t>24.55</w:t>
      </w:r>
      <w:r>
        <w:rPr>
          <w:rFonts w:hint="eastAsia" w:ascii="仿宋_GB2312" w:hAnsi="宋体" w:eastAsia="仿宋_GB2312"/>
          <w:sz w:val="32"/>
          <w:szCs w:val="32"/>
        </w:rPr>
        <w:t>万元，商品和服务支出</w:t>
      </w:r>
      <w:r>
        <w:rPr>
          <w:rFonts w:hint="eastAsia" w:ascii="仿宋_GB2312" w:hAnsi="宋体" w:eastAsia="仿宋_GB2312"/>
          <w:sz w:val="32"/>
          <w:szCs w:val="32"/>
          <w:lang w:val="en-US" w:eastAsia="zh-CN"/>
        </w:rPr>
        <w:t>185.96</w:t>
      </w:r>
      <w:r>
        <w:rPr>
          <w:rFonts w:hint="eastAsia" w:ascii="仿宋_GB2312" w:hAnsi="宋体" w:eastAsia="仿宋_GB2312"/>
          <w:sz w:val="32"/>
          <w:szCs w:val="32"/>
        </w:rPr>
        <w:t>万元。</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2.项目支出</w:t>
      </w:r>
      <w:r>
        <w:rPr>
          <w:rFonts w:hint="eastAsia" w:ascii="仿宋_GB2312" w:hAnsi="宋体" w:eastAsia="仿宋_GB2312"/>
          <w:sz w:val="32"/>
          <w:szCs w:val="32"/>
          <w:lang w:val="en-US" w:eastAsia="zh-CN"/>
        </w:rPr>
        <w:t>4808.77</w:t>
      </w:r>
      <w:r>
        <w:rPr>
          <w:rFonts w:hint="eastAsia" w:ascii="仿宋_GB2312" w:hAnsi="宋体" w:eastAsia="仿宋_GB2312"/>
          <w:sz w:val="32"/>
          <w:szCs w:val="32"/>
        </w:rPr>
        <w:t>万元，占支出总计的</w:t>
      </w:r>
      <w:r>
        <w:rPr>
          <w:rFonts w:hint="eastAsia" w:ascii="仿宋_GB2312" w:hAnsi="宋体" w:eastAsia="仿宋_GB2312"/>
          <w:sz w:val="32"/>
          <w:szCs w:val="32"/>
          <w:lang w:val="en-US" w:eastAsia="zh-CN"/>
        </w:rPr>
        <w:t>75</w:t>
      </w:r>
      <w:r>
        <w:rPr>
          <w:rFonts w:hint="eastAsia" w:ascii="仿宋_GB2312" w:hAnsi="宋体" w:eastAsia="仿宋_GB2312"/>
          <w:sz w:val="32"/>
          <w:szCs w:val="32"/>
        </w:rPr>
        <w:t>%。主要包括</w:t>
      </w:r>
      <w:r>
        <w:rPr>
          <w:rFonts w:hint="eastAsia" w:ascii="仿宋_GB2312" w:hAnsi="宋体" w:eastAsia="仿宋_GB2312"/>
          <w:sz w:val="32"/>
          <w:szCs w:val="32"/>
          <w:lang w:val="en-US" w:eastAsia="zh-CN"/>
        </w:rPr>
        <w:t>农林水</w:t>
      </w:r>
      <w:r>
        <w:rPr>
          <w:rFonts w:hint="eastAsia" w:ascii="仿宋_GB2312" w:hAnsi="宋体" w:eastAsia="仿宋_GB2312"/>
          <w:sz w:val="32"/>
          <w:szCs w:val="32"/>
        </w:rPr>
        <w:t>等业务支出。</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3.上缴上级支出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万元，占支出总计的</w:t>
      </w:r>
      <w:r>
        <w:rPr>
          <w:rFonts w:hint="eastAsia" w:ascii="仿宋_GB2312" w:hAnsi="宋体" w:eastAsia="仿宋_GB2312"/>
          <w:sz w:val="32"/>
          <w:szCs w:val="32"/>
          <w:lang w:val="en-US" w:eastAsia="zh-CN"/>
        </w:rPr>
        <w:t>0</w:t>
      </w:r>
      <w:r>
        <w:rPr>
          <w:rFonts w:hint="eastAsia" w:ascii="仿宋_GB2312" w:hAnsi="宋体" w:eastAsia="仿宋_GB2312"/>
          <w:sz w:val="32"/>
          <w:szCs w:val="32"/>
        </w:rPr>
        <w:t>%。主要包括</w:t>
      </w:r>
      <w:r>
        <w:rPr>
          <w:rFonts w:hint="eastAsia" w:ascii="仿宋_GB2312" w:hAnsi="宋体" w:eastAsia="仿宋_GB2312"/>
          <w:sz w:val="32"/>
          <w:szCs w:val="32"/>
          <w:lang w:val="en-US" w:eastAsia="zh-CN"/>
        </w:rPr>
        <w:t>0</w:t>
      </w:r>
      <w:r>
        <w:rPr>
          <w:rFonts w:hint="eastAsia" w:ascii="仿宋_GB2312" w:hAnsi="宋体" w:eastAsia="仿宋_GB2312"/>
          <w:sz w:val="32"/>
          <w:szCs w:val="32"/>
        </w:rPr>
        <w:t>等业务支出。</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4.经营支出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万元，占支出总计的</w:t>
      </w:r>
      <w:r>
        <w:rPr>
          <w:rFonts w:hint="eastAsia" w:ascii="仿宋_GB2312" w:hAnsi="宋体" w:eastAsia="仿宋_GB2312"/>
          <w:sz w:val="32"/>
          <w:szCs w:val="32"/>
          <w:lang w:val="en-US" w:eastAsia="zh-CN"/>
        </w:rPr>
        <w:t>0</w:t>
      </w:r>
      <w:r>
        <w:rPr>
          <w:rFonts w:hint="eastAsia" w:ascii="仿宋_GB2312" w:hAnsi="宋体" w:eastAsia="仿宋_GB2312"/>
          <w:sz w:val="32"/>
          <w:szCs w:val="32"/>
        </w:rPr>
        <w:t>%。主要包括</w:t>
      </w:r>
      <w:r>
        <w:rPr>
          <w:rFonts w:hint="eastAsia" w:ascii="仿宋_GB2312" w:hAnsi="宋体" w:eastAsia="仿宋_GB2312"/>
          <w:sz w:val="32"/>
          <w:szCs w:val="32"/>
          <w:lang w:val="en-US" w:eastAsia="zh-CN"/>
        </w:rPr>
        <w:t>0</w:t>
      </w:r>
      <w:r>
        <w:rPr>
          <w:rFonts w:hint="eastAsia" w:ascii="仿宋_GB2312" w:hAnsi="宋体" w:eastAsia="仿宋_GB2312"/>
          <w:sz w:val="32"/>
          <w:szCs w:val="32"/>
        </w:rPr>
        <w:t>等业务支出。</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5.对附属单位补助支出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万元，占支出总计的</w:t>
      </w:r>
      <w:r>
        <w:rPr>
          <w:rFonts w:hint="eastAsia" w:ascii="仿宋_GB2312" w:hAnsi="宋体" w:eastAsia="仿宋_GB2312"/>
          <w:sz w:val="32"/>
          <w:szCs w:val="32"/>
          <w:lang w:val="en-US" w:eastAsia="zh-CN"/>
        </w:rPr>
        <w:t>0</w:t>
      </w:r>
      <w:r>
        <w:rPr>
          <w:rFonts w:hint="eastAsia" w:ascii="仿宋_GB2312" w:hAnsi="宋体" w:eastAsia="仿宋_GB2312"/>
          <w:sz w:val="32"/>
          <w:szCs w:val="32"/>
        </w:rPr>
        <w:t>%。主要包括</w:t>
      </w:r>
      <w:r>
        <w:rPr>
          <w:rFonts w:hint="eastAsia" w:ascii="仿宋_GB2312" w:hAnsi="宋体" w:eastAsia="仿宋_GB2312"/>
          <w:sz w:val="32"/>
          <w:szCs w:val="32"/>
          <w:lang w:val="en-US" w:eastAsia="zh-CN"/>
        </w:rPr>
        <w:t>0</w:t>
      </w:r>
      <w:r>
        <w:rPr>
          <w:rFonts w:hint="eastAsia" w:ascii="仿宋_GB2312" w:hAnsi="宋体" w:eastAsia="仿宋_GB2312"/>
          <w:sz w:val="32"/>
          <w:szCs w:val="32"/>
        </w:rPr>
        <w:t>等业务支出。</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与上年相比，今年支出增加</w:t>
      </w:r>
      <w:r>
        <w:rPr>
          <w:rFonts w:hint="eastAsia" w:ascii="仿宋_GB2312" w:hAnsi="宋体" w:eastAsia="仿宋_GB2312"/>
          <w:sz w:val="32"/>
          <w:szCs w:val="32"/>
          <w:lang w:val="en-US" w:eastAsia="zh-CN"/>
        </w:rPr>
        <w:t>2603.32</w:t>
      </w:r>
      <w:r>
        <w:rPr>
          <w:rFonts w:hint="eastAsia" w:ascii="仿宋_GB2312" w:hAnsi="宋体" w:eastAsia="仿宋_GB2312"/>
          <w:sz w:val="32"/>
          <w:szCs w:val="32"/>
        </w:rPr>
        <w:t>万元，增长</w:t>
      </w:r>
      <w:r>
        <w:rPr>
          <w:rFonts w:hint="eastAsia" w:ascii="仿宋_GB2312" w:hAnsi="宋体" w:eastAsia="仿宋_GB2312"/>
          <w:sz w:val="32"/>
          <w:szCs w:val="32"/>
          <w:lang w:val="en-US" w:eastAsia="zh-CN"/>
        </w:rPr>
        <w:t>168</w:t>
      </w:r>
      <w:r>
        <w:rPr>
          <w:rFonts w:hint="eastAsia" w:ascii="仿宋_GB2312" w:hAnsi="宋体" w:eastAsia="仿宋_GB2312"/>
          <w:sz w:val="32"/>
          <w:szCs w:val="32"/>
        </w:rPr>
        <w:t>%，主要原因：</w:t>
      </w:r>
      <w:r>
        <w:rPr>
          <w:rFonts w:hint="eastAsia" w:ascii="仿宋" w:hAnsi="仿宋" w:eastAsia="仿宋"/>
          <w:sz w:val="32"/>
          <w:szCs w:val="32"/>
        </w:rPr>
        <w:t>一是</w:t>
      </w:r>
      <w:r>
        <w:rPr>
          <w:rFonts w:hint="eastAsia" w:ascii="仿宋" w:hAnsi="仿宋" w:eastAsia="仿宋"/>
          <w:sz w:val="32"/>
          <w:szCs w:val="32"/>
          <w:lang w:val="en-US" w:eastAsia="zh-CN"/>
        </w:rPr>
        <w:t>基本支出增加</w:t>
      </w:r>
      <w:r>
        <w:rPr>
          <w:rFonts w:hint="eastAsia" w:ascii="仿宋" w:hAnsi="仿宋" w:eastAsia="仿宋"/>
          <w:sz w:val="32"/>
          <w:szCs w:val="32"/>
        </w:rPr>
        <w:t>；二是</w:t>
      </w:r>
      <w:r>
        <w:rPr>
          <w:rFonts w:hint="eastAsia" w:ascii="仿宋" w:hAnsi="仿宋" w:eastAsia="仿宋"/>
          <w:sz w:val="32"/>
          <w:szCs w:val="32"/>
          <w:lang w:val="en-US" w:eastAsia="zh-CN"/>
        </w:rPr>
        <w:t>项目支出增加</w:t>
      </w:r>
      <w:r>
        <w:rPr>
          <w:rFonts w:hint="eastAsia" w:ascii="仿宋_GB2312" w:hAnsi="宋体" w:eastAsia="仿宋_GB2312"/>
          <w:sz w:val="32"/>
          <w:szCs w:val="32"/>
        </w:rPr>
        <w:t>。</w:t>
      </w:r>
    </w:p>
    <w:p>
      <w:pPr>
        <w:spacing w:line="540" w:lineRule="exact"/>
        <w:ind w:firstLine="660"/>
        <w:rPr>
          <w:rFonts w:hint="eastAsia" w:ascii="楷体_GB2312" w:hAnsi="宋体" w:eastAsia="楷体_GB2312"/>
          <w:b/>
          <w:sz w:val="32"/>
          <w:szCs w:val="32"/>
        </w:rPr>
      </w:pPr>
      <w:r>
        <w:rPr>
          <w:rFonts w:hint="eastAsia" w:ascii="楷体_GB2312" w:hAnsi="宋体" w:eastAsia="楷体_GB2312"/>
          <w:b/>
          <w:sz w:val="32"/>
          <w:szCs w:val="32"/>
        </w:rPr>
        <w:t>（三）年末结转和结余</w:t>
      </w:r>
      <w:r>
        <w:rPr>
          <w:rFonts w:hint="eastAsia" w:ascii="楷体_GB2312" w:hAnsi="宋体" w:eastAsia="楷体_GB2312"/>
          <w:b/>
          <w:sz w:val="32"/>
          <w:szCs w:val="32"/>
          <w:lang w:val="en-US" w:eastAsia="zh-CN"/>
        </w:rPr>
        <w:t>250</w:t>
      </w:r>
      <w:r>
        <w:rPr>
          <w:rFonts w:hint="eastAsia" w:ascii="楷体_GB2312" w:hAnsi="宋体" w:eastAsia="楷体_GB2312"/>
          <w:b/>
          <w:sz w:val="32"/>
          <w:szCs w:val="32"/>
        </w:rPr>
        <w:t>万元。</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主要是</w:t>
      </w:r>
      <w:r>
        <w:rPr>
          <w:rFonts w:hint="eastAsia" w:ascii="仿宋_GB2312" w:hAnsi="宋体" w:eastAsia="仿宋_GB2312"/>
          <w:sz w:val="32"/>
          <w:szCs w:val="32"/>
          <w:lang w:val="en-US" w:eastAsia="zh-CN"/>
        </w:rPr>
        <w:t>项目资金未拨付</w:t>
      </w:r>
      <w:r>
        <w:rPr>
          <w:rFonts w:hint="eastAsia" w:ascii="仿宋_GB2312" w:hAnsi="宋体" w:eastAsia="仿宋_GB2312"/>
          <w:sz w:val="32"/>
          <w:szCs w:val="32"/>
        </w:rPr>
        <w:t>等原因形成的结余。与上年相比，今年结转结余增加减少</w:t>
      </w:r>
      <w:r>
        <w:rPr>
          <w:rFonts w:hint="eastAsia" w:ascii="仿宋_GB2312" w:hAnsi="宋体" w:eastAsia="仿宋_GB2312"/>
          <w:sz w:val="32"/>
          <w:szCs w:val="32"/>
          <w:lang w:val="en-US" w:eastAsia="zh-CN"/>
        </w:rPr>
        <w:t>13462</w:t>
      </w:r>
      <w:r>
        <w:rPr>
          <w:rFonts w:hint="eastAsia" w:ascii="仿宋_GB2312" w:hAnsi="宋体" w:eastAsia="仿宋_GB2312"/>
          <w:sz w:val="32"/>
          <w:szCs w:val="32"/>
        </w:rPr>
        <w:t>万元，降低</w:t>
      </w:r>
      <w:r>
        <w:rPr>
          <w:rFonts w:hint="eastAsia" w:ascii="仿宋_GB2312" w:hAnsi="宋体" w:eastAsia="仿宋_GB2312"/>
          <w:sz w:val="32"/>
          <w:szCs w:val="32"/>
          <w:lang w:val="en-US" w:eastAsia="zh-CN"/>
        </w:rPr>
        <w:t>98</w:t>
      </w:r>
      <w:r>
        <w:rPr>
          <w:rFonts w:hint="eastAsia" w:ascii="仿宋_GB2312" w:hAnsi="宋体" w:eastAsia="仿宋_GB2312"/>
          <w:sz w:val="32"/>
          <w:szCs w:val="32"/>
        </w:rPr>
        <w:t>%，主要原因：</w:t>
      </w:r>
      <w:r>
        <w:rPr>
          <w:rFonts w:hint="eastAsia" w:ascii="仿宋_GB2312" w:hAnsi="宋体" w:eastAsia="仿宋_GB2312"/>
          <w:sz w:val="32"/>
          <w:szCs w:val="32"/>
          <w:lang w:val="en-US" w:eastAsia="zh-CN"/>
        </w:rPr>
        <w:t>项目资金减少</w:t>
      </w:r>
      <w:r>
        <w:rPr>
          <w:rFonts w:hint="eastAsia" w:ascii="仿宋_GB2312" w:hAnsi="宋体" w:eastAsia="仿宋_GB2312"/>
          <w:sz w:val="32"/>
          <w:szCs w:val="32"/>
        </w:rPr>
        <w:t>。</w:t>
      </w:r>
    </w:p>
    <w:p>
      <w:pPr>
        <w:spacing w:line="540" w:lineRule="exact"/>
        <w:ind w:firstLine="660"/>
        <w:rPr>
          <w:rFonts w:hint="eastAsia" w:ascii="黑体" w:hAnsi="黑体" w:eastAsia="黑体"/>
          <w:sz w:val="32"/>
          <w:szCs w:val="32"/>
          <w:lang w:eastAsia="zh-CN"/>
        </w:rPr>
      </w:pPr>
      <w:r>
        <w:rPr>
          <w:rFonts w:hint="eastAsia" w:ascii="黑体" w:hAnsi="黑体" w:eastAsia="黑体"/>
          <w:sz w:val="32"/>
          <w:szCs w:val="32"/>
        </w:rPr>
        <w:t>二、财政拨款支出决算情况</w:t>
      </w:r>
      <w:r>
        <w:rPr>
          <w:rFonts w:hint="eastAsia" w:ascii="黑体" w:hAnsi="黑体" w:eastAsia="黑体"/>
          <w:sz w:val="32"/>
          <w:szCs w:val="32"/>
          <w:lang w:eastAsia="zh-CN"/>
        </w:rPr>
        <w:t>说明</w:t>
      </w:r>
    </w:p>
    <w:p>
      <w:pPr>
        <w:spacing w:line="540" w:lineRule="exact"/>
        <w:ind w:firstLine="660"/>
        <w:rPr>
          <w:rFonts w:hint="eastAsia" w:ascii="楷体_GB2312" w:hAnsi="宋体" w:eastAsia="楷体_GB2312"/>
          <w:b/>
          <w:sz w:val="32"/>
          <w:szCs w:val="32"/>
        </w:rPr>
      </w:pPr>
      <w:r>
        <w:rPr>
          <w:rFonts w:hint="eastAsia" w:ascii="楷体_GB2312" w:hAnsi="宋体" w:eastAsia="楷体_GB2312"/>
          <w:b/>
          <w:sz w:val="32"/>
          <w:szCs w:val="32"/>
        </w:rPr>
        <w:t>（一）总体情况。</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lang w:eastAsia="zh-CN"/>
        </w:rPr>
        <w:t>2021</w:t>
      </w:r>
      <w:r>
        <w:rPr>
          <w:rFonts w:hint="eastAsia" w:ascii="仿宋_GB2312" w:hAnsi="宋体" w:eastAsia="仿宋_GB2312"/>
          <w:sz w:val="32"/>
          <w:szCs w:val="32"/>
        </w:rPr>
        <w:t>年度财政拨款支出</w:t>
      </w:r>
      <w:r>
        <w:rPr>
          <w:rFonts w:hint="eastAsia" w:ascii="仿宋_GB2312" w:hAnsi="宋体" w:eastAsia="仿宋_GB2312"/>
          <w:sz w:val="32"/>
          <w:szCs w:val="32"/>
          <w:lang w:val="en-US" w:eastAsia="zh-CN"/>
        </w:rPr>
        <w:t>6387.35</w:t>
      </w:r>
      <w:r>
        <w:rPr>
          <w:rFonts w:hint="eastAsia" w:ascii="仿宋_GB2312" w:hAnsi="宋体" w:eastAsia="仿宋_GB2312"/>
          <w:sz w:val="32"/>
          <w:szCs w:val="32"/>
        </w:rPr>
        <w:t>万元，其中：基本支出</w:t>
      </w:r>
      <w:r>
        <w:rPr>
          <w:rFonts w:hint="eastAsia" w:ascii="仿宋_GB2312" w:hAnsi="宋体" w:eastAsia="仿宋_GB2312"/>
          <w:sz w:val="32"/>
          <w:szCs w:val="32"/>
          <w:lang w:val="en-US" w:eastAsia="zh-CN"/>
        </w:rPr>
        <w:t>1578.58</w:t>
      </w:r>
      <w:r>
        <w:rPr>
          <w:rFonts w:hint="eastAsia" w:ascii="仿宋_GB2312" w:hAnsi="宋体" w:eastAsia="仿宋_GB2312"/>
          <w:sz w:val="32"/>
          <w:szCs w:val="32"/>
        </w:rPr>
        <w:t>万元，项目支出</w:t>
      </w:r>
      <w:r>
        <w:rPr>
          <w:rFonts w:hint="eastAsia" w:ascii="仿宋_GB2312" w:hAnsi="宋体" w:eastAsia="仿宋_GB2312"/>
          <w:sz w:val="32"/>
          <w:szCs w:val="32"/>
          <w:lang w:val="en-US" w:eastAsia="zh-CN"/>
        </w:rPr>
        <w:t>4808.58</w:t>
      </w:r>
      <w:r>
        <w:rPr>
          <w:rFonts w:hint="eastAsia" w:ascii="仿宋_GB2312" w:hAnsi="宋体" w:eastAsia="仿宋_GB2312"/>
          <w:sz w:val="32"/>
          <w:szCs w:val="32"/>
        </w:rPr>
        <w:t>万元。与</w:t>
      </w:r>
      <w:r>
        <w:rPr>
          <w:rFonts w:ascii="仿宋_GB2312" w:hAnsi="宋体" w:eastAsia="仿宋_GB2312"/>
          <w:sz w:val="32"/>
          <w:szCs w:val="32"/>
        </w:rPr>
        <w:t>上年相比，</w:t>
      </w:r>
      <w:r>
        <w:rPr>
          <w:rFonts w:hint="eastAsia" w:ascii="仿宋_GB2312" w:hAnsi="宋体" w:eastAsia="仿宋_GB2312"/>
          <w:sz w:val="32"/>
          <w:szCs w:val="32"/>
        </w:rPr>
        <w:t>财政拨款支出增加</w:t>
      </w:r>
      <w:r>
        <w:rPr>
          <w:rFonts w:hint="eastAsia" w:ascii="仿宋_GB2312" w:hAnsi="宋体" w:eastAsia="仿宋_GB2312"/>
          <w:sz w:val="32"/>
          <w:szCs w:val="32"/>
          <w:lang w:val="en-US" w:eastAsia="zh-CN"/>
        </w:rPr>
        <w:t>2603.32</w:t>
      </w:r>
      <w:r>
        <w:rPr>
          <w:rFonts w:hint="eastAsia" w:ascii="仿宋_GB2312" w:hAnsi="宋体" w:eastAsia="仿宋_GB2312"/>
          <w:sz w:val="32"/>
          <w:szCs w:val="32"/>
        </w:rPr>
        <w:t>万元，增长</w:t>
      </w:r>
      <w:r>
        <w:rPr>
          <w:rFonts w:hint="eastAsia" w:ascii="仿宋_GB2312" w:hAnsi="宋体" w:eastAsia="仿宋_GB2312"/>
          <w:sz w:val="32"/>
          <w:szCs w:val="32"/>
          <w:lang w:val="en-US" w:eastAsia="zh-CN"/>
        </w:rPr>
        <w:t>68</w:t>
      </w:r>
      <w:r>
        <w:rPr>
          <w:rFonts w:hint="eastAsia" w:ascii="仿宋_GB2312" w:hAnsi="宋体" w:eastAsia="仿宋_GB2312"/>
          <w:sz w:val="32"/>
          <w:szCs w:val="32"/>
        </w:rPr>
        <w:t>%，主要原因：</w:t>
      </w:r>
      <w:r>
        <w:rPr>
          <w:rFonts w:hint="eastAsia" w:ascii="仿宋" w:hAnsi="仿宋" w:eastAsia="仿宋"/>
          <w:sz w:val="32"/>
          <w:szCs w:val="32"/>
        </w:rPr>
        <w:t>一是</w:t>
      </w:r>
      <w:r>
        <w:rPr>
          <w:rFonts w:hint="eastAsia" w:ascii="仿宋" w:hAnsi="仿宋" w:eastAsia="仿宋"/>
          <w:sz w:val="32"/>
          <w:szCs w:val="32"/>
          <w:lang w:val="en-US" w:eastAsia="zh-CN"/>
        </w:rPr>
        <w:t>基本支出增加</w:t>
      </w:r>
      <w:r>
        <w:rPr>
          <w:rFonts w:hint="eastAsia" w:ascii="仿宋" w:hAnsi="仿宋" w:eastAsia="仿宋"/>
          <w:sz w:val="32"/>
          <w:szCs w:val="32"/>
        </w:rPr>
        <w:t>；二是</w:t>
      </w:r>
      <w:r>
        <w:rPr>
          <w:rFonts w:hint="eastAsia" w:ascii="仿宋" w:hAnsi="仿宋" w:eastAsia="仿宋"/>
          <w:sz w:val="32"/>
          <w:szCs w:val="32"/>
          <w:lang w:val="en-US" w:eastAsia="zh-CN"/>
        </w:rPr>
        <w:t>项目支出增加</w:t>
      </w:r>
      <w:r>
        <w:rPr>
          <w:rFonts w:hint="eastAsia" w:ascii="仿宋_GB2312" w:hAnsi="宋体" w:eastAsia="仿宋_GB2312"/>
          <w:sz w:val="32"/>
          <w:szCs w:val="32"/>
        </w:rPr>
        <w:t>。与年初预算相比，</w:t>
      </w:r>
      <w:r>
        <w:rPr>
          <w:rFonts w:hint="eastAsia" w:ascii="仿宋_GB2312" w:hAnsi="宋体" w:eastAsia="仿宋_GB2312"/>
          <w:sz w:val="32"/>
          <w:szCs w:val="32"/>
          <w:lang w:eastAsia="zh-CN"/>
        </w:rPr>
        <w:t>2021</w:t>
      </w:r>
      <w:r>
        <w:rPr>
          <w:rFonts w:hint="eastAsia" w:ascii="仿宋_GB2312" w:hAnsi="宋体" w:eastAsia="仿宋_GB2312"/>
          <w:sz w:val="32"/>
          <w:szCs w:val="32"/>
          <w:lang w:val="en-US" w:eastAsia="zh-CN"/>
        </w:rPr>
        <w:t>年度</w:t>
      </w:r>
      <w:r>
        <w:rPr>
          <w:rFonts w:hint="eastAsia" w:ascii="仿宋_GB2312" w:hAnsi="宋体" w:eastAsia="仿宋_GB2312"/>
          <w:sz w:val="32"/>
          <w:szCs w:val="32"/>
        </w:rPr>
        <w:t>财政拨款支出完成年初预算的</w:t>
      </w:r>
      <w:r>
        <w:rPr>
          <w:rFonts w:hint="eastAsia" w:ascii="仿宋_GB2312" w:hAnsi="宋体" w:eastAsia="仿宋_GB2312"/>
          <w:sz w:val="32"/>
          <w:szCs w:val="32"/>
          <w:lang w:val="en-US" w:eastAsia="zh-CN"/>
        </w:rPr>
        <w:t>67</w:t>
      </w:r>
      <w:r>
        <w:rPr>
          <w:rFonts w:hint="eastAsia" w:ascii="仿宋_GB2312" w:hAnsi="宋体" w:eastAsia="仿宋_GB2312"/>
          <w:sz w:val="32"/>
          <w:szCs w:val="32"/>
        </w:rPr>
        <w:t>%，其中：基本支出完成年初预算的</w:t>
      </w:r>
      <w:r>
        <w:rPr>
          <w:rFonts w:hint="eastAsia" w:ascii="仿宋_GB2312" w:hAnsi="宋体" w:eastAsia="仿宋_GB2312"/>
          <w:sz w:val="32"/>
          <w:szCs w:val="32"/>
          <w:lang w:val="en-US" w:eastAsia="zh-CN"/>
        </w:rPr>
        <w:t>91</w:t>
      </w:r>
      <w:r>
        <w:rPr>
          <w:rFonts w:hint="eastAsia" w:ascii="仿宋_GB2312" w:hAnsi="宋体" w:eastAsia="仿宋_GB2312"/>
          <w:sz w:val="32"/>
          <w:szCs w:val="32"/>
        </w:rPr>
        <w:t>%，项目完成年初预算的</w:t>
      </w:r>
      <w:r>
        <w:rPr>
          <w:rFonts w:hint="eastAsia" w:ascii="仿宋_GB2312" w:hAnsi="宋体" w:eastAsia="仿宋_GB2312"/>
          <w:sz w:val="32"/>
          <w:szCs w:val="32"/>
          <w:lang w:val="en-US" w:eastAsia="zh-CN"/>
        </w:rPr>
        <w:t>31</w:t>
      </w:r>
      <w:r>
        <w:rPr>
          <w:rFonts w:hint="eastAsia" w:ascii="仿宋_GB2312" w:hAnsi="宋体" w:eastAsia="仿宋_GB2312"/>
          <w:sz w:val="32"/>
          <w:szCs w:val="32"/>
        </w:rPr>
        <w:t>%。</w:t>
      </w:r>
    </w:p>
    <w:p>
      <w:pPr>
        <w:spacing w:line="540" w:lineRule="exact"/>
        <w:ind w:firstLine="660"/>
        <w:rPr>
          <w:rFonts w:hint="eastAsia" w:ascii="楷体_GB2312" w:hAnsi="宋体" w:eastAsia="楷体_GB2312"/>
          <w:b/>
          <w:sz w:val="32"/>
          <w:szCs w:val="32"/>
        </w:rPr>
      </w:pPr>
      <w:r>
        <w:rPr>
          <w:rFonts w:hint="eastAsia" w:ascii="楷体_GB2312" w:hAnsi="宋体" w:eastAsia="楷体_GB2312"/>
          <w:b/>
          <w:sz w:val="32"/>
          <w:szCs w:val="32"/>
        </w:rPr>
        <w:t>（二）</w:t>
      </w:r>
      <w:r>
        <w:rPr>
          <w:rFonts w:hint="eastAsia" w:ascii="楷体_GB2312" w:hAnsi="宋体" w:eastAsia="楷体_GB2312"/>
          <w:b/>
          <w:sz w:val="32"/>
          <w:szCs w:val="32"/>
          <w:lang w:val="en-US" w:eastAsia="zh-CN"/>
        </w:rPr>
        <w:t>一般公共预算财政拨款支出</w:t>
      </w:r>
      <w:r>
        <w:rPr>
          <w:rFonts w:hint="eastAsia" w:ascii="楷体_GB2312" w:hAnsi="宋体" w:eastAsia="楷体_GB2312"/>
          <w:b/>
          <w:sz w:val="32"/>
          <w:szCs w:val="32"/>
        </w:rPr>
        <w:t>情况。</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lang w:eastAsia="zh-CN"/>
        </w:rPr>
        <w:t>2021</w:t>
      </w:r>
      <w:r>
        <w:rPr>
          <w:rFonts w:hint="eastAsia" w:ascii="仿宋_GB2312" w:hAnsi="宋体" w:eastAsia="仿宋_GB2312"/>
          <w:sz w:val="32"/>
          <w:szCs w:val="32"/>
        </w:rPr>
        <w:t>年度一般公共预算财政拨款支出</w:t>
      </w:r>
      <w:r>
        <w:rPr>
          <w:rFonts w:hint="eastAsia" w:ascii="仿宋_GB2312" w:hAnsi="宋体" w:eastAsia="仿宋_GB2312"/>
          <w:sz w:val="32"/>
          <w:szCs w:val="32"/>
          <w:lang w:val="en-US" w:eastAsia="zh-CN"/>
        </w:rPr>
        <w:t>6387.35</w:t>
      </w:r>
      <w:r>
        <w:rPr>
          <w:rFonts w:hint="eastAsia" w:ascii="仿宋_GB2312" w:hAnsi="宋体" w:eastAsia="仿宋_GB2312"/>
          <w:sz w:val="32"/>
          <w:szCs w:val="32"/>
        </w:rPr>
        <w:t>万元，按支出功能分类科目分，包括：</w:t>
      </w:r>
      <w:r>
        <w:rPr>
          <w:rFonts w:hint="eastAsia" w:ascii="仿宋_GB2312" w:hAnsi="宋体" w:eastAsia="仿宋_GB2312"/>
          <w:sz w:val="32"/>
          <w:szCs w:val="32"/>
          <w:lang w:val="en-US" w:eastAsia="zh-CN"/>
        </w:rPr>
        <w:t>社会保障和就业支出539.26万元，占8.4%，卫生健康支出85.3万元，占1.3%，农林水支出5647.54万元，占88.4%，住房保障支出115.25万元，占1.8%。</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1.一般公共服务支出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万元，具体包括：</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（1）一般公共服务支出</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类）财政事务（款）</w:t>
      </w:r>
      <w:r>
        <w:rPr>
          <w:rFonts w:hint="eastAsia" w:ascii="仿宋_GB2312" w:hAnsi="宋体" w:eastAsia="仿宋_GB2312"/>
          <w:sz w:val="32"/>
          <w:szCs w:val="32"/>
        </w:rPr>
        <w:t>行政运行</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项）0</w:t>
      </w:r>
      <w:r>
        <w:rPr>
          <w:rFonts w:hint="eastAsia" w:ascii="仿宋_GB2312" w:hAnsi="宋体" w:eastAsia="仿宋_GB2312"/>
          <w:sz w:val="32"/>
          <w:szCs w:val="32"/>
        </w:rPr>
        <w:t>万元，主要是</w:t>
      </w:r>
      <w:r>
        <w:rPr>
          <w:rFonts w:hint="eastAsia" w:ascii="仿宋_GB2312" w:hAnsi="宋体" w:eastAsia="仿宋_GB2312"/>
          <w:sz w:val="32"/>
          <w:szCs w:val="32"/>
          <w:lang w:val="en-US" w:eastAsia="zh-CN"/>
        </w:rPr>
        <w:t>0</w:t>
      </w:r>
      <w:r>
        <w:rPr>
          <w:rFonts w:hint="eastAsia" w:ascii="仿宋_GB2312" w:hAnsi="宋体" w:eastAsia="仿宋_GB2312"/>
          <w:sz w:val="32"/>
          <w:szCs w:val="32"/>
        </w:rPr>
        <w:t>等支出，完成年初预算的</w:t>
      </w:r>
      <w:r>
        <w:rPr>
          <w:rFonts w:hint="eastAsia" w:ascii="仿宋_GB2312" w:hAnsi="宋体" w:eastAsia="仿宋_GB2312"/>
          <w:sz w:val="32"/>
          <w:szCs w:val="32"/>
          <w:lang w:val="en-US" w:eastAsia="zh-CN"/>
        </w:rPr>
        <w:t>0</w:t>
      </w:r>
      <w:r>
        <w:rPr>
          <w:rFonts w:hint="eastAsia" w:ascii="仿宋_GB2312" w:hAnsi="宋体" w:eastAsia="仿宋_GB2312"/>
          <w:sz w:val="32"/>
          <w:szCs w:val="32"/>
        </w:rPr>
        <w:t>%，决算数小于（大于）年初预算数的原因主要是</w:t>
      </w:r>
      <w:r>
        <w:rPr>
          <w:rFonts w:hint="eastAsia" w:ascii="仿宋_GB2312" w:hAnsi="宋体" w:eastAsia="仿宋_GB2312"/>
          <w:sz w:val="32"/>
          <w:szCs w:val="32"/>
          <w:lang w:val="en-US" w:eastAsia="zh-CN"/>
        </w:rPr>
        <w:t>0</w:t>
      </w:r>
      <w:r>
        <w:rPr>
          <w:rFonts w:hint="eastAsia" w:ascii="仿宋_GB2312" w:hAnsi="宋体" w:eastAsia="仿宋_GB2312"/>
          <w:sz w:val="32"/>
          <w:szCs w:val="32"/>
        </w:rPr>
        <w:t>。</w:t>
      </w:r>
    </w:p>
    <w:p>
      <w:pPr>
        <w:spacing w:line="540" w:lineRule="exact"/>
        <w:ind w:firstLine="660"/>
        <w:rPr>
          <w:rFonts w:hint="eastAsia" w:ascii="仿宋" w:hAnsi="仿宋" w:eastAsia="仿宋"/>
          <w:sz w:val="32"/>
          <w:szCs w:val="32"/>
        </w:rPr>
      </w:pPr>
      <w:r>
        <w:rPr>
          <w:rFonts w:hint="eastAsia" w:ascii="仿宋" w:hAnsi="仿宋" w:eastAsia="仿宋"/>
          <w:sz w:val="32"/>
          <w:szCs w:val="32"/>
        </w:rPr>
        <w:t>2.</w:t>
      </w:r>
      <w:r>
        <w:rPr>
          <w:rFonts w:hint="eastAsia" w:ascii="仿宋" w:hAnsi="仿宋" w:eastAsia="仿宋"/>
          <w:sz w:val="32"/>
          <w:szCs w:val="32"/>
          <w:lang w:val="en-US" w:eastAsia="zh-CN"/>
        </w:rPr>
        <w:t>社会保障和就业支出539.26万元，主要是养老支出、抚恤支出，完成年初预算的294%，</w:t>
      </w:r>
      <w:r>
        <w:rPr>
          <w:rFonts w:hint="eastAsia" w:ascii="仿宋" w:hAnsi="仿宋" w:eastAsia="仿宋"/>
          <w:sz w:val="32"/>
          <w:szCs w:val="32"/>
        </w:rPr>
        <w:t>决算数小于（大于）年初预算数的原因主要是行政事业单位养老支出</w:t>
      </w:r>
      <w:r>
        <w:rPr>
          <w:rFonts w:hint="eastAsia" w:ascii="仿宋" w:hAnsi="仿宋" w:eastAsia="仿宋"/>
          <w:sz w:val="32"/>
          <w:szCs w:val="32"/>
          <w:lang w:val="en-US" w:eastAsia="zh-CN"/>
        </w:rPr>
        <w:t>及移民基金增加</w:t>
      </w:r>
      <w:r>
        <w:rPr>
          <w:rFonts w:hint="eastAsia" w:ascii="仿宋" w:hAnsi="仿宋" w:eastAsia="仿宋"/>
          <w:sz w:val="32"/>
          <w:szCs w:val="32"/>
        </w:rPr>
        <w:t>。</w:t>
      </w:r>
    </w:p>
    <w:p>
      <w:pPr>
        <w:spacing w:line="540" w:lineRule="exact"/>
        <w:ind w:firstLine="660"/>
        <w:rPr>
          <w:rFonts w:hint="eastAsia" w:ascii="仿宋" w:hAnsi="仿宋" w:eastAsia="仿宋"/>
          <w:sz w:val="32"/>
          <w:szCs w:val="32"/>
          <w:lang w:val="en-US" w:eastAsia="zh-CN"/>
        </w:rPr>
      </w:pPr>
      <w:r>
        <w:rPr>
          <w:rFonts w:hint="eastAsia" w:ascii="仿宋" w:hAnsi="仿宋" w:eastAsia="仿宋"/>
          <w:sz w:val="32"/>
          <w:szCs w:val="32"/>
          <w:lang w:val="en-US" w:eastAsia="zh-CN"/>
        </w:rPr>
        <w:t>3.农林水支出5647.54万元，主要是农业农村和水利支出，完成年初预算的224%，</w:t>
      </w:r>
      <w:r>
        <w:rPr>
          <w:rFonts w:hint="eastAsia" w:ascii="仿宋" w:hAnsi="仿宋" w:eastAsia="仿宋"/>
          <w:sz w:val="32"/>
          <w:szCs w:val="32"/>
        </w:rPr>
        <w:t>决算数小于（大于）年初预算数的原因主要是</w:t>
      </w:r>
      <w:r>
        <w:rPr>
          <w:rFonts w:hint="eastAsia" w:ascii="仿宋" w:hAnsi="仿宋" w:eastAsia="仿宋"/>
          <w:sz w:val="32"/>
          <w:szCs w:val="32"/>
          <w:lang w:val="en-US" w:eastAsia="zh-CN"/>
        </w:rPr>
        <w:t>项目支出增加。</w:t>
      </w:r>
    </w:p>
    <w:p>
      <w:pPr>
        <w:spacing w:line="540" w:lineRule="exact"/>
        <w:ind w:firstLine="660"/>
        <w:rPr>
          <w:rFonts w:hint="eastAsia" w:ascii="仿宋" w:hAnsi="仿宋" w:eastAsia="仿宋"/>
          <w:sz w:val="32"/>
          <w:szCs w:val="32"/>
          <w:lang w:val="en-US" w:eastAsia="zh-CN"/>
        </w:rPr>
      </w:pPr>
      <w:r>
        <w:rPr>
          <w:rFonts w:hint="eastAsia" w:ascii="仿宋" w:hAnsi="仿宋" w:eastAsia="仿宋"/>
          <w:sz w:val="32"/>
          <w:szCs w:val="32"/>
          <w:lang w:val="en-US" w:eastAsia="zh-CN"/>
        </w:rPr>
        <w:t>4.卫生健康支出85.3万元，主要是事业单位医疗支出，完成年初预算的93%，</w:t>
      </w:r>
      <w:r>
        <w:rPr>
          <w:rFonts w:hint="eastAsia" w:ascii="仿宋" w:hAnsi="仿宋" w:eastAsia="仿宋"/>
          <w:sz w:val="32"/>
          <w:szCs w:val="32"/>
        </w:rPr>
        <w:t>决算数小于（大于）年初预算数的原因主要是</w:t>
      </w:r>
      <w:r>
        <w:rPr>
          <w:rFonts w:hint="eastAsia" w:ascii="仿宋" w:hAnsi="仿宋" w:eastAsia="仿宋"/>
          <w:sz w:val="32"/>
          <w:szCs w:val="32"/>
          <w:lang w:val="en-US" w:eastAsia="zh-CN"/>
        </w:rPr>
        <w:t>人员变动等。</w:t>
      </w:r>
    </w:p>
    <w:p>
      <w:pPr>
        <w:spacing w:line="540" w:lineRule="exact"/>
        <w:ind w:firstLine="660"/>
        <w:rPr>
          <w:rFonts w:hint="eastAsia" w:ascii="仿宋" w:hAnsi="仿宋" w:eastAsia="仿宋"/>
          <w:sz w:val="32"/>
          <w:szCs w:val="32"/>
          <w:lang w:val="en-US" w:eastAsia="zh-CN"/>
        </w:rPr>
      </w:pPr>
      <w:r>
        <w:rPr>
          <w:rFonts w:hint="eastAsia" w:ascii="仿宋" w:hAnsi="仿宋" w:eastAsia="仿宋"/>
          <w:sz w:val="32"/>
          <w:szCs w:val="32"/>
          <w:lang w:val="en-US" w:eastAsia="zh-CN"/>
        </w:rPr>
        <w:t>5.住房保障支出115.25万元，主要是住房公积金支出，完成年初预算的90%，</w:t>
      </w:r>
      <w:r>
        <w:rPr>
          <w:rFonts w:hint="eastAsia" w:ascii="仿宋" w:hAnsi="仿宋" w:eastAsia="仿宋"/>
          <w:sz w:val="32"/>
          <w:szCs w:val="32"/>
        </w:rPr>
        <w:t>决算数小于（大于）年初预算数的原因主要是</w:t>
      </w:r>
      <w:r>
        <w:rPr>
          <w:rFonts w:hint="eastAsia" w:ascii="仿宋" w:hAnsi="仿宋" w:eastAsia="仿宋"/>
          <w:sz w:val="32"/>
          <w:szCs w:val="32"/>
          <w:lang w:val="en-US" w:eastAsia="zh-CN"/>
        </w:rPr>
        <w:t>人员变动等。</w:t>
      </w:r>
    </w:p>
    <w:p>
      <w:pPr>
        <w:spacing w:line="540" w:lineRule="exact"/>
        <w:ind w:firstLine="660"/>
        <w:rPr>
          <w:rFonts w:hint="eastAsia" w:ascii="仿宋_GB2312" w:hAnsi="宋体" w:eastAsia="仿宋_GB2312"/>
          <w:sz w:val="32"/>
          <w:szCs w:val="32"/>
          <w:lang w:eastAsia="zh-CN"/>
        </w:rPr>
      </w:pPr>
    </w:p>
    <w:p>
      <w:pPr>
        <w:spacing w:line="540" w:lineRule="exact"/>
        <w:ind w:firstLine="660"/>
        <w:rPr>
          <w:rFonts w:hint="eastAsia" w:ascii="楷体_GB2312" w:hAnsi="宋体" w:eastAsia="楷体_GB2312"/>
          <w:b/>
          <w:sz w:val="32"/>
          <w:szCs w:val="32"/>
        </w:rPr>
      </w:pPr>
      <w:r>
        <w:rPr>
          <w:rFonts w:hint="eastAsia" w:ascii="楷体_GB2312" w:hAnsi="宋体" w:eastAsia="楷体_GB2312"/>
          <w:b/>
          <w:sz w:val="32"/>
          <w:szCs w:val="32"/>
        </w:rPr>
        <w:t>（</w:t>
      </w:r>
      <w:r>
        <w:rPr>
          <w:rFonts w:hint="eastAsia" w:ascii="楷体_GB2312" w:hAnsi="宋体" w:eastAsia="楷体_GB2312"/>
          <w:b/>
          <w:sz w:val="32"/>
          <w:szCs w:val="32"/>
          <w:lang w:val="en-US" w:eastAsia="zh-CN"/>
        </w:rPr>
        <w:t>三</w:t>
      </w:r>
      <w:r>
        <w:rPr>
          <w:rFonts w:hint="eastAsia" w:ascii="楷体_GB2312" w:hAnsi="宋体" w:eastAsia="楷体_GB2312"/>
          <w:b/>
          <w:sz w:val="32"/>
          <w:szCs w:val="32"/>
        </w:rPr>
        <w:t>）</w:t>
      </w:r>
      <w:r>
        <w:rPr>
          <w:rFonts w:hint="eastAsia" w:ascii="楷体_GB2312" w:hAnsi="宋体" w:eastAsia="楷体_GB2312"/>
          <w:b/>
          <w:sz w:val="32"/>
          <w:szCs w:val="32"/>
          <w:lang w:val="en-US" w:eastAsia="zh-CN"/>
        </w:rPr>
        <w:t>政府性基金预算财政拨款支出</w:t>
      </w:r>
      <w:r>
        <w:rPr>
          <w:rFonts w:hint="eastAsia" w:ascii="楷体_GB2312" w:hAnsi="宋体" w:eastAsia="楷体_GB2312"/>
          <w:b/>
          <w:sz w:val="32"/>
          <w:szCs w:val="32"/>
        </w:rPr>
        <w:t>情况。</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lang w:eastAsia="zh-CN"/>
        </w:rPr>
        <w:t>2021</w:t>
      </w:r>
      <w:r>
        <w:rPr>
          <w:rFonts w:hint="eastAsia" w:ascii="仿宋_GB2312" w:hAnsi="宋体" w:eastAsia="仿宋_GB2312"/>
          <w:sz w:val="32"/>
          <w:szCs w:val="32"/>
        </w:rPr>
        <w:t>年度政府性基金预算财政拨款支出</w:t>
      </w:r>
      <w:r>
        <w:rPr>
          <w:rFonts w:hint="eastAsia" w:ascii="仿宋_GB2312" w:hAnsi="宋体" w:eastAsia="仿宋_GB2312"/>
          <w:sz w:val="32"/>
          <w:szCs w:val="32"/>
          <w:lang w:val="en-US" w:eastAsia="zh-CN"/>
        </w:rPr>
        <w:t>348.14</w:t>
      </w:r>
      <w:r>
        <w:rPr>
          <w:rFonts w:hint="eastAsia" w:ascii="仿宋_GB2312" w:hAnsi="宋体" w:eastAsia="仿宋_GB2312"/>
          <w:sz w:val="32"/>
          <w:szCs w:val="32"/>
        </w:rPr>
        <w:t>万元，按支出功能分类科目分，包括：</w:t>
      </w:r>
      <w:r>
        <w:rPr>
          <w:rFonts w:hint="eastAsia" w:ascii="仿宋_GB2312" w:hAnsi="宋体" w:eastAsia="仿宋_GB2312"/>
          <w:sz w:val="32"/>
          <w:szCs w:val="32"/>
          <w:lang w:val="en-US" w:eastAsia="zh-CN"/>
        </w:rPr>
        <w:t>移民补助和基础设施建设和经济发展</w:t>
      </w:r>
      <w:r>
        <w:rPr>
          <w:rFonts w:hint="eastAsia" w:ascii="仿宋_GB2312" w:hAnsi="宋体" w:eastAsia="仿宋_GB2312"/>
          <w:sz w:val="32"/>
          <w:szCs w:val="32"/>
        </w:rPr>
        <w:t>。</w:t>
      </w:r>
    </w:p>
    <w:p>
      <w:pPr>
        <w:numPr>
          <w:ilvl w:val="0"/>
          <w:numId w:val="3"/>
        </w:numPr>
        <w:spacing w:line="540" w:lineRule="exact"/>
        <w:ind w:firstLine="660"/>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移民补助88.14万元。</w:t>
      </w:r>
    </w:p>
    <w:p>
      <w:pPr>
        <w:numPr>
          <w:ilvl w:val="0"/>
          <w:numId w:val="3"/>
        </w:numPr>
        <w:spacing w:line="540" w:lineRule="exact"/>
        <w:ind w:firstLine="660"/>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基础设施建设和经济发展260万元。</w:t>
      </w:r>
    </w:p>
    <w:p>
      <w:pPr>
        <w:spacing w:line="540" w:lineRule="exact"/>
        <w:ind w:firstLine="660"/>
        <w:rPr>
          <w:rFonts w:hint="eastAsia" w:ascii="楷体_GB2312" w:hAnsi="宋体" w:eastAsia="楷体_GB2312"/>
          <w:b/>
          <w:sz w:val="32"/>
          <w:szCs w:val="32"/>
        </w:rPr>
      </w:pPr>
      <w:r>
        <w:rPr>
          <w:rFonts w:hint="eastAsia" w:ascii="楷体_GB2312" w:hAnsi="宋体" w:eastAsia="楷体_GB2312"/>
          <w:b/>
          <w:sz w:val="32"/>
          <w:szCs w:val="32"/>
        </w:rPr>
        <w:t>（</w:t>
      </w:r>
      <w:r>
        <w:rPr>
          <w:rFonts w:hint="eastAsia" w:ascii="楷体_GB2312" w:hAnsi="宋体" w:eastAsia="楷体_GB2312"/>
          <w:b/>
          <w:sz w:val="32"/>
          <w:szCs w:val="32"/>
          <w:lang w:val="en-US" w:eastAsia="zh-CN"/>
        </w:rPr>
        <w:t>四</w:t>
      </w:r>
      <w:r>
        <w:rPr>
          <w:rFonts w:hint="eastAsia" w:ascii="楷体_GB2312" w:hAnsi="宋体" w:eastAsia="楷体_GB2312"/>
          <w:b/>
          <w:sz w:val="32"/>
          <w:szCs w:val="32"/>
        </w:rPr>
        <w:t>）</w:t>
      </w:r>
      <w:r>
        <w:rPr>
          <w:rFonts w:hint="eastAsia" w:ascii="楷体_GB2312" w:hAnsi="宋体" w:eastAsia="楷体_GB2312"/>
          <w:b/>
          <w:sz w:val="32"/>
          <w:szCs w:val="32"/>
          <w:lang w:val="en-US" w:eastAsia="zh-CN"/>
        </w:rPr>
        <w:t>国有资本经营预算财政拨款支出</w:t>
      </w:r>
      <w:r>
        <w:rPr>
          <w:rFonts w:hint="eastAsia" w:ascii="楷体_GB2312" w:hAnsi="宋体" w:eastAsia="楷体_GB2312"/>
          <w:b/>
          <w:sz w:val="32"/>
          <w:szCs w:val="32"/>
        </w:rPr>
        <w:t>情况。</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lang w:eastAsia="zh-CN"/>
        </w:rPr>
        <w:t>2021</w:t>
      </w:r>
      <w:r>
        <w:rPr>
          <w:rFonts w:hint="eastAsia" w:ascii="仿宋_GB2312" w:hAnsi="宋体" w:eastAsia="仿宋_GB2312"/>
          <w:sz w:val="32"/>
          <w:szCs w:val="32"/>
        </w:rPr>
        <w:t>年度国有资本经营预算财政拨款支出</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万元，按支出功能分类科目分，包括。</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lang w:val="en-US" w:eastAsia="zh-CN"/>
        </w:rPr>
        <w:t>1.……</w:t>
      </w:r>
    </w:p>
    <w:p>
      <w:pPr>
        <w:spacing w:line="540" w:lineRule="exact"/>
        <w:ind w:firstLine="660"/>
        <w:rPr>
          <w:rFonts w:hint="eastAsia" w:ascii="黑体" w:hAnsi="黑体" w:eastAsia="黑体"/>
          <w:sz w:val="32"/>
          <w:szCs w:val="32"/>
          <w:lang w:eastAsia="zh-CN"/>
        </w:rPr>
      </w:pPr>
      <w:r>
        <w:rPr>
          <w:rFonts w:hint="eastAsia" w:ascii="黑体" w:hAnsi="黑体" w:eastAsia="黑体"/>
          <w:sz w:val="32"/>
          <w:szCs w:val="32"/>
        </w:rPr>
        <w:t>三、一般公共预算财政拨款“三公”经费支出决算情况</w:t>
      </w:r>
      <w:r>
        <w:rPr>
          <w:rFonts w:hint="eastAsia" w:ascii="黑体" w:hAnsi="黑体" w:eastAsia="黑体"/>
          <w:sz w:val="32"/>
          <w:szCs w:val="32"/>
          <w:lang w:eastAsia="zh-CN"/>
        </w:rPr>
        <w:t>说明</w:t>
      </w:r>
    </w:p>
    <w:p>
      <w:pPr>
        <w:spacing w:line="540" w:lineRule="exact"/>
        <w:ind w:firstLine="645"/>
        <w:rPr>
          <w:rFonts w:hint="eastAsia" w:ascii="仿宋_GB2312" w:hAnsi="宋体" w:eastAsia="仿宋_GB2312"/>
          <w:sz w:val="32"/>
          <w:szCs w:val="32"/>
        </w:rPr>
      </w:pPr>
      <w:r>
        <w:rPr>
          <w:rFonts w:hint="eastAsia" w:ascii="仿宋_GB2312" w:hAnsi="宋体" w:eastAsia="仿宋_GB2312"/>
          <w:sz w:val="32"/>
          <w:szCs w:val="32"/>
          <w:lang w:eastAsia="zh-CN"/>
        </w:rPr>
        <w:t>2021</w:t>
      </w:r>
      <w:r>
        <w:rPr>
          <w:rFonts w:hint="eastAsia" w:ascii="仿宋_GB2312" w:hAnsi="宋体" w:eastAsia="仿宋_GB2312"/>
          <w:sz w:val="32"/>
          <w:szCs w:val="32"/>
        </w:rPr>
        <w:t>年度一般公共预算财政拨款安排的“三公”经费支出</w:t>
      </w:r>
      <w:r>
        <w:rPr>
          <w:rFonts w:hint="eastAsia" w:ascii="仿宋_GB2312" w:hAnsi="宋体" w:eastAsia="仿宋_GB2312"/>
          <w:sz w:val="32"/>
          <w:szCs w:val="32"/>
          <w:lang w:val="en-US" w:eastAsia="zh-CN"/>
        </w:rPr>
        <w:t>36</w:t>
      </w:r>
      <w:r>
        <w:rPr>
          <w:rFonts w:hint="eastAsia" w:ascii="仿宋_GB2312" w:hAnsi="宋体" w:eastAsia="仿宋_GB2312"/>
          <w:sz w:val="32"/>
          <w:szCs w:val="32"/>
        </w:rPr>
        <w:t>万元，完成年初预算的</w:t>
      </w:r>
      <w:r>
        <w:rPr>
          <w:rFonts w:hint="eastAsia" w:ascii="仿宋_GB2312" w:hAnsi="宋体" w:eastAsia="仿宋_GB2312"/>
          <w:sz w:val="32"/>
          <w:szCs w:val="32"/>
          <w:lang w:val="en-US" w:eastAsia="zh-CN"/>
        </w:rPr>
        <w:t>100</w:t>
      </w:r>
      <w:r>
        <w:rPr>
          <w:rFonts w:hint="eastAsia" w:ascii="仿宋_GB2312" w:hAnsi="宋体" w:eastAsia="仿宋_GB2312"/>
          <w:sz w:val="32"/>
          <w:szCs w:val="32"/>
        </w:rPr>
        <w:t>%，决算数小于（大于）年初预算数的主要原因是</w:t>
      </w:r>
      <w:r>
        <w:rPr>
          <w:rFonts w:hint="eastAsia" w:ascii="仿宋_GB2312" w:hAnsi="宋体" w:eastAsia="仿宋_GB2312"/>
          <w:sz w:val="32"/>
          <w:szCs w:val="32"/>
          <w:lang w:val="en-US" w:eastAsia="zh-CN"/>
        </w:rPr>
        <w:t>0</w:t>
      </w:r>
      <w:r>
        <w:rPr>
          <w:rFonts w:hint="eastAsia" w:ascii="仿宋_GB2312" w:hAnsi="宋体" w:eastAsia="仿宋_GB2312"/>
          <w:sz w:val="32"/>
          <w:szCs w:val="32"/>
        </w:rPr>
        <w:t>。其中：因公出国（境）费</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万元，公务接待费</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万元，公务用车购置及运行维护费</w:t>
      </w:r>
      <w:r>
        <w:rPr>
          <w:rFonts w:hint="eastAsia" w:ascii="仿宋_GB2312" w:hAnsi="宋体" w:eastAsia="仿宋_GB2312"/>
          <w:sz w:val="32"/>
          <w:szCs w:val="32"/>
          <w:lang w:val="en-US" w:eastAsia="zh-CN"/>
        </w:rPr>
        <w:t>36</w:t>
      </w:r>
      <w:r>
        <w:rPr>
          <w:rFonts w:hint="eastAsia" w:ascii="仿宋_GB2312" w:hAnsi="宋体" w:eastAsia="仿宋_GB2312"/>
          <w:sz w:val="32"/>
          <w:szCs w:val="32"/>
        </w:rPr>
        <w:t>万元。</w:t>
      </w:r>
    </w:p>
    <w:p>
      <w:pPr>
        <w:spacing w:line="540" w:lineRule="exact"/>
        <w:ind w:firstLine="645"/>
        <w:rPr>
          <w:rFonts w:hint="eastAsia" w:ascii="仿宋_GB2312" w:hAnsi="宋体" w:eastAsia="仿宋_GB2312"/>
          <w:sz w:val="32"/>
          <w:szCs w:val="32"/>
        </w:rPr>
      </w:pPr>
      <w:r>
        <w:rPr>
          <w:rFonts w:hint="eastAsia" w:ascii="仿宋_GB2312" w:hAnsi="宋体" w:eastAsia="仿宋_GB2312"/>
          <w:sz w:val="32"/>
          <w:szCs w:val="32"/>
        </w:rPr>
        <w:t>1.因公出国（境）费</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r>
        <w:rPr>
          <w:rFonts w:hint="eastAsia" w:ascii="仿宋_GB2312" w:hAnsi="宋体" w:eastAsia="仿宋_GB2312"/>
          <w:sz w:val="32"/>
          <w:szCs w:val="32"/>
          <w:lang w:val="en-US" w:eastAsia="zh-CN"/>
        </w:rPr>
        <w:t>占</w:t>
      </w:r>
      <w:r>
        <w:rPr>
          <w:rFonts w:hint="eastAsia" w:ascii="仿宋_GB2312" w:hAnsi="宋体" w:eastAsia="仿宋_GB2312"/>
          <w:sz w:val="32"/>
          <w:szCs w:val="32"/>
        </w:rPr>
        <w:t>“三公”经费支出</w:t>
      </w:r>
      <w:r>
        <w:rPr>
          <w:rFonts w:hint="eastAsia" w:ascii="仿宋_GB2312" w:hAnsi="宋体" w:eastAsia="仿宋_GB2312"/>
          <w:sz w:val="32"/>
          <w:szCs w:val="32"/>
          <w:lang w:val="en-US" w:eastAsia="zh-CN"/>
        </w:rPr>
        <w:t>的0%。</w:t>
      </w:r>
      <w:r>
        <w:rPr>
          <w:rFonts w:hint="eastAsia" w:ascii="仿宋_GB2312" w:hAnsi="宋体" w:eastAsia="仿宋_GB2312"/>
          <w:sz w:val="32"/>
          <w:szCs w:val="32"/>
        </w:rPr>
        <w:t>完成年初预算的</w:t>
      </w:r>
      <w:r>
        <w:rPr>
          <w:rFonts w:hint="eastAsia" w:ascii="仿宋_GB2312" w:hAnsi="宋体" w:eastAsia="仿宋_GB2312"/>
          <w:sz w:val="32"/>
          <w:szCs w:val="32"/>
          <w:lang w:val="en-US" w:eastAsia="zh-CN"/>
        </w:rPr>
        <w:t>0</w:t>
      </w:r>
      <w:r>
        <w:rPr>
          <w:rFonts w:hint="eastAsia" w:ascii="仿宋_GB2312" w:hAnsi="宋体" w:eastAsia="仿宋_GB2312"/>
          <w:sz w:val="32"/>
          <w:szCs w:val="32"/>
        </w:rPr>
        <w:t>%，决算数小于（大于）年初预算数的主要原因是</w:t>
      </w:r>
      <w:r>
        <w:rPr>
          <w:rFonts w:hint="eastAsia" w:ascii="仿宋_GB2312" w:hAnsi="宋体" w:eastAsia="仿宋_GB2312"/>
          <w:sz w:val="32"/>
          <w:szCs w:val="32"/>
          <w:lang w:val="en-US" w:eastAsia="zh-CN"/>
        </w:rPr>
        <w:t>0</w:t>
      </w:r>
      <w:r>
        <w:rPr>
          <w:rFonts w:hint="eastAsia" w:ascii="仿宋_GB2312" w:hAnsi="宋体" w:eastAsia="仿宋_GB2312"/>
          <w:sz w:val="32"/>
          <w:szCs w:val="32"/>
        </w:rPr>
        <w:t>。</w:t>
      </w:r>
      <w:r>
        <w:rPr>
          <w:rFonts w:hint="eastAsia" w:ascii="仿宋_GB2312" w:hAnsi="宋体" w:eastAsia="仿宋_GB2312"/>
          <w:sz w:val="32"/>
          <w:szCs w:val="32"/>
          <w:lang w:eastAsia="zh-CN"/>
        </w:rPr>
        <w:t>2021</w:t>
      </w:r>
      <w:r>
        <w:rPr>
          <w:rFonts w:hint="eastAsia" w:ascii="仿宋_GB2312" w:hAnsi="宋体" w:eastAsia="仿宋_GB2312"/>
          <w:sz w:val="32"/>
          <w:szCs w:val="32"/>
        </w:rPr>
        <w:t>年参加出国（境）团组</w:t>
      </w:r>
      <w:r>
        <w:rPr>
          <w:rFonts w:hint="eastAsia" w:ascii="仿宋_GB2312" w:hAnsi="宋体" w:eastAsia="仿宋_GB2312"/>
          <w:sz w:val="32"/>
          <w:szCs w:val="32"/>
          <w:lang w:val="en-US" w:eastAsia="zh-CN"/>
        </w:rPr>
        <w:t>0</w:t>
      </w:r>
      <w:r>
        <w:rPr>
          <w:rFonts w:hint="eastAsia" w:ascii="仿宋_GB2312" w:hAnsi="宋体" w:eastAsia="仿宋_GB2312"/>
          <w:sz w:val="32"/>
          <w:szCs w:val="32"/>
        </w:rPr>
        <w:t>个，累计</w:t>
      </w:r>
      <w:r>
        <w:rPr>
          <w:rFonts w:hint="eastAsia" w:ascii="仿宋_GB2312" w:hAnsi="宋体" w:eastAsia="仿宋_GB2312"/>
          <w:sz w:val="32"/>
          <w:szCs w:val="32"/>
          <w:lang w:val="en-US" w:eastAsia="zh-CN"/>
        </w:rPr>
        <w:t>0</w:t>
      </w:r>
      <w:r>
        <w:rPr>
          <w:rFonts w:hint="eastAsia" w:ascii="仿宋_GB2312" w:hAnsi="宋体" w:eastAsia="仿宋_GB2312"/>
          <w:sz w:val="32"/>
          <w:szCs w:val="32"/>
        </w:rPr>
        <w:t>人次</w:t>
      </w:r>
      <w:r>
        <w:rPr>
          <w:rFonts w:hint="eastAsia" w:ascii="仿宋_GB2312" w:hAnsi="宋体" w:eastAsia="仿宋_GB2312"/>
          <w:sz w:val="32"/>
          <w:szCs w:val="32"/>
          <w:lang w:val="en-US" w:eastAsia="zh-CN"/>
        </w:rPr>
        <w:t>,</w:t>
      </w:r>
      <w:r>
        <w:rPr>
          <w:rFonts w:hint="eastAsia" w:ascii="仿宋_GB2312" w:hAnsi="宋体" w:eastAsia="仿宋_GB2312"/>
          <w:sz w:val="32"/>
          <w:szCs w:val="32"/>
        </w:rPr>
        <w:t>主要</w:t>
      </w:r>
      <w:r>
        <w:rPr>
          <w:rFonts w:hint="eastAsia" w:ascii="仿宋_GB2312" w:hAnsi="宋体" w:eastAsia="仿宋_GB2312"/>
          <w:sz w:val="32"/>
          <w:szCs w:val="32"/>
          <w:lang w:val="en-US" w:eastAsia="zh-CN"/>
        </w:rPr>
        <w:t>为参加0团</w:t>
      </w:r>
      <w:r>
        <w:rPr>
          <w:rFonts w:hint="eastAsia" w:ascii="仿宋_GB2312" w:hAnsi="宋体" w:eastAsia="仿宋_GB2312"/>
          <w:sz w:val="32"/>
          <w:szCs w:val="32"/>
        </w:rPr>
        <w:t>等。</w:t>
      </w:r>
      <w:r>
        <w:rPr>
          <w:rFonts w:hint="eastAsia" w:ascii="仿宋_GB2312" w:hAnsi="宋体" w:eastAsia="仿宋_GB2312"/>
          <w:sz w:val="32"/>
          <w:szCs w:val="32"/>
          <w:lang w:eastAsia="zh-CN"/>
        </w:rPr>
        <w:t>2021</w:t>
      </w:r>
      <w:r>
        <w:rPr>
          <w:rFonts w:hint="eastAsia" w:ascii="仿宋_GB2312" w:hAnsi="宋体" w:eastAsia="仿宋_GB2312"/>
          <w:sz w:val="32"/>
          <w:szCs w:val="32"/>
        </w:rPr>
        <w:t>年因公出国（境）费比上年减少（增加）</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万元，下降（增长）</w:t>
      </w:r>
      <w:r>
        <w:rPr>
          <w:rFonts w:hint="eastAsia" w:ascii="仿宋_GB2312" w:hAnsi="宋体" w:eastAsia="仿宋_GB2312"/>
          <w:sz w:val="32"/>
          <w:szCs w:val="32"/>
          <w:lang w:val="en-US" w:eastAsia="zh-CN"/>
        </w:rPr>
        <w:t>0</w:t>
      </w:r>
      <w:r>
        <w:rPr>
          <w:rFonts w:hint="eastAsia" w:ascii="仿宋_GB2312" w:hAnsi="宋体" w:eastAsia="仿宋_GB2312"/>
          <w:sz w:val="32"/>
          <w:szCs w:val="32"/>
        </w:rPr>
        <w:t>%，主要是</w:t>
      </w:r>
      <w:r>
        <w:rPr>
          <w:rFonts w:hint="eastAsia" w:ascii="仿宋_GB2312" w:hAnsi="宋体" w:eastAsia="仿宋_GB2312"/>
          <w:sz w:val="32"/>
          <w:szCs w:val="32"/>
          <w:lang w:val="en-US" w:eastAsia="zh-CN"/>
        </w:rPr>
        <w:t>0</w:t>
      </w:r>
      <w:r>
        <w:rPr>
          <w:rFonts w:hint="eastAsia" w:ascii="仿宋_GB2312" w:hAnsi="宋体" w:eastAsia="仿宋_GB2312"/>
          <w:sz w:val="32"/>
          <w:szCs w:val="32"/>
        </w:rPr>
        <w:t>等原因。</w:t>
      </w:r>
    </w:p>
    <w:p>
      <w:pPr>
        <w:spacing w:line="540" w:lineRule="exact"/>
        <w:ind w:firstLine="645"/>
        <w:rPr>
          <w:rFonts w:hint="eastAsia" w:ascii="仿宋_GB2312" w:hAnsi="宋体" w:eastAsia="仿宋_GB2312"/>
          <w:sz w:val="32"/>
          <w:szCs w:val="32"/>
        </w:rPr>
      </w:pPr>
      <w:r>
        <w:rPr>
          <w:rFonts w:hint="eastAsia" w:ascii="仿宋_GB2312" w:hAnsi="宋体" w:eastAsia="仿宋_GB2312"/>
          <w:sz w:val="32"/>
          <w:szCs w:val="32"/>
        </w:rPr>
        <w:t>2.公务接待费</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w:t>
      </w:r>
      <w:r>
        <w:rPr>
          <w:rFonts w:hint="eastAsia" w:ascii="仿宋_GB2312" w:hAnsi="宋体" w:eastAsia="仿宋_GB2312"/>
          <w:sz w:val="32"/>
          <w:szCs w:val="32"/>
          <w:lang w:val="en-US" w:eastAsia="zh-CN"/>
        </w:rPr>
        <w:t>占</w:t>
      </w:r>
      <w:r>
        <w:rPr>
          <w:rFonts w:hint="eastAsia" w:ascii="仿宋_GB2312" w:hAnsi="宋体" w:eastAsia="仿宋_GB2312"/>
          <w:sz w:val="32"/>
          <w:szCs w:val="32"/>
        </w:rPr>
        <w:t>“三公”经费支出</w:t>
      </w:r>
      <w:r>
        <w:rPr>
          <w:rFonts w:hint="eastAsia" w:ascii="仿宋_GB2312" w:hAnsi="宋体" w:eastAsia="仿宋_GB2312"/>
          <w:sz w:val="32"/>
          <w:szCs w:val="32"/>
          <w:lang w:val="en-US" w:eastAsia="zh-CN"/>
        </w:rPr>
        <w:t>的0%。</w:t>
      </w:r>
      <w:r>
        <w:rPr>
          <w:rFonts w:hint="eastAsia" w:ascii="仿宋_GB2312" w:hAnsi="宋体" w:eastAsia="仿宋_GB2312"/>
          <w:sz w:val="32"/>
          <w:szCs w:val="32"/>
        </w:rPr>
        <w:t>完成年初预算的</w:t>
      </w:r>
      <w:r>
        <w:rPr>
          <w:rFonts w:hint="eastAsia" w:ascii="仿宋_GB2312" w:hAnsi="宋体" w:eastAsia="仿宋_GB2312"/>
          <w:sz w:val="32"/>
          <w:szCs w:val="32"/>
          <w:lang w:val="en-US" w:eastAsia="zh-CN"/>
        </w:rPr>
        <w:t>0</w:t>
      </w:r>
      <w:r>
        <w:rPr>
          <w:rFonts w:hint="eastAsia" w:ascii="仿宋_GB2312" w:hAnsi="宋体" w:eastAsia="仿宋_GB2312"/>
          <w:sz w:val="32"/>
          <w:szCs w:val="32"/>
        </w:rPr>
        <w:t>%，决算数小于（大于）年初预算数的主要原因是</w:t>
      </w:r>
      <w:r>
        <w:rPr>
          <w:rFonts w:hint="eastAsia" w:ascii="仿宋_GB2312" w:hAnsi="宋体" w:eastAsia="仿宋_GB2312"/>
          <w:sz w:val="32"/>
          <w:szCs w:val="32"/>
          <w:lang w:val="en-US" w:eastAsia="zh-CN"/>
        </w:rPr>
        <w:t>0</w:t>
      </w:r>
      <w:r>
        <w:rPr>
          <w:rFonts w:hint="eastAsia" w:ascii="仿宋_GB2312" w:hAnsi="宋体" w:eastAsia="仿宋_GB2312"/>
          <w:sz w:val="32"/>
          <w:szCs w:val="32"/>
        </w:rPr>
        <w:t>。</w:t>
      </w:r>
      <w:r>
        <w:rPr>
          <w:rFonts w:hint="eastAsia" w:ascii="仿宋_GB2312" w:hAnsi="宋体" w:eastAsia="仿宋_GB2312"/>
          <w:sz w:val="32"/>
          <w:szCs w:val="32"/>
          <w:lang w:eastAsia="zh-CN"/>
        </w:rPr>
        <w:t>2021</w:t>
      </w:r>
      <w:r>
        <w:rPr>
          <w:rFonts w:hint="eastAsia" w:ascii="仿宋_GB2312" w:hAnsi="宋体" w:eastAsia="仿宋_GB2312"/>
          <w:sz w:val="32"/>
          <w:szCs w:val="32"/>
        </w:rPr>
        <w:t>年国内公务接待累计</w:t>
      </w:r>
      <w:r>
        <w:rPr>
          <w:rFonts w:hint="eastAsia" w:ascii="仿宋_GB2312" w:hAnsi="宋体" w:eastAsia="仿宋_GB2312"/>
          <w:sz w:val="32"/>
          <w:szCs w:val="32"/>
          <w:lang w:val="en-US" w:eastAsia="zh-CN"/>
        </w:rPr>
        <w:t>0</w:t>
      </w:r>
      <w:r>
        <w:rPr>
          <w:rFonts w:hint="eastAsia" w:ascii="仿宋_GB2312" w:hAnsi="宋体" w:eastAsia="仿宋_GB2312"/>
          <w:sz w:val="32"/>
          <w:szCs w:val="32"/>
        </w:rPr>
        <w:t>批次</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0</w:t>
      </w:r>
      <w:r>
        <w:rPr>
          <w:rFonts w:hint="eastAsia" w:ascii="仿宋_GB2312" w:hAnsi="宋体" w:eastAsia="仿宋_GB2312"/>
          <w:sz w:val="32"/>
          <w:szCs w:val="32"/>
        </w:rPr>
        <w:t>人</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万元，主要用于</w:t>
      </w:r>
      <w:r>
        <w:rPr>
          <w:rFonts w:hint="eastAsia" w:ascii="仿宋_GB2312" w:hAnsi="宋体" w:eastAsia="仿宋_GB2312"/>
          <w:sz w:val="32"/>
          <w:szCs w:val="32"/>
          <w:lang w:val="en-US" w:eastAsia="zh-CN"/>
        </w:rPr>
        <w:t>0</w:t>
      </w:r>
      <w:r>
        <w:rPr>
          <w:rFonts w:hint="eastAsia" w:ascii="仿宋_GB2312" w:hAnsi="宋体" w:eastAsia="仿宋_GB2312"/>
          <w:sz w:val="32"/>
          <w:szCs w:val="32"/>
        </w:rPr>
        <w:t>等</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其中外事接待</w:t>
      </w:r>
      <w:r>
        <w:rPr>
          <w:rFonts w:hint="eastAsia" w:ascii="仿宋_GB2312" w:hAnsi="宋体" w:eastAsia="仿宋_GB2312"/>
          <w:sz w:val="32"/>
          <w:szCs w:val="32"/>
        </w:rPr>
        <w:t>累计</w:t>
      </w:r>
      <w:r>
        <w:rPr>
          <w:rFonts w:hint="eastAsia" w:ascii="仿宋_GB2312" w:hAnsi="宋体" w:eastAsia="仿宋_GB2312"/>
          <w:sz w:val="32"/>
          <w:szCs w:val="32"/>
          <w:lang w:val="en-US" w:eastAsia="zh-CN"/>
        </w:rPr>
        <w:t>0</w:t>
      </w:r>
      <w:r>
        <w:rPr>
          <w:rFonts w:hint="eastAsia" w:ascii="仿宋_GB2312" w:hAnsi="宋体" w:eastAsia="仿宋_GB2312"/>
          <w:sz w:val="32"/>
          <w:szCs w:val="32"/>
        </w:rPr>
        <w:t>批次</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0</w:t>
      </w:r>
      <w:r>
        <w:rPr>
          <w:rFonts w:hint="eastAsia" w:ascii="仿宋_GB2312" w:hAnsi="宋体" w:eastAsia="仿宋_GB2312"/>
          <w:sz w:val="32"/>
          <w:szCs w:val="32"/>
        </w:rPr>
        <w:t>人</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万元，主要用于</w:t>
      </w:r>
      <w:r>
        <w:rPr>
          <w:rFonts w:hint="eastAsia" w:ascii="仿宋_GB2312" w:hAnsi="宋体" w:eastAsia="仿宋_GB2312"/>
          <w:sz w:val="32"/>
          <w:szCs w:val="32"/>
          <w:lang w:val="en-US" w:eastAsia="zh-CN"/>
        </w:rPr>
        <w:t>0</w:t>
      </w:r>
      <w:r>
        <w:rPr>
          <w:rFonts w:hint="eastAsia" w:ascii="仿宋_GB2312" w:hAnsi="宋体" w:eastAsia="仿宋_GB2312"/>
          <w:sz w:val="32"/>
          <w:szCs w:val="32"/>
        </w:rPr>
        <w:t>等。</w:t>
      </w:r>
      <w:r>
        <w:rPr>
          <w:rFonts w:hint="eastAsia" w:ascii="仿宋_GB2312" w:hAnsi="宋体" w:eastAsia="仿宋_GB2312"/>
          <w:sz w:val="32"/>
          <w:szCs w:val="32"/>
          <w:lang w:eastAsia="zh-CN"/>
        </w:rPr>
        <w:t>2021</w:t>
      </w:r>
      <w:r>
        <w:rPr>
          <w:rFonts w:hint="eastAsia" w:ascii="仿宋_GB2312" w:hAnsi="宋体" w:eastAsia="仿宋_GB2312"/>
          <w:sz w:val="32"/>
          <w:szCs w:val="32"/>
        </w:rPr>
        <w:t>年公务接待费比上年减少（增加）</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万元，下降（增长）</w:t>
      </w:r>
      <w:r>
        <w:rPr>
          <w:rFonts w:hint="eastAsia" w:ascii="仿宋_GB2312" w:hAnsi="宋体" w:eastAsia="仿宋_GB2312"/>
          <w:sz w:val="32"/>
          <w:szCs w:val="32"/>
          <w:lang w:val="en-US" w:eastAsia="zh-CN"/>
        </w:rPr>
        <w:t>0</w:t>
      </w:r>
      <w:r>
        <w:rPr>
          <w:rFonts w:hint="eastAsia" w:ascii="仿宋_GB2312" w:hAnsi="宋体" w:eastAsia="仿宋_GB2312"/>
          <w:sz w:val="32"/>
          <w:szCs w:val="32"/>
        </w:rPr>
        <w:t>%，主要是</w:t>
      </w:r>
      <w:r>
        <w:rPr>
          <w:rFonts w:hint="eastAsia" w:ascii="仿宋_GB2312" w:hAnsi="宋体" w:eastAsia="仿宋_GB2312"/>
          <w:sz w:val="32"/>
          <w:szCs w:val="32"/>
          <w:lang w:val="en-US" w:eastAsia="zh-CN"/>
        </w:rPr>
        <w:t>0</w:t>
      </w:r>
      <w:r>
        <w:rPr>
          <w:rFonts w:hint="eastAsia" w:ascii="仿宋_GB2312" w:hAnsi="宋体" w:eastAsia="仿宋_GB2312"/>
          <w:sz w:val="32"/>
          <w:szCs w:val="32"/>
        </w:rPr>
        <w:t>等原因。</w:t>
      </w:r>
    </w:p>
    <w:p>
      <w:pPr>
        <w:spacing w:line="540" w:lineRule="exact"/>
        <w:ind w:firstLine="645"/>
        <w:rPr>
          <w:rFonts w:hint="eastAsia" w:ascii="仿宋_GB2312" w:hAnsi="宋体" w:eastAsia="仿宋_GB2312"/>
          <w:sz w:val="32"/>
          <w:szCs w:val="32"/>
        </w:rPr>
      </w:pPr>
      <w:r>
        <w:rPr>
          <w:rFonts w:hint="eastAsia" w:ascii="仿宋_GB2312" w:hAnsi="宋体" w:eastAsia="仿宋_GB2312"/>
          <w:sz w:val="32"/>
          <w:szCs w:val="32"/>
        </w:rPr>
        <w:t>3.公务用车购置及</w:t>
      </w:r>
      <w:r>
        <w:rPr>
          <w:rFonts w:ascii="仿宋_GB2312" w:hAnsi="宋体" w:eastAsia="仿宋_GB2312"/>
          <w:sz w:val="32"/>
          <w:szCs w:val="32"/>
        </w:rPr>
        <w:t>运行费</w:t>
      </w:r>
      <w:r>
        <w:rPr>
          <w:rFonts w:hint="eastAsia" w:ascii="仿宋_GB2312" w:hAnsi="宋体" w:eastAsia="仿宋_GB2312"/>
          <w:sz w:val="32"/>
          <w:szCs w:val="32"/>
          <w:lang w:val="en-US" w:eastAsia="zh-CN"/>
        </w:rPr>
        <w:t>36</w:t>
      </w:r>
      <w:r>
        <w:rPr>
          <w:rFonts w:hint="eastAsia" w:ascii="仿宋_GB2312" w:hAnsi="宋体" w:eastAsia="仿宋_GB2312"/>
          <w:sz w:val="32"/>
          <w:szCs w:val="32"/>
        </w:rPr>
        <w:t>万元，</w:t>
      </w:r>
      <w:r>
        <w:rPr>
          <w:rFonts w:hint="eastAsia" w:ascii="仿宋_GB2312" w:hAnsi="宋体" w:eastAsia="仿宋_GB2312"/>
          <w:sz w:val="32"/>
          <w:szCs w:val="32"/>
          <w:lang w:val="en-US" w:eastAsia="zh-CN"/>
        </w:rPr>
        <w:t>占</w:t>
      </w:r>
      <w:r>
        <w:rPr>
          <w:rFonts w:hint="eastAsia" w:ascii="仿宋_GB2312" w:hAnsi="宋体" w:eastAsia="仿宋_GB2312"/>
          <w:sz w:val="32"/>
          <w:szCs w:val="32"/>
        </w:rPr>
        <w:t>“三公”经费支出</w:t>
      </w:r>
      <w:r>
        <w:rPr>
          <w:rFonts w:hint="eastAsia" w:ascii="仿宋_GB2312" w:hAnsi="宋体" w:eastAsia="仿宋_GB2312"/>
          <w:sz w:val="32"/>
          <w:szCs w:val="32"/>
          <w:lang w:val="en-US" w:eastAsia="zh-CN"/>
        </w:rPr>
        <w:t>的100%。</w:t>
      </w:r>
      <w:r>
        <w:rPr>
          <w:rFonts w:hint="eastAsia" w:ascii="仿宋_GB2312" w:hAnsi="宋体" w:eastAsia="仿宋_GB2312"/>
          <w:sz w:val="32"/>
          <w:szCs w:val="32"/>
        </w:rPr>
        <w:t>完成年初预算的</w:t>
      </w:r>
      <w:r>
        <w:rPr>
          <w:rFonts w:hint="eastAsia" w:ascii="仿宋_GB2312" w:hAnsi="宋体" w:eastAsia="仿宋_GB2312"/>
          <w:sz w:val="32"/>
          <w:szCs w:val="32"/>
          <w:lang w:val="en-US" w:eastAsia="zh-CN"/>
        </w:rPr>
        <w:t>100</w:t>
      </w:r>
      <w:r>
        <w:rPr>
          <w:rFonts w:hint="eastAsia" w:ascii="仿宋_GB2312" w:hAnsi="宋体" w:eastAsia="仿宋_GB2312"/>
          <w:sz w:val="32"/>
          <w:szCs w:val="32"/>
        </w:rPr>
        <w:t>%，决算数小于（大于）年初预算数的主要原因是</w:t>
      </w:r>
      <w:r>
        <w:rPr>
          <w:rFonts w:hint="eastAsia" w:ascii="仿宋_GB2312" w:hAnsi="宋体" w:eastAsia="仿宋_GB2312"/>
          <w:sz w:val="32"/>
          <w:szCs w:val="32"/>
          <w:lang w:val="en-US" w:eastAsia="zh-CN"/>
        </w:rPr>
        <w:t>0</w:t>
      </w:r>
      <w:r>
        <w:rPr>
          <w:rFonts w:hint="eastAsia" w:ascii="仿宋_GB2312" w:hAnsi="宋体" w:eastAsia="仿宋_GB2312"/>
          <w:sz w:val="32"/>
          <w:szCs w:val="32"/>
        </w:rPr>
        <w:t>。比上年减少（增加）</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万元，下降（增长）</w:t>
      </w:r>
      <w:r>
        <w:rPr>
          <w:rFonts w:hint="eastAsia" w:ascii="仿宋_GB2312" w:hAnsi="宋体" w:eastAsia="仿宋_GB2312"/>
          <w:sz w:val="32"/>
          <w:szCs w:val="32"/>
          <w:lang w:val="en-US" w:eastAsia="zh-CN"/>
        </w:rPr>
        <w:t>0</w:t>
      </w:r>
      <w:r>
        <w:rPr>
          <w:rFonts w:hint="eastAsia" w:ascii="仿宋_GB2312" w:hAnsi="宋体" w:eastAsia="仿宋_GB2312"/>
          <w:sz w:val="32"/>
          <w:szCs w:val="32"/>
        </w:rPr>
        <w:t>%，主要是</w:t>
      </w:r>
      <w:r>
        <w:rPr>
          <w:rFonts w:hint="eastAsia" w:ascii="仿宋_GB2312" w:hAnsi="宋体" w:eastAsia="仿宋_GB2312"/>
          <w:sz w:val="32"/>
          <w:szCs w:val="32"/>
          <w:lang w:val="en-US" w:eastAsia="zh-CN"/>
        </w:rPr>
        <w:t>0</w:t>
      </w:r>
      <w:r>
        <w:rPr>
          <w:rFonts w:hint="eastAsia" w:ascii="仿宋_GB2312" w:hAnsi="宋体" w:eastAsia="仿宋_GB2312"/>
          <w:sz w:val="32"/>
          <w:szCs w:val="32"/>
        </w:rPr>
        <w:t>等原因。</w:t>
      </w:r>
    </w:p>
    <w:p>
      <w:pPr>
        <w:spacing w:line="540" w:lineRule="exact"/>
        <w:ind w:firstLine="645"/>
        <w:rPr>
          <w:rFonts w:hint="eastAsia" w:ascii="仿宋_GB2312" w:hAnsi="宋体" w:eastAsia="仿宋_GB2312"/>
          <w:sz w:val="32"/>
          <w:szCs w:val="32"/>
        </w:rPr>
      </w:pPr>
      <w:r>
        <w:rPr>
          <w:rFonts w:hint="eastAsia" w:ascii="仿宋_GB2312" w:hAnsi="宋体" w:eastAsia="仿宋_GB2312"/>
          <w:sz w:val="32"/>
          <w:szCs w:val="32"/>
          <w:lang w:val="en-US" w:eastAsia="zh-CN"/>
        </w:rPr>
        <w:t>其中：</w:t>
      </w:r>
      <w:r>
        <w:rPr>
          <w:rFonts w:hint="eastAsia" w:ascii="仿宋_GB2312" w:hAnsi="宋体" w:eastAsia="仿宋_GB2312"/>
          <w:sz w:val="32"/>
          <w:szCs w:val="32"/>
        </w:rPr>
        <w:t>公务用车购置费</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万元，主要用于</w:t>
      </w:r>
      <w:r>
        <w:rPr>
          <w:rFonts w:hint="eastAsia" w:ascii="仿宋_GB2312" w:hAnsi="宋体" w:eastAsia="仿宋_GB2312"/>
          <w:sz w:val="32"/>
          <w:szCs w:val="32"/>
          <w:lang w:val="en-US" w:eastAsia="zh-CN"/>
        </w:rPr>
        <w:t>0</w:t>
      </w:r>
      <w:r>
        <w:rPr>
          <w:rFonts w:hint="eastAsia" w:ascii="仿宋_GB2312" w:hAnsi="宋体" w:eastAsia="仿宋_GB2312"/>
          <w:sz w:val="32"/>
          <w:szCs w:val="32"/>
        </w:rPr>
        <w:t>等,当年购置公务用车</w:t>
      </w:r>
      <w:r>
        <w:rPr>
          <w:rFonts w:hint="eastAsia" w:ascii="仿宋_GB2312" w:hAnsi="宋体" w:eastAsia="仿宋_GB2312"/>
          <w:sz w:val="32"/>
          <w:szCs w:val="32"/>
          <w:lang w:val="en-US" w:eastAsia="zh-CN"/>
        </w:rPr>
        <w:t>0</w:t>
      </w:r>
      <w:r>
        <w:rPr>
          <w:rFonts w:hint="eastAsia" w:ascii="仿宋_GB2312" w:hAnsi="宋体" w:eastAsia="仿宋_GB2312"/>
          <w:sz w:val="32"/>
          <w:szCs w:val="32"/>
        </w:rPr>
        <w:t>辆。公务用车运行维护费</w:t>
      </w:r>
      <w:r>
        <w:rPr>
          <w:rFonts w:hint="eastAsia" w:ascii="仿宋_GB2312" w:hAnsi="宋体" w:eastAsia="仿宋_GB2312"/>
          <w:sz w:val="32"/>
          <w:szCs w:val="32"/>
          <w:lang w:val="en-US" w:eastAsia="zh-CN"/>
        </w:rPr>
        <w:t>36</w:t>
      </w:r>
      <w:r>
        <w:rPr>
          <w:rFonts w:hint="eastAsia" w:ascii="仿宋_GB2312" w:hAnsi="宋体" w:eastAsia="仿宋_GB2312"/>
          <w:sz w:val="32"/>
          <w:szCs w:val="32"/>
        </w:rPr>
        <w:t>万元，主要用于</w:t>
      </w:r>
      <w:r>
        <w:rPr>
          <w:rFonts w:hint="eastAsia" w:ascii="仿宋_GB2312" w:hAnsi="宋体" w:eastAsia="仿宋_GB2312"/>
          <w:sz w:val="32"/>
          <w:szCs w:val="32"/>
          <w:lang w:val="en-US" w:eastAsia="zh-CN"/>
        </w:rPr>
        <w:t>燃油维修养护</w:t>
      </w:r>
      <w:r>
        <w:rPr>
          <w:rFonts w:hint="eastAsia" w:ascii="仿宋_GB2312" w:hAnsi="宋体" w:eastAsia="仿宋_GB2312"/>
          <w:sz w:val="32"/>
          <w:szCs w:val="32"/>
        </w:rPr>
        <w:t>等</w:t>
      </w:r>
      <w:r>
        <w:rPr>
          <w:rFonts w:hint="eastAsia" w:ascii="仿宋_GB2312" w:hAnsi="宋体" w:eastAsia="仿宋_GB2312"/>
          <w:sz w:val="32"/>
          <w:szCs w:val="32"/>
          <w:lang w:eastAsia="zh-CN"/>
        </w:rPr>
        <w:t>，</w:t>
      </w:r>
      <w:r>
        <w:rPr>
          <w:rFonts w:hint="eastAsia" w:ascii="仿宋_GB2312" w:hAnsi="宋体" w:eastAsia="仿宋_GB2312"/>
          <w:sz w:val="32"/>
          <w:szCs w:val="32"/>
        </w:rPr>
        <w:t>截至年末使用</w:t>
      </w:r>
      <w:r>
        <w:rPr>
          <w:rFonts w:ascii="仿宋_GB2312" w:hAnsi="宋体" w:eastAsia="仿宋_GB2312"/>
          <w:sz w:val="32"/>
          <w:szCs w:val="32"/>
        </w:rPr>
        <w:t>一般公共预算财政拨款开支</w:t>
      </w:r>
      <w:r>
        <w:rPr>
          <w:rFonts w:hint="eastAsia" w:ascii="仿宋_GB2312" w:hAnsi="宋体" w:eastAsia="仿宋_GB2312"/>
          <w:sz w:val="32"/>
          <w:szCs w:val="32"/>
          <w:lang w:val="en-US" w:eastAsia="zh-CN"/>
        </w:rPr>
        <w:t>运行维护费</w:t>
      </w:r>
      <w:r>
        <w:rPr>
          <w:rFonts w:ascii="仿宋_GB2312" w:hAnsi="宋体" w:eastAsia="仿宋_GB2312"/>
          <w:sz w:val="32"/>
          <w:szCs w:val="32"/>
        </w:rPr>
        <w:t>的</w:t>
      </w:r>
      <w:r>
        <w:rPr>
          <w:rFonts w:hint="eastAsia" w:ascii="仿宋_GB2312" w:hAnsi="宋体" w:eastAsia="仿宋_GB2312"/>
          <w:sz w:val="32"/>
          <w:szCs w:val="32"/>
        </w:rPr>
        <w:t>公务用车保有量</w:t>
      </w:r>
      <w:r>
        <w:rPr>
          <w:rFonts w:hint="eastAsia" w:ascii="仿宋_GB2312" w:hAnsi="宋体" w:eastAsia="仿宋_GB2312"/>
          <w:sz w:val="32"/>
          <w:szCs w:val="32"/>
          <w:lang w:val="en-US" w:eastAsia="zh-CN"/>
        </w:rPr>
        <w:t>8</w:t>
      </w:r>
      <w:r>
        <w:rPr>
          <w:rFonts w:hint="eastAsia" w:ascii="仿宋_GB2312" w:hAnsi="宋体" w:eastAsia="仿宋_GB2312"/>
          <w:sz w:val="32"/>
          <w:szCs w:val="32"/>
        </w:rPr>
        <w:t>辆。</w:t>
      </w:r>
    </w:p>
    <w:p>
      <w:pPr>
        <w:spacing w:line="540" w:lineRule="exact"/>
        <w:ind w:firstLine="645"/>
        <w:rPr>
          <w:rFonts w:hint="eastAsia" w:ascii="黑体" w:hAnsi="黑体" w:eastAsia="黑体"/>
          <w:sz w:val="32"/>
          <w:szCs w:val="32"/>
        </w:rPr>
      </w:pPr>
      <w:r>
        <w:rPr>
          <w:rFonts w:hint="eastAsia" w:ascii="黑体" w:hAnsi="黑体" w:eastAsia="黑体"/>
          <w:sz w:val="32"/>
          <w:szCs w:val="32"/>
        </w:rPr>
        <w:t>四、一般公共预算财政拨款基本支出决算情况说明</w:t>
      </w:r>
    </w:p>
    <w:p>
      <w:pPr>
        <w:spacing w:line="540" w:lineRule="exact"/>
        <w:ind w:firstLine="645"/>
        <w:rPr>
          <w:rFonts w:hint="eastAsia" w:ascii="仿宋_GB2312" w:hAnsi="宋体" w:eastAsia="仿宋_GB2312"/>
          <w:sz w:val="32"/>
          <w:szCs w:val="32"/>
        </w:rPr>
      </w:pPr>
      <w:r>
        <w:rPr>
          <w:rFonts w:hint="eastAsia" w:ascii="仿宋_GB2312" w:hAnsi="宋体" w:eastAsia="仿宋_GB2312"/>
          <w:sz w:val="32"/>
          <w:szCs w:val="32"/>
          <w:lang w:eastAsia="zh-CN"/>
        </w:rPr>
        <w:t>2021</w:t>
      </w:r>
      <w:r>
        <w:rPr>
          <w:rFonts w:hint="eastAsia" w:ascii="仿宋_GB2312" w:hAnsi="宋体" w:eastAsia="仿宋_GB2312"/>
          <w:sz w:val="32"/>
          <w:szCs w:val="32"/>
        </w:rPr>
        <w:t>年度一般公共预算财政拨款基本支出</w:t>
      </w:r>
      <w:r>
        <w:rPr>
          <w:rFonts w:hint="eastAsia" w:ascii="仿宋_GB2312" w:hAnsi="宋体" w:eastAsia="仿宋_GB2312"/>
          <w:sz w:val="32"/>
          <w:szCs w:val="32"/>
          <w:lang w:val="en-US" w:eastAsia="zh-CN"/>
        </w:rPr>
        <w:t>1578.58</w:t>
      </w:r>
      <w:r>
        <w:rPr>
          <w:rFonts w:hint="eastAsia" w:ascii="仿宋_GB2312" w:hAnsi="宋体" w:eastAsia="仿宋_GB2312"/>
          <w:sz w:val="32"/>
          <w:szCs w:val="32"/>
        </w:rPr>
        <w:t>万元，其中：人员经费</w:t>
      </w:r>
      <w:r>
        <w:rPr>
          <w:rFonts w:hint="eastAsia" w:ascii="仿宋_GB2312" w:hAnsi="宋体" w:eastAsia="仿宋_GB2312"/>
          <w:sz w:val="32"/>
          <w:szCs w:val="32"/>
          <w:lang w:val="en-US" w:eastAsia="zh-CN"/>
        </w:rPr>
        <w:t>1392.61</w:t>
      </w:r>
      <w:r>
        <w:rPr>
          <w:rFonts w:hint="eastAsia" w:ascii="仿宋_GB2312" w:hAnsi="宋体" w:eastAsia="仿宋_GB2312"/>
          <w:sz w:val="32"/>
          <w:szCs w:val="32"/>
        </w:rPr>
        <w:t>万元，主要包括基本工资、津贴补贴、奖金、其他社会保障缴费、机关事业单位基本养老保险缴费、其他工资福利支出、离休费、退休费、抚恤金、生活补助、奖励金、住房公积金、采暖补贴、其他对个人和家庭补助的支出；日常公用经费</w:t>
      </w:r>
      <w:r>
        <w:rPr>
          <w:rFonts w:hint="eastAsia" w:ascii="仿宋_GB2312" w:hAnsi="宋体" w:eastAsia="仿宋_GB2312"/>
          <w:sz w:val="32"/>
          <w:szCs w:val="32"/>
          <w:lang w:val="en-US" w:eastAsia="zh-CN"/>
        </w:rPr>
        <w:t>185.96</w:t>
      </w:r>
      <w:r>
        <w:rPr>
          <w:rFonts w:hint="eastAsia" w:ascii="仿宋_GB2312" w:hAnsi="宋体" w:eastAsia="仿宋_GB2312"/>
          <w:sz w:val="32"/>
          <w:szCs w:val="32"/>
        </w:rPr>
        <w:t>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w:t>
      </w:r>
    </w:p>
    <w:p>
      <w:pPr>
        <w:spacing w:line="540" w:lineRule="exact"/>
        <w:ind w:firstLine="640" w:firstLineChars="200"/>
        <w:rPr>
          <w:rFonts w:hint="eastAsia" w:ascii="黑体" w:hAnsi="黑体" w:eastAsia="黑体"/>
          <w:sz w:val="32"/>
          <w:szCs w:val="32"/>
        </w:rPr>
      </w:pPr>
      <w:r>
        <w:rPr>
          <w:rFonts w:hint="eastAsia" w:ascii="黑体" w:hAnsi="黑体" w:eastAsia="黑体"/>
          <w:sz w:val="32"/>
          <w:szCs w:val="32"/>
        </w:rPr>
        <w:t>五、其他重要事项的情况说明</w:t>
      </w:r>
    </w:p>
    <w:p>
      <w:pPr>
        <w:spacing w:line="540" w:lineRule="exact"/>
        <w:ind w:firstLine="643" w:firstLineChars="200"/>
        <w:rPr>
          <w:rFonts w:hint="eastAsia" w:ascii="楷体_GB2312" w:hAnsi="黑体" w:eastAsia="楷体_GB2312"/>
          <w:b/>
          <w:sz w:val="32"/>
          <w:szCs w:val="32"/>
        </w:rPr>
      </w:pPr>
      <w:r>
        <w:rPr>
          <w:rFonts w:hint="eastAsia" w:ascii="楷体_GB2312" w:hAnsi="黑体" w:eastAsia="楷体_GB2312"/>
          <w:b/>
          <w:sz w:val="32"/>
          <w:szCs w:val="32"/>
        </w:rPr>
        <w:t>（一）机关运行经费支出情况。</w:t>
      </w:r>
    </w:p>
    <w:p>
      <w:pPr>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lang w:eastAsia="zh-CN"/>
        </w:rPr>
        <w:t>2021</w:t>
      </w:r>
      <w:r>
        <w:rPr>
          <w:rFonts w:hint="eastAsia" w:ascii="仿宋_GB2312" w:hAnsi="黑体" w:eastAsia="仿宋_GB2312"/>
          <w:sz w:val="32"/>
          <w:szCs w:val="32"/>
        </w:rPr>
        <w:t>年机关运行经费支出</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万元，比上年增加（减少）</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万元，增长（降低）</w:t>
      </w:r>
      <w:r>
        <w:rPr>
          <w:rFonts w:hint="eastAsia" w:ascii="仿宋_GB2312" w:hAnsi="黑体" w:eastAsia="仿宋_GB2312"/>
          <w:sz w:val="32"/>
          <w:szCs w:val="32"/>
          <w:lang w:val="en-US" w:eastAsia="zh-CN"/>
        </w:rPr>
        <w:t>0</w:t>
      </w:r>
      <w:r>
        <w:rPr>
          <w:rFonts w:hint="eastAsia" w:ascii="仿宋_GB2312" w:hAnsi="黑体" w:eastAsia="仿宋_GB2312"/>
          <w:sz w:val="32"/>
          <w:szCs w:val="32"/>
        </w:rPr>
        <w:t>%，主要原因是。</w:t>
      </w:r>
    </w:p>
    <w:p>
      <w:pPr>
        <w:spacing w:line="540" w:lineRule="exact"/>
        <w:ind w:firstLine="643" w:firstLineChars="200"/>
        <w:rPr>
          <w:rFonts w:hint="eastAsia" w:ascii="楷体_GB2312" w:hAnsi="黑体" w:eastAsia="楷体_GB2312"/>
          <w:b/>
          <w:sz w:val="32"/>
          <w:szCs w:val="32"/>
        </w:rPr>
      </w:pPr>
      <w:r>
        <w:rPr>
          <w:rFonts w:hint="eastAsia" w:ascii="楷体_GB2312" w:hAnsi="黑体" w:eastAsia="楷体_GB2312"/>
          <w:b/>
          <w:sz w:val="32"/>
          <w:szCs w:val="32"/>
        </w:rPr>
        <w:t>（二）政府采购支出情况。</w:t>
      </w:r>
    </w:p>
    <w:p>
      <w:pPr>
        <w:spacing w:line="540" w:lineRule="exact"/>
        <w:ind w:firstLine="640" w:firstLineChars="200"/>
        <w:rPr>
          <w:rFonts w:hint="eastAsia" w:ascii="仿宋_GB2312" w:hAnsi="黑体" w:eastAsia="仿宋_GB2312"/>
          <w:sz w:val="32"/>
          <w:szCs w:val="32"/>
          <w:lang w:eastAsia="zh-CN"/>
        </w:rPr>
      </w:pPr>
      <w:r>
        <w:rPr>
          <w:rFonts w:hint="eastAsia" w:ascii="仿宋_GB2312" w:hAnsi="黑体" w:eastAsia="仿宋_GB2312"/>
          <w:sz w:val="32"/>
          <w:szCs w:val="32"/>
          <w:lang w:eastAsia="zh-CN"/>
        </w:rPr>
        <w:t>2021</w:t>
      </w:r>
      <w:r>
        <w:rPr>
          <w:rFonts w:hint="eastAsia" w:ascii="仿宋_GB2312" w:hAnsi="黑体" w:eastAsia="仿宋_GB2312"/>
          <w:sz w:val="32"/>
          <w:szCs w:val="32"/>
        </w:rPr>
        <w:t>年政府采购支出总额</w:t>
      </w:r>
      <w:r>
        <w:rPr>
          <w:rFonts w:hint="eastAsia" w:ascii="仿宋_GB2312" w:hAnsi="黑体" w:eastAsia="仿宋_GB2312"/>
          <w:sz w:val="32"/>
          <w:szCs w:val="32"/>
          <w:lang w:val="en-US" w:eastAsia="zh-CN"/>
        </w:rPr>
        <w:t>26.88</w:t>
      </w:r>
      <w:r>
        <w:rPr>
          <w:rFonts w:hint="eastAsia" w:ascii="仿宋_GB2312" w:hAnsi="黑体" w:eastAsia="仿宋_GB2312"/>
          <w:sz w:val="32"/>
          <w:szCs w:val="32"/>
        </w:rPr>
        <w:t>万元，其中：政府采购货物支出</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万元，政府采购工程支出</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万元，政府采购服务支出</w:t>
      </w:r>
      <w:r>
        <w:rPr>
          <w:rFonts w:hint="eastAsia" w:ascii="仿宋_GB2312" w:hAnsi="黑体" w:eastAsia="仿宋_GB2312"/>
          <w:sz w:val="32"/>
          <w:szCs w:val="32"/>
          <w:lang w:val="en-US" w:eastAsia="zh-CN"/>
        </w:rPr>
        <w:t>26.88</w:t>
      </w:r>
      <w:r>
        <w:rPr>
          <w:rFonts w:hint="eastAsia" w:ascii="仿宋_GB2312" w:hAnsi="黑体" w:eastAsia="仿宋_GB2312"/>
          <w:sz w:val="32"/>
          <w:szCs w:val="32"/>
        </w:rPr>
        <w:t>万元。</w:t>
      </w:r>
      <w:r>
        <w:rPr>
          <w:rFonts w:hint="eastAsia" w:ascii="仿宋_GB2312" w:eastAsia="仿宋_GB2312"/>
          <w:sz w:val="32"/>
          <w:szCs w:val="32"/>
        </w:rPr>
        <w:t>授予中小企业合同金额</w:t>
      </w:r>
      <w:r>
        <w:rPr>
          <w:rFonts w:hint="eastAsia" w:ascii="仿宋_GB2312" w:eastAsia="仿宋_GB2312"/>
          <w:sz w:val="32"/>
          <w:szCs w:val="32"/>
          <w:lang w:val="en-US" w:eastAsia="zh-CN"/>
        </w:rPr>
        <w:t>0</w:t>
      </w:r>
      <w:r>
        <w:rPr>
          <w:rFonts w:hint="eastAsia" w:ascii="仿宋_GB2312" w:eastAsia="仿宋_GB2312"/>
          <w:sz w:val="32"/>
          <w:szCs w:val="32"/>
        </w:rPr>
        <w:t>万元，占政府采购支出总额的</w:t>
      </w:r>
      <w:r>
        <w:rPr>
          <w:rFonts w:hint="eastAsia" w:ascii="仿宋_GB2312" w:eastAsia="仿宋_GB2312"/>
          <w:sz w:val="32"/>
          <w:szCs w:val="32"/>
          <w:lang w:val="en-US" w:eastAsia="zh-CN"/>
        </w:rPr>
        <w:t>0</w:t>
      </w:r>
      <w:r>
        <w:rPr>
          <w:rFonts w:hint="eastAsia" w:ascii="仿宋_GB2312" w:eastAsia="仿宋_GB2312"/>
          <w:sz w:val="32"/>
          <w:szCs w:val="32"/>
        </w:rPr>
        <w:t>%，其中：授予小微企业合同金额</w:t>
      </w:r>
      <w:r>
        <w:rPr>
          <w:rFonts w:hint="eastAsia" w:ascii="仿宋_GB2312" w:eastAsia="仿宋_GB2312"/>
          <w:sz w:val="32"/>
          <w:szCs w:val="32"/>
          <w:lang w:eastAsia="zh-CN"/>
        </w:rPr>
        <w:t>0</w:t>
      </w:r>
      <w:r>
        <w:rPr>
          <w:rFonts w:hint="eastAsia" w:ascii="仿宋_GB2312" w:eastAsia="仿宋_GB2312"/>
          <w:sz w:val="32"/>
          <w:szCs w:val="32"/>
        </w:rPr>
        <w:t>万元，占政府采购支出总额的</w:t>
      </w:r>
      <w:r>
        <w:rPr>
          <w:rFonts w:hint="eastAsia" w:ascii="仿宋_GB2312" w:eastAsia="仿宋_GB2312"/>
          <w:sz w:val="32"/>
          <w:szCs w:val="32"/>
          <w:lang w:eastAsia="zh-CN"/>
        </w:rPr>
        <w:t>0</w:t>
      </w:r>
      <w:r>
        <w:rPr>
          <w:rFonts w:hint="eastAsia" w:ascii="仿宋_GB2312" w:eastAsia="仿宋_GB2312"/>
          <w:sz w:val="32"/>
          <w:szCs w:val="32"/>
        </w:rPr>
        <w:t>%</w:t>
      </w:r>
      <w:r>
        <w:rPr>
          <w:rFonts w:hint="eastAsia" w:ascii="仿宋_GB2312" w:eastAsia="仿宋_GB2312"/>
          <w:sz w:val="32"/>
          <w:szCs w:val="32"/>
          <w:lang w:eastAsia="zh-CN"/>
        </w:rPr>
        <w:t>；货物采购授予中小企业合同金额占货物</w:t>
      </w:r>
      <w:r>
        <w:rPr>
          <w:rFonts w:hint="eastAsia" w:ascii="仿宋_GB2312" w:eastAsia="仿宋_GB2312"/>
          <w:sz w:val="32"/>
          <w:szCs w:val="32"/>
        </w:rPr>
        <w:t>支出</w:t>
      </w:r>
      <w:r>
        <w:rPr>
          <w:rFonts w:hint="eastAsia" w:ascii="仿宋_GB2312" w:eastAsia="仿宋_GB2312"/>
          <w:sz w:val="32"/>
          <w:szCs w:val="32"/>
          <w:lang w:eastAsia="zh-CN"/>
        </w:rPr>
        <w:t>金额的0</w:t>
      </w:r>
      <w:r>
        <w:rPr>
          <w:rFonts w:hint="eastAsia" w:ascii="仿宋_GB2312" w:eastAsia="仿宋_GB2312"/>
          <w:sz w:val="32"/>
          <w:szCs w:val="32"/>
        </w:rPr>
        <w:t>%</w:t>
      </w:r>
      <w:r>
        <w:rPr>
          <w:rFonts w:hint="eastAsia" w:ascii="仿宋_GB2312" w:eastAsia="仿宋_GB2312"/>
          <w:sz w:val="32"/>
          <w:szCs w:val="32"/>
          <w:lang w:eastAsia="zh-CN"/>
        </w:rPr>
        <w:t>；工程采购授予中小企业合同金额占货物</w:t>
      </w:r>
      <w:r>
        <w:rPr>
          <w:rFonts w:hint="eastAsia" w:ascii="仿宋_GB2312" w:eastAsia="仿宋_GB2312"/>
          <w:sz w:val="32"/>
          <w:szCs w:val="32"/>
        </w:rPr>
        <w:t>支出</w:t>
      </w:r>
      <w:r>
        <w:rPr>
          <w:rFonts w:hint="eastAsia" w:ascii="仿宋_GB2312" w:eastAsia="仿宋_GB2312"/>
          <w:sz w:val="32"/>
          <w:szCs w:val="32"/>
          <w:lang w:eastAsia="zh-CN"/>
        </w:rPr>
        <w:t>金额的0</w:t>
      </w:r>
      <w:r>
        <w:rPr>
          <w:rFonts w:hint="eastAsia" w:ascii="仿宋_GB2312" w:eastAsia="仿宋_GB2312"/>
          <w:sz w:val="32"/>
          <w:szCs w:val="32"/>
        </w:rPr>
        <w:t>%</w:t>
      </w:r>
      <w:r>
        <w:rPr>
          <w:rFonts w:hint="eastAsia" w:ascii="仿宋_GB2312" w:eastAsia="仿宋_GB2312"/>
          <w:sz w:val="32"/>
          <w:szCs w:val="32"/>
          <w:lang w:eastAsia="zh-CN"/>
        </w:rPr>
        <w:t>；服务采购授予中小企业合同金额占货物</w:t>
      </w:r>
      <w:r>
        <w:rPr>
          <w:rFonts w:hint="eastAsia" w:ascii="仿宋_GB2312" w:eastAsia="仿宋_GB2312"/>
          <w:sz w:val="32"/>
          <w:szCs w:val="32"/>
        </w:rPr>
        <w:t>支出</w:t>
      </w:r>
      <w:r>
        <w:rPr>
          <w:rFonts w:hint="eastAsia" w:ascii="仿宋_GB2312" w:eastAsia="仿宋_GB2312"/>
          <w:sz w:val="32"/>
          <w:szCs w:val="32"/>
          <w:lang w:eastAsia="zh-CN"/>
        </w:rPr>
        <w:t>金额的0</w:t>
      </w:r>
      <w:r>
        <w:rPr>
          <w:rFonts w:hint="eastAsia" w:ascii="仿宋_GB2312" w:eastAsia="仿宋_GB2312"/>
          <w:sz w:val="32"/>
          <w:szCs w:val="32"/>
        </w:rPr>
        <w:t>%</w:t>
      </w:r>
      <w:r>
        <w:rPr>
          <w:rFonts w:hint="eastAsia" w:ascii="仿宋_GB2312" w:eastAsia="仿宋_GB2312"/>
          <w:sz w:val="32"/>
          <w:szCs w:val="32"/>
          <w:lang w:eastAsia="zh-CN"/>
        </w:rPr>
        <w:t>。</w:t>
      </w:r>
    </w:p>
    <w:p>
      <w:pPr>
        <w:spacing w:line="540" w:lineRule="exact"/>
        <w:ind w:firstLine="643" w:firstLineChars="200"/>
        <w:rPr>
          <w:rFonts w:hint="eastAsia" w:ascii="楷体_GB2312" w:hAnsi="黑体" w:eastAsia="楷体_GB2312"/>
          <w:b/>
          <w:sz w:val="32"/>
          <w:szCs w:val="32"/>
        </w:rPr>
      </w:pPr>
      <w:r>
        <w:rPr>
          <w:rFonts w:hint="eastAsia" w:ascii="楷体_GB2312" w:hAnsi="黑体" w:eastAsia="楷体_GB2312"/>
          <w:b/>
          <w:sz w:val="32"/>
          <w:szCs w:val="32"/>
        </w:rPr>
        <w:t>（三）国有资产占用情况。</w:t>
      </w:r>
    </w:p>
    <w:p>
      <w:pPr>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截至</w:t>
      </w:r>
      <w:r>
        <w:rPr>
          <w:rFonts w:hint="eastAsia" w:ascii="仿宋_GB2312" w:hAnsi="黑体" w:eastAsia="仿宋_GB2312"/>
          <w:sz w:val="32"/>
          <w:szCs w:val="32"/>
          <w:lang w:eastAsia="zh-CN"/>
        </w:rPr>
        <w:t>2021</w:t>
      </w:r>
      <w:r>
        <w:rPr>
          <w:rFonts w:hint="eastAsia" w:ascii="仿宋_GB2312" w:hAnsi="黑体" w:eastAsia="仿宋_GB2312"/>
          <w:sz w:val="32"/>
          <w:szCs w:val="32"/>
        </w:rPr>
        <w:t>年12月31日，共有车辆</w:t>
      </w:r>
      <w:r>
        <w:rPr>
          <w:rFonts w:hint="eastAsia" w:ascii="仿宋_GB2312" w:hAnsi="黑体" w:eastAsia="仿宋_GB2312"/>
          <w:sz w:val="32"/>
          <w:szCs w:val="32"/>
          <w:lang w:val="en-US" w:eastAsia="zh-CN"/>
        </w:rPr>
        <w:t>8</w:t>
      </w:r>
      <w:r>
        <w:rPr>
          <w:rFonts w:hint="eastAsia" w:ascii="仿宋_GB2312" w:hAnsi="黑体" w:eastAsia="仿宋_GB2312"/>
          <w:sz w:val="32"/>
          <w:szCs w:val="32"/>
        </w:rPr>
        <w:t>辆，其中：副省级以上领导干部用车</w:t>
      </w:r>
      <w:r>
        <w:rPr>
          <w:rFonts w:hint="eastAsia" w:ascii="仿宋_GB2312" w:hAnsi="黑体" w:eastAsia="仿宋_GB2312"/>
          <w:sz w:val="32"/>
          <w:szCs w:val="32"/>
          <w:lang w:eastAsia="zh-CN"/>
        </w:rPr>
        <w:t>0</w:t>
      </w:r>
      <w:r>
        <w:rPr>
          <w:rFonts w:hint="eastAsia" w:ascii="仿宋_GB2312" w:hAnsi="黑体" w:eastAsia="仿宋_GB2312"/>
          <w:sz w:val="32"/>
          <w:szCs w:val="32"/>
        </w:rPr>
        <w:t>辆，主要</w:t>
      </w:r>
      <w:r>
        <w:rPr>
          <w:rFonts w:ascii="仿宋_GB2312" w:hAnsi="黑体" w:eastAsia="仿宋_GB2312"/>
          <w:sz w:val="32"/>
          <w:szCs w:val="32"/>
        </w:rPr>
        <w:t>领导干部</w:t>
      </w:r>
      <w:r>
        <w:rPr>
          <w:rFonts w:hint="eastAsia" w:ascii="仿宋_GB2312" w:hAnsi="黑体" w:eastAsia="仿宋_GB2312"/>
          <w:sz w:val="32"/>
          <w:szCs w:val="32"/>
        </w:rPr>
        <w:t>用车</w:t>
      </w:r>
      <w:r>
        <w:rPr>
          <w:rFonts w:hint="eastAsia" w:ascii="仿宋_GB2312" w:hAnsi="黑体" w:eastAsia="仿宋_GB2312"/>
          <w:sz w:val="32"/>
          <w:szCs w:val="32"/>
          <w:lang w:eastAsia="zh-CN"/>
        </w:rPr>
        <w:t>0</w:t>
      </w:r>
      <w:r>
        <w:rPr>
          <w:rFonts w:hint="eastAsia" w:ascii="仿宋_GB2312" w:hAnsi="黑体" w:eastAsia="仿宋_GB2312"/>
          <w:sz w:val="32"/>
          <w:szCs w:val="32"/>
        </w:rPr>
        <w:t>辆，机要通讯用车</w:t>
      </w:r>
      <w:r>
        <w:rPr>
          <w:rFonts w:hint="eastAsia" w:ascii="仿宋_GB2312" w:hAnsi="黑体" w:eastAsia="仿宋_GB2312"/>
          <w:sz w:val="32"/>
          <w:szCs w:val="32"/>
          <w:lang w:eastAsia="zh-CN"/>
        </w:rPr>
        <w:t>0</w:t>
      </w:r>
      <w:r>
        <w:rPr>
          <w:rFonts w:hint="eastAsia" w:ascii="仿宋_GB2312" w:hAnsi="黑体" w:eastAsia="仿宋_GB2312"/>
          <w:sz w:val="32"/>
          <w:szCs w:val="32"/>
        </w:rPr>
        <w:t>辆，应急</w:t>
      </w:r>
      <w:r>
        <w:rPr>
          <w:rFonts w:ascii="仿宋_GB2312" w:hAnsi="黑体" w:eastAsia="仿宋_GB2312"/>
          <w:sz w:val="32"/>
          <w:szCs w:val="32"/>
        </w:rPr>
        <w:t>保障用车</w:t>
      </w:r>
      <w:r>
        <w:rPr>
          <w:rFonts w:hint="eastAsia" w:ascii="仿宋_GB2312" w:hAnsi="黑体" w:eastAsia="仿宋_GB2312"/>
          <w:sz w:val="32"/>
          <w:szCs w:val="32"/>
          <w:lang w:eastAsia="zh-CN"/>
        </w:rPr>
        <w:t>0</w:t>
      </w:r>
      <w:r>
        <w:rPr>
          <w:rFonts w:ascii="仿宋_GB2312" w:hAnsi="黑体" w:eastAsia="仿宋_GB2312"/>
          <w:sz w:val="32"/>
          <w:szCs w:val="32"/>
        </w:rPr>
        <w:t>辆，</w:t>
      </w:r>
      <w:r>
        <w:rPr>
          <w:rFonts w:hint="eastAsia" w:ascii="仿宋_GB2312" w:hAnsi="黑体" w:eastAsia="仿宋_GB2312"/>
          <w:sz w:val="32"/>
          <w:szCs w:val="32"/>
        </w:rPr>
        <w:t>执法执勤</w:t>
      </w:r>
      <w:r>
        <w:rPr>
          <w:rFonts w:ascii="仿宋_GB2312" w:hAnsi="黑体" w:eastAsia="仿宋_GB2312"/>
          <w:sz w:val="32"/>
          <w:szCs w:val="32"/>
        </w:rPr>
        <w:t>用车</w:t>
      </w:r>
      <w:r>
        <w:rPr>
          <w:rFonts w:hint="eastAsia" w:ascii="仿宋_GB2312" w:hAnsi="黑体" w:eastAsia="仿宋_GB2312"/>
          <w:sz w:val="32"/>
          <w:szCs w:val="32"/>
          <w:lang w:val="en-US" w:eastAsia="zh-CN"/>
        </w:rPr>
        <w:t>8</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特种专业技术用车</w:t>
      </w:r>
      <w:r>
        <w:rPr>
          <w:rFonts w:hint="eastAsia" w:ascii="仿宋_GB2312" w:hAnsi="黑体" w:eastAsia="仿宋_GB2312"/>
          <w:sz w:val="32"/>
          <w:szCs w:val="32"/>
          <w:lang w:eastAsia="zh-CN"/>
        </w:rPr>
        <w:t>0</w:t>
      </w:r>
      <w:r>
        <w:rPr>
          <w:rFonts w:hint="eastAsia" w:ascii="仿宋_GB2312" w:hAnsi="黑体" w:eastAsia="仿宋_GB2312"/>
          <w:sz w:val="32"/>
          <w:szCs w:val="32"/>
        </w:rPr>
        <w:t>辆，离退休</w:t>
      </w:r>
      <w:r>
        <w:rPr>
          <w:rFonts w:ascii="仿宋_GB2312" w:hAnsi="黑体" w:eastAsia="仿宋_GB2312"/>
          <w:sz w:val="32"/>
          <w:szCs w:val="32"/>
        </w:rPr>
        <w:t>干部用车</w:t>
      </w:r>
      <w:r>
        <w:rPr>
          <w:rFonts w:hint="eastAsia" w:ascii="仿宋_GB2312" w:hAnsi="黑体" w:eastAsia="仿宋_GB2312"/>
          <w:sz w:val="32"/>
          <w:szCs w:val="32"/>
          <w:lang w:eastAsia="zh-CN"/>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其他用车</w:t>
      </w:r>
      <w:r>
        <w:rPr>
          <w:rFonts w:hint="eastAsia" w:ascii="仿宋_GB2312" w:hAnsi="黑体" w:eastAsia="仿宋_GB2312"/>
          <w:sz w:val="32"/>
          <w:szCs w:val="32"/>
          <w:lang w:val="en-US" w:eastAsia="zh-CN"/>
        </w:rPr>
        <w:t>0</w:t>
      </w:r>
      <w:r>
        <w:rPr>
          <w:rFonts w:hint="eastAsia" w:ascii="仿宋_GB2312" w:hAnsi="黑体" w:eastAsia="仿宋_GB2312"/>
          <w:sz w:val="32"/>
          <w:szCs w:val="32"/>
        </w:rPr>
        <w:t>辆，其他用车主要是</w:t>
      </w:r>
      <w:r>
        <w:rPr>
          <w:rFonts w:ascii="仿宋_GB2312" w:hAnsi="黑体" w:eastAsia="仿宋_GB2312"/>
          <w:sz w:val="32"/>
          <w:szCs w:val="32"/>
        </w:rPr>
        <w:t>……</w:t>
      </w:r>
      <w:r>
        <w:rPr>
          <w:rFonts w:hint="eastAsia" w:ascii="仿宋_GB2312" w:hAnsi="黑体" w:eastAsia="仿宋_GB2312"/>
          <w:sz w:val="32"/>
          <w:szCs w:val="32"/>
        </w:rPr>
        <w:t>；单位价值50万元以上通用设备</w:t>
      </w:r>
      <w:r>
        <w:rPr>
          <w:rFonts w:hint="eastAsia" w:ascii="仿宋_GB2312" w:hAnsi="黑体" w:eastAsia="仿宋_GB2312"/>
          <w:sz w:val="32"/>
          <w:szCs w:val="32"/>
          <w:lang w:eastAsia="zh-CN"/>
        </w:rPr>
        <w:t>0</w:t>
      </w:r>
      <w:r>
        <w:rPr>
          <w:rFonts w:hint="eastAsia" w:ascii="仿宋_GB2312" w:hAnsi="黑体" w:eastAsia="仿宋_GB2312"/>
          <w:sz w:val="32"/>
          <w:szCs w:val="32"/>
        </w:rPr>
        <w:t>台（套），单价100万元以上专用设备</w:t>
      </w:r>
      <w:r>
        <w:rPr>
          <w:rFonts w:hint="eastAsia" w:ascii="仿宋_GB2312" w:hAnsi="黑体" w:eastAsia="仿宋_GB2312"/>
          <w:sz w:val="32"/>
          <w:szCs w:val="32"/>
          <w:lang w:eastAsia="zh-CN"/>
        </w:rPr>
        <w:t>0</w:t>
      </w:r>
      <w:r>
        <w:rPr>
          <w:rFonts w:hint="eastAsia" w:ascii="仿宋_GB2312" w:hAnsi="黑体" w:eastAsia="仿宋_GB2312"/>
          <w:sz w:val="32"/>
          <w:szCs w:val="32"/>
        </w:rPr>
        <w:t>台（套）。</w:t>
      </w:r>
    </w:p>
    <w:p>
      <w:pPr>
        <w:keepNext w:val="0"/>
        <w:keepLines w:val="0"/>
        <w:widowControl/>
        <w:suppressLineNumbers w:val="0"/>
        <w:spacing w:before="0" w:beforeAutospacing="0" w:after="0" w:afterAutospacing="0" w:line="540" w:lineRule="exact"/>
        <w:ind w:left="0" w:right="0" w:firstLine="643" w:firstLineChars="200"/>
        <w:jc w:val="left"/>
        <w:rPr>
          <w:color w:val="auto"/>
          <w:highlight w:val="none"/>
          <w:shd w:val="clear" w:color="auto" w:fill="auto"/>
        </w:rPr>
      </w:pPr>
      <w:r>
        <w:rPr>
          <w:rFonts w:ascii="楷体_GB2312" w:hAnsi="宋体" w:eastAsia="楷体_GB2312" w:cs="楷体_GB2312"/>
          <w:b/>
          <w:color w:val="auto"/>
          <w:kern w:val="2"/>
          <w:sz w:val="32"/>
          <w:szCs w:val="32"/>
          <w:highlight w:val="none"/>
          <w:shd w:val="clear" w:color="auto" w:fill="auto"/>
          <w:lang w:val="en-US" w:eastAsia="zh-CN" w:bidi="ar"/>
        </w:rPr>
        <w:t>（四）预算绩效情况。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3" w:firstLineChars="200"/>
        <w:jc w:val="left"/>
        <w:textAlignment w:val="auto"/>
        <w:rPr>
          <w:rFonts w:hint="eastAsia" w:ascii="仿宋_GB2312" w:hAnsi="仿宋_GB2312" w:eastAsia="仿宋_GB2312" w:cs="仿宋_GB2312"/>
          <w:color w:val="auto"/>
          <w:highlight w:val="none"/>
          <w:shd w:val="clear" w:color="auto" w:fill="auto"/>
        </w:rPr>
      </w:pPr>
      <w:r>
        <w:rPr>
          <w:rFonts w:hint="eastAsia" w:ascii="仿宋_GB2312" w:hAnsi="仿宋_GB2312" w:eastAsia="仿宋_GB2312" w:cs="仿宋_GB2312"/>
          <w:b/>
          <w:color w:val="auto"/>
          <w:kern w:val="2"/>
          <w:sz w:val="32"/>
          <w:szCs w:val="32"/>
          <w:highlight w:val="none"/>
          <w:shd w:val="clear" w:color="auto" w:fill="auto"/>
          <w:lang w:val="en-US" w:eastAsia="zh-CN" w:bidi="ar"/>
        </w:rPr>
        <w:t>1.预算绩效管理工作开展情况。</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3" w:firstLineChars="200"/>
        <w:jc w:val="left"/>
        <w:textAlignment w:val="auto"/>
        <w:rPr>
          <w:color w:val="auto"/>
          <w:highlight w:val="none"/>
          <w:shd w:val="clear" w:color="auto" w:fill="auto"/>
        </w:rPr>
      </w:pPr>
      <w:r>
        <w:rPr>
          <w:rFonts w:hint="eastAsia" w:hAnsi="宋体" w:eastAsia="仿宋_GB2312" w:cs="仿宋_GB2312"/>
          <w:b/>
          <w:bCs/>
          <w:color w:val="auto"/>
          <w:kern w:val="2"/>
          <w:sz w:val="32"/>
          <w:szCs w:val="32"/>
          <w:highlight w:val="none"/>
          <w:shd w:val="clear" w:color="auto" w:fill="auto"/>
          <w:lang w:val="en-US" w:eastAsia="zh-CN" w:bidi="ar"/>
        </w:rPr>
        <w:t>（1）绩效自评情况。</w:t>
      </w:r>
      <w:r>
        <w:rPr>
          <w:rFonts w:ascii="仿宋_GB2312" w:hAnsi="宋体" w:eastAsia="仿宋_GB2312" w:cs="仿宋_GB2312"/>
          <w:color w:val="auto"/>
          <w:kern w:val="2"/>
          <w:sz w:val="32"/>
          <w:szCs w:val="32"/>
          <w:highlight w:val="none"/>
          <w:shd w:val="clear" w:color="auto" w:fill="auto"/>
          <w:lang w:val="en-US" w:eastAsia="zh-CN" w:bidi="ar"/>
        </w:rPr>
        <w:t>根据预算</w:t>
      </w:r>
      <w:r>
        <w:rPr>
          <w:rFonts w:hint="eastAsia" w:hAnsi="宋体" w:eastAsia="仿宋_GB2312" w:cs="仿宋_GB2312"/>
          <w:color w:val="auto"/>
          <w:kern w:val="2"/>
          <w:sz w:val="32"/>
          <w:szCs w:val="32"/>
          <w:highlight w:val="none"/>
          <w:shd w:val="clear" w:color="auto" w:fill="auto"/>
          <w:lang w:val="en-US" w:eastAsia="zh-CN" w:bidi="ar"/>
        </w:rPr>
        <w:t>绩效</w:t>
      </w:r>
      <w:r>
        <w:rPr>
          <w:rFonts w:ascii="仿宋_GB2312" w:hAnsi="宋体" w:eastAsia="仿宋_GB2312" w:cs="仿宋_GB2312"/>
          <w:color w:val="auto"/>
          <w:kern w:val="2"/>
          <w:sz w:val="32"/>
          <w:szCs w:val="32"/>
          <w:highlight w:val="none"/>
          <w:shd w:val="clear" w:color="auto" w:fill="auto"/>
          <w:lang w:val="en-US" w:eastAsia="zh-CN" w:bidi="ar"/>
        </w:rPr>
        <w:t>管理要求，我</w:t>
      </w:r>
      <w:r>
        <w:rPr>
          <w:rFonts w:hint="eastAsia" w:ascii="仿宋_GB2312" w:hAnsi="宋体" w:eastAsia="仿宋_GB2312" w:cs="仿宋_GB2312"/>
          <w:color w:val="auto"/>
          <w:kern w:val="2"/>
          <w:sz w:val="32"/>
          <w:szCs w:val="32"/>
          <w:highlight w:val="none"/>
          <w:shd w:val="clear" w:color="auto" w:fill="auto"/>
          <w:lang w:val="en-US" w:eastAsia="zh-CN" w:bidi="ar"/>
        </w:rPr>
        <w:t>部门</w:t>
      </w:r>
      <w:r>
        <w:rPr>
          <w:rFonts w:ascii="仿宋_GB2312" w:hAnsi="宋体" w:eastAsia="仿宋_GB2312" w:cs="仿宋_GB2312"/>
          <w:color w:val="auto"/>
          <w:kern w:val="2"/>
          <w:sz w:val="32"/>
          <w:szCs w:val="32"/>
          <w:highlight w:val="none"/>
          <w:shd w:val="clear" w:color="auto" w:fill="auto"/>
          <w:lang w:val="en-US" w:eastAsia="zh-CN" w:bidi="ar"/>
        </w:rPr>
        <w:t>组织对</w:t>
      </w:r>
      <w:r>
        <w:rPr>
          <w:rFonts w:hint="eastAsia" w:ascii="仿宋_GB2312" w:hAnsi="宋体" w:eastAsia="仿宋_GB2312" w:cs="宋体"/>
          <w:color w:val="auto"/>
          <w:kern w:val="2"/>
          <w:sz w:val="32"/>
          <w:szCs w:val="32"/>
          <w:highlight w:val="none"/>
          <w:shd w:val="clear" w:color="auto" w:fill="auto"/>
          <w:lang w:val="en-US" w:eastAsia="zh-CN" w:bidi="ar"/>
        </w:rPr>
        <w:t>2021</w:t>
      </w:r>
      <w:r>
        <w:rPr>
          <w:rFonts w:hint="eastAsia" w:ascii="仿宋_GB2312" w:hAnsi="宋体" w:eastAsia="仿宋_GB2312" w:cs="仿宋_GB2312"/>
          <w:color w:val="auto"/>
          <w:kern w:val="2"/>
          <w:sz w:val="32"/>
          <w:szCs w:val="32"/>
          <w:highlight w:val="none"/>
          <w:shd w:val="clear" w:color="auto" w:fill="auto"/>
          <w:lang w:val="en-US" w:eastAsia="zh-CN" w:bidi="ar"/>
        </w:rPr>
        <w:t>年度预算项目支出全面开展绩效自评，共涉及预算支出项目9个，涉及资金351.1万元，自评覆盖率（开展绩效自评的项目数</w:t>
      </w:r>
      <w:r>
        <w:rPr>
          <w:rFonts w:hint="eastAsia" w:ascii="仿宋_GB2312" w:hAnsi="宋体" w:eastAsia="仿宋_GB2312" w:cs="宋体"/>
          <w:color w:val="auto"/>
          <w:kern w:val="2"/>
          <w:sz w:val="32"/>
          <w:szCs w:val="32"/>
          <w:highlight w:val="none"/>
          <w:shd w:val="clear" w:color="auto" w:fill="auto"/>
          <w:lang w:val="en-US" w:eastAsia="zh-CN" w:bidi="ar"/>
        </w:rPr>
        <w:t>/年初批复绩效目标的项目数）达到100%，自评平均分（开展绩效自评的项目分数总和/开展绩效自评的项目数）100</w:t>
      </w:r>
      <w:r>
        <w:rPr>
          <w:rFonts w:hint="eastAsia" w:ascii="仿宋_GB2312" w:hAnsi="宋体" w:eastAsia="仿宋_GB2312" w:cs="仿宋_GB2312"/>
          <w:color w:val="auto"/>
          <w:kern w:val="2"/>
          <w:sz w:val="32"/>
          <w:szCs w:val="32"/>
          <w:highlight w:val="none"/>
          <w:shd w:val="clear" w:color="auto" w:fill="auto"/>
          <w:lang w:val="en-US" w:eastAsia="zh-CN" w:bidi="ar"/>
        </w:rPr>
        <w:t>分。</w:t>
      </w:r>
      <w:r>
        <w:rPr>
          <w:rFonts w:hint="eastAsia" w:hAnsi="宋体" w:eastAsia="仿宋_GB2312" w:cs="仿宋_GB2312"/>
          <w:color w:val="auto"/>
          <w:kern w:val="2"/>
          <w:sz w:val="32"/>
          <w:szCs w:val="32"/>
          <w:highlight w:val="none"/>
          <w:shd w:val="clear" w:color="auto" w:fill="auto"/>
          <w:lang w:val="en-US" w:eastAsia="zh-CN" w:bidi="ar"/>
        </w:rPr>
        <w:t>组织对</w:t>
      </w:r>
      <w:r>
        <w:rPr>
          <w:rFonts w:hint="eastAsia" w:ascii="仿宋_GB2312" w:hAnsi="宋体" w:eastAsia="仿宋_GB2312" w:cs="仿宋_GB2312"/>
          <w:color w:val="auto"/>
          <w:kern w:val="2"/>
          <w:sz w:val="32"/>
          <w:szCs w:val="32"/>
          <w:highlight w:val="none"/>
          <w:shd w:val="clear" w:color="auto" w:fill="auto"/>
          <w:lang w:val="en-US" w:eastAsia="zh-CN" w:bidi="ar"/>
        </w:rPr>
        <w:t>0</w:t>
      </w:r>
      <w:r>
        <w:rPr>
          <w:rFonts w:hint="eastAsia" w:hAnsi="宋体" w:eastAsia="仿宋_GB2312" w:cs="仿宋_GB2312"/>
          <w:color w:val="auto"/>
          <w:kern w:val="2"/>
          <w:sz w:val="32"/>
          <w:szCs w:val="32"/>
          <w:highlight w:val="none"/>
          <w:shd w:val="clear" w:color="auto" w:fill="auto"/>
          <w:lang w:val="en-US" w:eastAsia="zh-CN" w:bidi="ar"/>
        </w:rPr>
        <w:t>个单位开展整体绩效自评，涉及资金</w:t>
      </w:r>
      <w:r>
        <w:rPr>
          <w:rFonts w:hint="eastAsia" w:ascii="仿宋_GB2312" w:hAnsi="宋体" w:eastAsia="仿宋_GB2312" w:cs="仿宋_GB2312"/>
          <w:color w:val="auto"/>
          <w:kern w:val="2"/>
          <w:sz w:val="32"/>
          <w:szCs w:val="32"/>
          <w:highlight w:val="none"/>
          <w:shd w:val="clear" w:color="auto" w:fill="auto"/>
          <w:lang w:val="en-US" w:eastAsia="zh-CN" w:bidi="ar"/>
        </w:rPr>
        <w:t>0</w:t>
      </w:r>
      <w:r>
        <w:rPr>
          <w:rFonts w:hint="eastAsia" w:hAnsi="宋体" w:eastAsia="仿宋_GB2312" w:cs="仿宋_GB2312"/>
          <w:color w:val="auto"/>
          <w:kern w:val="2"/>
          <w:sz w:val="32"/>
          <w:szCs w:val="32"/>
          <w:highlight w:val="none"/>
          <w:shd w:val="clear" w:color="auto" w:fill="auto"/>
          <w:lang w:val="en-US" w:eastAsia="zh-CN" w:bidi="ar"/>
        </w:rPr>
        <w:t>万元，自评平均分</w:t>
      </w:r>
      <w:r>
        <w:rPr>
          <w:rFonts w:hint="eastAsia" w:ascii="仿宋_GB2312" w:hAnsi="宋体" w:eastAsia="仿宋_GB2312" w:cs="仿宋_GB2312"/>
          <w:color w:val="auto"/>
          <w:kern w:val="2"/>
          <w:sz w:val="32"/>
          <w:szCs w:val="32"/>
          <w:highlight w:val="none"/>
          <w:shd w:val="clear" w:color="auto" w:fill="auto"/>
          <w:lang w:val="en-US" w:eastAsia="zh-CN" w:bidi="ar"/>
        </w:rPr>
        <w:t>0</w:t>
      </w:r>
      <w:r>
        <w:rPr>
          <w:rFonts w:hint="eastAsia" w:hAnsi="宋体" w:eastAsia="仿宋_GB2312" w:cs="仿宋_GB2312"/>
          <w:color w:val="auto"/>
          <w:kern w:val="2"/>
          <w:sz w:val="32"/>
          <w:szCs w:val="32"/>
          <w:highlight w:val="none"/>
          <w:shd w:val="clear" w:color="auto" w:fill="auto"/>
          <w:lang w:val="en-US" w:eastAsia="zh-CN" w:bidi="ar"/>
        </w:rPr>
        <w:t>分。</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520" w:lineRule="exact"/>
        <w:ind w:right="0" w:rightChars="0" w:firstLine="643" w:firstLineChars="200"/>
        <w:jc w:val="left"/>
        <w:textAlignment w:val="auto"/>
        <w:rPr>
          <w:rFonts w:hint="eastAsia" w:ascii="仿宋_GB2312" w:hAnsi="宋体" w:eastAsia="仿宋_GB2312" w:cs="仿宋_GB2312"/>
          <w:color w:val="auto"/>
          <w:kern w:val="2"/>
          <w:sz w:val="32"/>
          <w:szCs w:val="32"/>
          <w:highlight w:val="none"/>
          <w:shd w:val="clear" w:color="auto" w:fill="auto"/>
          <w:lang w:val="en-US" w:eastAsia="zh-CN" w:bidi="ar"/>
        </w:rPr>
      </w:pPr>
      <w:r>
        <w:rPr>
          <w:rFonts w:hint="eastAsia" w:hAnsi="宋体" w:eastAsia="仿宋_GB2312" w:cs="仿宋_GB2312"/>
          <w:b/>
          <w:bCs/>
          <w:color w:val="auto"/>
          <w:kern w:val="2"/>
          <w:sz w:val="32"/>
          <w:szCs w:val="32"/>
          <w:highlight w:val="none"/>
          <w:shd w:val="clear" w:color="auto" w:fill="auto"/>
          <w:lang w:val="en-US" w:eastAsia="zh-CN" w:bidi="ar"/>
        </w:rPr>
        <w:t>（2）部门评价情况。</w:t>
      </w:r>
      <w:r>
        <w:rPr>
          <w:rFonts w:hint="eastAsia" w:hAnsi="宋体" w:eastAsia="仿宋_GB2312" w:cs="仿宋_GB2312"/>
          <w:color w:val="auto"/>
          <w:kern w:val="2"/>
          <w:sz w:val="32"/>
          <w:szCs w:val="32"/>
          <w:highlight w:val="none"/>
          <w:shd w:val="clear" w:color="auto" w:fill="auto"/>
          <w:lang w:val="en-US" w:eastAsia="zh-CN" w:bidi="ar"/>
        </w:rPr>
        <w:t>我部门</w:t>
      </w:r>
      <w:r>
        <w:rPr>
          <w:rFonts w:hint="eastAsia" w:ascii="仿宋" w:hAnsi="仿宋" w:eastAsia="仿宋"/>
          <w:sz w:val="32"/>
          <w:highlight w:val="none"/>
        </w:rPr>
        <w:t>组织对</w:t>
      </w:r>
      <w:r>
        <w:rPr>
          <w:rFonts w:hint="eastAsia" w:ascii="仿宋" w:hAnsi="仿宋" w:eastAsia="仿宋"/>
          <w:sz w:val="32"/>
          <w:highlight w:val="none"/>
          <w:lang w:eastAsia="zh-CN"/>
        </w:rPr>
        <w:t>“</w:t>
      </w:r>
      <w:r>
        <w:rPr>
          <w:rFonts w:hint="eastAsia" w:ascii="仿宋" w:hAnsi="仿宋" w:eastAsia="仿宋"/>
          <w:sz w:val="32"/>
          <w:highlight w:val="none"/>
          <w:lang w:val="en-US" w:eastAsia="zh-CN"/>
        </w:rPr>
        <w:t>堤坝维护费</w:t>
      </w:r>
      <w:r>
        <w:rPr>
          <w:rFonts w:hint="eastAsia" w:ascii="仿宋" w:hAnsi="仿宋" w:eastAsia="仿宋"/>
          <w:sz w:val="32"/>
          <w:highlight w:val="none"/>
          <w:lang w:eastAsia="zh-CN"/>
        </w:rPr>
        <w:t>”</w:t>
      </w:r>
      <w:r>
        <w:rPr>
          <w:rFonts w:hint="eastAsia" w:ascii="仿宋" w:hAnsi="仿宋" w:eastAsia="仿宋"/>
          <w:sz w:val="32"/>
          <w:highlight w:val="none"/>
        </w:rPr>
        <w:t>等</w:t>
      </w:r>
      <w:r>
        <w:rPr>
          <w:rFonts w:hint="eastAsia" w:ascii="仿宋" w:hAnsi="仿宋" w:eastAsia="仿宋"/>
          <w:sz w:val="32"/>
          <w:highlight w:val="none"/>
          <w:lang w:val="en-US" w:eastAsia="zh-CN"/>
        </w:rPr>
        <w:t>9</w:t>
      </w:r>
      <w:r>
        <w:rPr>
          <w:rFonts w:hint="eastAsia" w:ascii="仿宋" w:hAnsi="仿宋" w:eastAsia="仿宋"/>
          <w:sz w:val="32"/>
          <w:highlight w:val="none"/>
        </w:rPr>
        <w:t>个项目开展了部门评价</w:t>
      </w:r>
      <w:r>
        <w:rPr>
          <w:rFonts w:hint="eastAsia" w:ascii="仿宋" w:hAnsi="仿宋" w:eastAsia="仿宋"/>
          <w:sz w:val="32"/>
          <w:highlight w:val="none"/>
          <w:lang w:eastAsia="zh-CN"/>
        </w:rPr>
        <w:t>，</w:t>
      </w:r>
      <w:r>
        <w:rPr>
          <w:rFonts w:hint="eastAsia" w:hAnsi="宋体" w:eastAsia="仿宋_GB2312" w:cs="仿宋_GB2312"/>
          <w:color w:val="auto"/>
          <w:kern w:val="2"/>
          <w:sz w:val="32"/>
          <w:szCs w:val="32"/>
          <w:highlight w:val="none"/>
          <w:shd w:val="clear" w:color="auto" w:fill="auto"/>
          <w:lang w:val="en-US" w:eastAsia="zh-CN" w:bidi="ar"/>
        </w:rPr>
        <w:t>涉及资金351.1万元。</w:t>
      </w:r>
      <w:r>
        <w:rPr>
          <w:rFonts w:hint="eastAsia" w:ascii="仿宋" w:hAnsi="仿宋" w:eastAsia="仿宋"/>
          <w:sz w:val="32"/>
          <w:highlight w:val="none"/>
          <w:lang w:eastAsia="zh-CN"/>
        </w:rPr>
        <w:t>其中，对</w:t>
      </w:r>
      <w:r>
        <w:rPr>
          <w:rFonts w:hint="eastAsia" w:hAnsi="宋体" w:eastAsia="仿宋_GB2312" w:cs="仿宋_GB2312"/>
          <w:color w:val="auto"/>
          <w:kern w:val="2"/>
          <w:sz w:val="32"/>
          <w:szCs w:val="32"/>
          <w:highlight w:val="none"/>
          <w:shd w:val="clear" w:color="auto" w:fill="auto"/>
          <w:lang w:val="en-US" w:eastAsia="zh-CN" w:bidi="ar"/>
        </w:rPr>
        <w:t>“</w:t>
      </w:r>
      <w:r>
        <w:rPr>
          <w:rFonts w:hint="eastAsia" w:ascii="仿宋_GB2312" w:hAnsi="宋体" w:eastAsia="仿宋_GB2312" w:cs="仿宋_GB2312"/>
          <w:color w:val="auto"/>
          <w:kern w:val="2"/>
          <w:sz w:val="32"/>
          <w:szCs w:val="32"/>
          <w:highlight w:val="none"/>
          <w:shd w:val="clear" w:color="auto" w:fill="auto"/>
          <w:lang w:val="en-US" w:eastAsia="zh-CN" w:bidi="ar"/>
        </w:rPr>
        <w:t>0</w:t>
      </w:r>
      <w:r>
        <w:rPr>
          <w:rFonts w:hint="eastAsia" w:hAnsi="宋体" w:eastAsia="仿宋_GB2312" w:cs="仿宋_GB2312"/>
          <w:color w:val="auto"/>
          <w:kern w:val="2"/>
          <w:sz w:val="32"/>
          <w:szCs w:val="32"/>
          <w:highlight w:val="none"/>
          <w:shd w:val="clear" w:color="auto" w:fill="auto"/>
          <w:lang w:val="en-US" w:eastAsia="zh-CN" w:bidi="ar"/>
        </w:rPr>
        <w:t>”“</w:t>
      </w:r>
      <w:r>
        <w:rPr>
          <w:rFonts w:hint="eastAsia" w:ascii="仿宋_GB2312" w:hAnsi="宋体" w:eastAsia="仿宋_GB2312" w:cs="仿宋_GB2312"/>
          <w:color w:val="auto"/>
          <w:kern w:val="2"/>
          <w:sz w:val="32"/>
          <w:szCs w:val="32"/>
          <w:highlight w:val="none"/>
          <w:shd w:val="clear" w:color="auto" w:fill="auto"/>
          <w:lang w:val="en-US" w:eastAsia="zh-CN" w:bidi="ar"/>
        </w:rPr>
        <w:t>0</w:t>
      </w:r>
      <w:r>
        <w:rPr>
          <w:rFonts w:hint="eastAsia" w:hAnsi="宋体" w:eastAsia="仿宋_GB2312" w:cs="仿宋_GB2312"/>
          <w:color w:val="auto"/>
          <w:kern w:val="2"/>
          <w:sz w:val="32"/>
          <w:szCs w:val="32"/>
          <w:highlight w:val="none"/>
          <w:shd w:val="clear" w:color="auto" w:fill="auto"/>
          <w:lang w:val="en-US" w:eastAsia="zh-CN" w:bidi="ar"/>
        </w:rPr>
        <w:t>”等项目分别委托</w:t>
      </w:r>
      <w:r>
        <w:rPr>
          <w:rFonts w:hint="eastAsia" w:ascii="仿宋" w:hAnsi="仿宋" w:eastAsia="仿宋"/>
          <w:sz w:val="32"/>
          <w:highlight w:val="none"/>
        </w:rPr>
        <w:t>“</w:t>
      </w:r>
      <w:r>
        <w:rPr>
          <w:rFonts w:hint="eastAsia" w:ascii="仿宋_GB2312" w:hAnsi="宋体" w:eastAsia="仿宋_GB2312" w:cs="仿宋_GB2312"/>
          <w:color w:val="auto"/>
          <w:kern w:val="2"/>
          <w:sz w:val="32"/>
          <w:szCs w:val="32"/>
          <w:highlight w:val="none"/>
          <w:shd w:val="clear" w:color="auto" w:fill="auto"/>
          <w:lang w:val="en-US" w:eastAsia="zh-CN" w:bidi="ar"/>
        </w:rPr>
        <w:t>0</w:t>
      </w:r>
      <w:r>
        <w:rPr>
          <w:rFonts w:hint="eastAsia" w:ascii="仿宋" w:hAnsi="仿宋" w:eastAsia="仿宋"/>
          <w:sz w:val="32"/>
          <w:highlight w:val="none"/>
        </w:rPr>
        <w:t>”“</w:t>
      </w:r>
      <w:r>
        <w:rPr>
          <w:rFonts w:hint="eastAsia" w:ascii="仿宋_GB2312" w:hAnsi="宋体" w:eastAsia="仿宋_GB2312" w:cs="仿宋_GB2312"/>
          <w:color w:val="auto"/>
          <w:kern w:val="2"/>
          <w:sz w:val="32"/>
          <w:szCs w:val="32"/>
          <w:highlight w:val="none"/>
          <w:shd w:val="clear" w:color="auto" w:fill="auto"/>
          <w:lang w:val="en-US" w:eastAsia="zh-CN" w:bidi="ar"/>
        </w:rPr>
        <w:t>0</w:t>
      </w:r>
      <w:r>
        <w:rPr>
          <w:rFonts w:hint="eastAsia" w:ascii="仿宋" w:hAnsi="仿宋" w:eastAsia="仿宋"/>
          <w:sz w:val="32"/>
          <w:highlight w:val="none"/>
        </w:rPr>
        <w:t>”等第三方机构开展绩效评价</w:t>
      </w:r>
      <w:r>
        <w:rPr>
          <w:rFonts w:hint="eastAsia" w:hAnsi="宋体" w:eastAsia="仿宋_GB2312" w:cs="仿宋_GB2312"/>
          <w:color w:val="auto"/>
          <w:kern w:val="2"/>
          <w:sz w:val="32"/>
          <w:szCs w:val="32"/>
          <w:highlight w:val="none"/>
          <w:shd w:val="clear" w:color="auto" w:fill="auto"/>
          <w:lang w:val="en-US" w:eastAsia="zh-CN" w:bidi="ar"/>
        </w:rPr>
        <w:t>。通过部门绩效评价发现主要存在以下问题：</w:t>
      </w:r>
      <w:r>
        <w:rPr>
          <w:rFonts w:ascii="黑体" w:hAnsi="宋体" w:eastAsia="黑体" w:cs="黑体"/>
          <w:color w:val="auto"/>
          <w:kern w:val="2"/>
          <w:sz w:val="32"/>
          <w:szCs w:val="32"/>
          <w:highlight w:val="none"/>
          <w:shd w:val="clear" w:color="auto" w:fill="auto"/>
          <w:lang w:val="en-US" w:eastAsia="zh-CN" w:bidi="ar"/>
        </w:rPr>
        <w:t>一是</w:t>
      </w:r>
      <w:r>
        <w:rPr>
          <w:rFonts w:hint="eastAsia" w:ascii="仿宋_GB2312" w:hAnsi="宋体" w:eastAsia="仿宋_GB2312" w:cs="仿宋_GB2312"/>
          <w:color w:val="auto"/>
          <w:kern w:val="2"/>
          <w:sz w:val="32"/>
          <w:szCs w:val="32"/>
          <w:highlight w:val="none"/>
          <w:shd w:val="clear" w:color="auto" w:fill="auto"/>
          <w:lang w:val="en-US" w:eastAsia="zh-CN" w:bidi="ar"/>
        </w:rPr>
        <w:t>0</w:t>
      </w:r>
      <w:r>
        <w:rPr>
          <w:rFonts w:hint="eastAsia" w:ascii="仿宋_GB2312" w:hAnsi="宋体" w:eastAsia="仿宋_GB2312" w:cs="宋体"/>
          <w:color w:val="auto"/>
          <w:kern w:val="2"/>
          <w:sz w:val="32"/>
          <w:szCs w:val="32"/>
          <w:highlight w:val="none"/>
          <w:shd w:val="clear" w:color="auto" w:fill="auto"/>
          <w:lang w:val="en-US" w:eastAsia="zh-CN" w:bidi="ar"/>
        </w:rPr>
        <w:t>;</w:t>
      </w:r>
      <w:r>
        <w:rPr>
          <w:rFonts w:hint="eastAsia" w:ascii="黑体" w:hAnsi="宋体" w:eastAsia="黑体" w:cs="黑体"/>
          <w:color w:val="auto"/>
          <w:kern w:val="2"/>
          <w:sz w:val="32"/>
          <w:szCs w:val="32"/>
          <w:highlight w:val="none"/>
          <w:shd w:val="clear" w:color="auto" w:fill="auto"/>
          <w:lang w:val="en-US" w:eastAsia="zh-CN" w:bidi="ar"/>
        </w:rPr>
        <w:t>二是</w:t>
      </w:r>
      <w:r>
        <w:rPr>
          <w:rFonts w:hint="eastAsia" w:ascii="仿宋_GB2312" w:hAnsi="宋体" w:eastAsia="仿宋_GB2312" w:cs="仿宋_GB2312"/>
          <w:color w:val="auto"/>
          <w:kern w:val="2"/>
          <w:sz w:val="32"/>
          <w:szCs w:val="32"/>
          <w:highlight w:val="none"/>
          <w:shd w:val="clear" w:color="auto" w:fill="auto"/>
          <w:lang w:val="en-US" w:eastAsia="zh-CN" w:bidi="ar"/>
        </w:rPr>
        <w:t>0</w:t>
      </w:r>
      <w:r>
        <w:rPr>
          <w:rFonts w:hint="eastAsia" w:ascii="仿宋_GB2312" w:hAnsi="宋体" w:eastAsia="仿宋_GB2312" w:cs="宋体"/>
          <w:color w:val="auto"/>
          <w:kern w:val="2"/>
          <w:sz w:val="32"/>
          <w:szCs w:val="32"/>
          <w:highlight w:val="none"/>
          <w:shd w:val="clear" w:color="auto" w:fill="auto"/>
          <w:lang w:val="en-US" w:eastAsia="zh-CN" w:bidi="ar"/>
        </w:rPr>
        <w:t>;</w:t>
      </w:r>
      <w:r>
        <w:rPr>
          <w:rFonts w:hint="eastAsia" w:ascii="黑体" w:hAnsi="宋体" w:eastAsia="黑体" w:cs="黑体"/>
          <w:color w:val="auto"/>
          <w:kern w:val="2"/>
          <w:sz w:val="32"/>
          <w:szCs w:val="32"/>
          <w:highlight w:val="none"/>
          <w:shd w:val="clear" w:color="auto" w:fill="auto"/>
          <w:lang w:val="en-US" w:eastAsia="zh-CN" w:bidi="ar"/>
        </w:rPr>
        <w:t>三是</w:t>
      </w:r>
      <w:r>
        <w:rPr>
          <w:rFonts w:hint="eastAsia" w:ascii="仿宋_GB2312" w:hAnsi="宋体" w:eastAsia="仿宋_GB2312" w:cs="仿宋_GB2312"/>
          <w:color w:val="auto"/>
          <w:kern w:val="2"/>
          <w:sz w:val="32"/>
          <w:szCs w:val="32"/>
          <w:highlight w:val="none"/>
          <w:shd w:val="clear" w:color="auto" w:fill="auto"/>
          <w:lang w:val="en-US" w:eastAsia="zh-CN" w:bidi="ar"/>
        </w:rPr>
        <w:t>0。下一步将采取以下措施加以改进：</w:t>
      </w:r>
      <w:r>
        <w:rPr>
          <w:rFonts w:hint="eastAsia" w:ascii="黑体" w:hAnsi="宋体" w:eastAsia="黑体" w:cs="黑体"/>
          <w:color w:val="auto"/>
          <w:kern w:val="2"/>
          <w:sz w:val="32"/>
          <w:szCs w:val="32"/>
          <w:highlight w:val="none"/>
          <w:shd w:val="clear" w:color="auto" w:fill="auto"/>
          <w:lang w:val="en-US" w:eastAsia="zh-CN" w:bidi="ar"/>
        </w:rPr>
        <w:t>一是</w:t>
      </w:r>
      <w:r>
        <w:rPr>
          <w:rFonts w:hint="eastAsia" w:ascii="仿宋_GB2312" w:hAnsi="宋体" w:eastAsia="仿宋_GB2312" w:cs="仿宋_GB2312"/>
          <w:color w:val="auto"/>
          <w:kern w:val="2"/>
          <w:sz w:val="32"/>
          <w:szCs w:val="32"/>
          <w:highlight w:val="none"/>
          <w:shd w:val="clear" w:color="auto" w:fill="auto"/>
          <w:lang w:val="en-US" w:eastAsia="zh-CN" w:bidi="ar"/>
        </w:rPr>
        <w:t>0</w:t>
      </w:r>
      <w:r>
        <w:rPr>
          <w:rFonts w:hint="eastAsia" w:ascii="仿宋_GB2312" w:hAnsi="宋体" w:eastAsia="仿宋_GB2312" w:cs="宋体"/>
          <w:color w:val="auto"/>
          <w:kern w:val="2"/>
          <w:sz w:val="32"/>
          <w:szCs w:val="32"/>
          <w:highlight w:val="none"/>
          <w:shd w:val="clear" w:color="auto" w:fill="auto"/>
          <w:lang w:val="en-US" w:eastAsia="zh-CN" w:bidi="ar"/>
        </w:rPr>
        <w:t>;</w:t>
      </w:r>
      <w:r>
        <w:rPr>
          <w:rFonts w:hint="eastAsia" w:ascii="黑体" w:hAnsi="宋体" w:eastAsia="黑体" w:cs="黑体"/>
          <w:color w:val="auto"/>
          <w:kern w:val="2"/>
          <w:sz w:val="32"/>
          <w:szCs w:val="32"/>
          <w:highlight w:val="none"/>
          <w:shd w:val="clear" w:color="auto" w:fill="auto"/>
          <w:lang w:val="en-US" w:eastAsia="zh-CN" w:bidi="ar"/>
        </w:rPr>
        <w:t>二是</w:t>
      </w:r>
      <w:r>
        <w:rPr>
          <w:rFonts w:hint="eastAsia" w:ascii="仿宋_GB2312" w:hAnsi="宋体" w:eastAsia="仿宋_GB2312" w:cs="仿宋_GB2312"/>
          <w:color w:val="auto"/>
          <w:kern w:val="2"/>
          <w:sz w:val="32"/>
          <w:szCs w:val="32"/>
          <w:highlight w:val="none"/>
          <w:shd w:val="clear" w:color="auto" w:fill="auto"/>
          <w:lang w:val="en-US" w:eastAsia="zh-CN" w:bidi="ar"/>
        </w:rPr>
        <w:t>0</w:t>
      </w:r>
      <w:r>
        <w:rPr>
          <w:rFonts w:hint="eastAsia" w:ascii="仿宋_GB2312" w:hAnsi="宋体" w:eastAsia="仿宋_GB2312" w:cs="宋体"/>
          <w:color w:val="auto"/>
          <w:kern w:val="2"/>
          <w:sz w:val="32"/>
          <w:szCs w:val="32"/>
          <w:highlight w:val="none"/>
          <w:shd w:val="clear" w:color="auto" w:fill="auto"/>
          <w:lang w:val="en-US" w:eastAsia="zh-CN" w:bidi="ar"/>
        </w:rPr>
        <w:t>;</w:t>
      </w:r>
      <w:r>
        <w:rPr>
          <w:rFonts w:hint="eastAsia" w:ascii="黑体" w:hAnsi="宋体" w:eastAsia="黑体" w:cs="黑体"/>
          <w:color w:val="auto"/>
          <w:kern w:val="2"/>
          <w:sz w:val="32"/>
          <w:szCs w:val="32"/>
          <w:highlight w:val="none"/>
          <w:shd w:val="clear" w:color="auto" w:fill="auto"/>
          <w:lang w:val="en-US" w:eastAsia="zh-CN" w:bidi="ar"/>
        </w:rPr>
        <w:t>三是</w:t>
      </w:r>
      <w:r>
        <w:rPr>
          <w:rFonts w:hint="eastAsia" w:ascii="仿宋_GB2312" w:hAnsi="宋体" w:eastAsia="仿宋_GB2312" w:cs="仿宋_GB2312"/>
          <w:color w:val="auto"/>
          <w:kern w:val="2"/>
          <w:sz w:val="32"/>
          <w:szCs w:val="32"/>
          <w:highlight w:val="none"/>
          <w:shd w:val="clear" w:color="auto" w:fill="auto"/>
          <w:lang w:val="en-US" w:eastAsia="zh-CN" w:bidi="ar"/>
        </w:rPr>
        <w:t>0。</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3" w:firstLineChars="200"/>
        <w:jc w:val="left"/>
        <w:textAlignment w:val="auto"/>
        <w:rPr>
          <w:rFonts w:hint="eastAsia" w:ascii="仿宋_GB2312" w:hAnsi="宋体" w:eastAsia="仿宋_GB2312" w:cs="仿宋_GB2312"/>
          <w:b/>
          <w:bCs/>
          <w:color w:val="auto"/>
          <w:kern w:val="2"/>
          <w:sz w:val="32"/>
          <w:szCs w:val="32"/>
          <w:highlight w:val="none"/>
          <w:shd w:val="clear" w:color="auto" w:fill="auto"/>
          <w:lang w:val="en-US" w:eastAsia="zh-CN" w:bidi="ar"/>
        </w:rPr>
      </w:pPr>
      <w:r>
        <w:rPr>
          <w:rFonts w:hint="eastAsia" w:ascii="仿宋_GB2312" w:hAnsi="宋体" w:eastAsia="仿宋_GB2312" w:cs="仿宋_GB2312"/>
          <w:b/>
          <w:bCs/>
          <w:color w:val="auto"/>
          <w:kern w:val="2"/>
          <w:sz w:val="32"/>
          <w:szCs w:val="32"/>
          <w:highlight w:val="none"/>
          <w:shd w:val="clear" w:color="auto" w:fill="auto"/>
          <w:lang w:val="en-US" w:eastAsia="zh-CN" w:bidi="ar"/>
        </w:rPr>
        <w:t>2.部门决算中项目绩效自评结果。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left="0" w:right="0" w:firstLine="640" w:firstLineChars="200"/>
        <w:jc w:val="left"/>
        <w:textAlignment w:val="auto"/>
        <w:rPr>
          <w:rFonts w:hint="eastAsia" w:ascii="仿宋_GB2312" w:hAnsi="宋体" w:eastAsia="仿宋_GB2312" w:cs="仿宋_GB2312"/>
          <w:color w:val="auto"/>
          <w:kern w:val="2"/>
          <w:sz w:val="32"/>
          <w:szCs w:val="32"/>
          <w:highlight w:val="none"/>
          <w:shd w:val="clear" w:color="auto" w:fill="auto"/>
          <w:lang w:val="en-US" w:eastAsia="zh-CN" w:bidi="ar"/>
        </w:rPr>
      </w:pPr>
      <w:r>
        <w:rPr>
          <w:rFonts w:hint="eastAsia" w:ascii="仿宋_GB2312" w:hAnsi="宋体" w:eastAsia="仿宋_GB2312" w:cs="仿宋_GB2312"/>
          <w:color w:val="auto"/>
          <w:kern w:val="2"/>
          <w:sz w:val="32"/>
          <w:szCs w:val="32"/>
          <w:highlight w:val="none"/>
          <w:shd w:val="clear" w:color="auto" w:fill="auto"/>
          <w:lang w:val="en-US" w:eastAsia="zh-CN" w:bidi="ar"/>
        </w:rPr>
        <w:t>（1）“</w:t>
      </w:r>
      <w:r>
        <w:rPr>
          <w:rFonts w:hint="eastAsia" w:ascii="仿宋_GB2312" w:hAnsi="宋体" w:eastAsia="仿宋_GB2312" w:cs="仿宋_GB2312"/>
          <w:b/>
          <w:bCs/>
          <w:color w:val="auto"/>
          <w:kern w:val="2"/>
          <w:sz w:val="32"/>
          <w:szCs w:val="32"/>
          <w:highlight w:val="none"/>
          <w:shd w:val="clear" w:color="auto" w:fill="auto"/>
          <w:lang w:val="en-US" w:eastAsia="zh-CN" w:bidi="ar"/>
        </w:rPr>
        <w:t>堤坝维护费</w:t>
      </w:r>
      <w:r>
        <w:rPr>
          <w:rFonts w:hint="eastAsia" w:ascii="仿宋_GB2312" w:hAnsi="宋体" w:eastAsia="仿宋_GB2312" w:cs="仿宋_GB2312"/>
          <w:color w:val="auto"/>
          <w:kern w:val="2"/>
          <w:sz w:val="32"/>
          <w:szCs w:val="32"/>
          <w:highlight w:val="none"/>
          <w:shd w:val="clear" w:color="auto" w:fill="auto"/>
          <w:lang w:val="en-US" w:eastAsia="zh-CN" w:bidi="ar"/>
        </w:rPr>
        <w:t>”项目自评综述：根据年初设定的绩效目标，项目自评得分100分。项目全年预算数为7万元，执行数为6.26万元，完成预算的89%。项目绩效目标完成情况：已完成该项目。“</w:t>
      </w:r>
      <w:r>
        <w:rPr>
          <w:rFonts w:hint="eastAsia" w:ascii="仿宋_GB2312" w:hAnsi="宋体" w:eastAsia="仿宋_GB2312" w:cs="仿宋_GB2312"/>
          <w:b/>
          <w:bCs/>
          <w:color w:val="auto"/>
          <w:kern w:val="2"/>
          <w:sz w:val="32"/>
          <w:szCs w:val="32"/>
          <w:highlight w:val="none"/>
          <w:shd w:val="clear" w:color="auto" w:fill="auto"/>
          <w:lang w:val="en-US" w:eastAsia="zh-CN" w:bidi="ar"/>
        </w:rPr>
        <w:t>防疫费</w:t>
      </w:r>
      <w:r>
        <w:rPr>
          <w:rFonts w:hint="eastAsia" w:ascii="仿宋_GB2312" w:hAnsi="宋体" w:eastAsia="仿宋_GB2312" w:cs="仿宋_GB2312"/>
          <w:color w:val="auto"/>
          <w:kern w:val="2"/>
          <w:sz w:val="32"/>
          <w:szCs w:val="32"/>
          <w:highlight w:val="none"/>
          <w:shd w:val="clear" w:color="auto" w:fill="auto"/>
          <w:lang w:val="en-US" w:eastAsia="zh-CN" w:bidi="ar"/>
        </w:rPr>
        <w:t>”项目自评综述：根据年初设定的绩效目标，项目自评得分100分。项目全年预算数为8万元，执行数为6.74万元，完成预算的84.25%。项目绩效目标完成情况：已完成该项目。“</w:t>
      </w:r>
      <w:r>
        <w:rPr>
          <w:rFonts w:hint="eastAsia" w:ascii="仿宋_GB2312" w:hAnsi="宋体" w:eastAsia="仿宋_GB2312" w:cs="仿宋_GB2312"/>
          <w:b/>
          <w:bCs/>
          <w:color w:val="auto"/>
          <w:kern w:val="2"/>
          <w:sz w:val="32"/>
          <w:szCs w:val="32"/>
          <w:highlight w:val="none"/>
          <w:shd w:val="clear" w:color="auto" w:fill="auto"/>
          <w:lang w:val="en-US" w:eastAsia="zh-CN" w:bidi="ar"/>
        </w:rPr>
        <w:t>防治费</w:t>
      </w:r>
      <w:r>
        <w:rPr>
          <w:rFonts w:hint="eastAsia" w:ascii="仿宋_GB2312" w:hAnsi="宋体" w:eastAsia="仿宋_GB2312" w:cs="仿宋_GB2312"/>
          <w:color w:val="auto"/>
          <w:kern w:val="2"/>
          <w:sz w:val="32"/>
          <w:szCs w:val="32"/>
          <w:highlight w:val="none"/>
          <w:shd w:val="clear" w:color="auto" w:fill="auto"/>
          <w:lang w:val="en-US" w:eastAsia="zh-CN" w:bidi="ar"/>
        </w:rPr>
        <w:t>”项目自评综述：根据年初设定的绩效目标，项目自评得分100分。项目全年预算数为30万元，执行数为26.88万元，完成预算的89.6%。项目绩效目标完成情况：已完成该项目。“</w:t>
      </w:r>
      <w:r>
        <w:rPr>
          <w:rFonts w:hint="eastAsia" w:ascii="仿宋_GB2312" w:hAnsi="宋体" w:eastAsia="仿宋_GB2312" w:cs="仿宋_GB2312"/>
          <w:b/>
          <w:bCs/>
          <w:color w:val="auto"/>
          <w:kern w:val="2"/>
          <w:sz w:val="32"/>
          <w:szCs w:val="32"/>
          <w:highlight w:val="none"/>
          <w:shd w:val="clear" w:color="auto" w:fill="auto"/>
          <w:lang w:val="en-US" w:eastAsia="zh-CN" w:bidi="ar"/>
        </w:rPr>
        <w:t>垃圾清理费</w:t>
      </w:r>
      <w:r>
        <w:rPr>
          <w:rFonts w:hint="eastAsia" w:ascii="仿宋_GB2312" w:hAnsi="宋体" w:eastAsia="仿宋_GB2312" w:cs="仿宋_GB2312"/>
          <w:color w:val="auto"/>
          <w:kern w:val="2"/>
          <w:sz w:val="32"/>
          <w:szCs w:val="32"/>
          <w:highlight w:val="none"/>
          <w:shd w:val="clear" w:color="auto" w:fill="auto"/>
          <w:lang w:val="en-US" w:eastAsia="zh-CN" w:bidi="ar"/>
        </w:rPr>
        <w:t>”项目自评综述：根据年初设定的绩效目标，项目自评得分100分。项目全年预算数为3万元，执行数为2.91万元，完成预算的97%。项目绩效目标完成情况：已完成该项目。“</w:t>
      </w:r>
      <w:r>
        <w:rPr>
          <w:rFonts w:hint="eastAsia" w:ascii="仿宋_GB2312" w:hAnsi="宋体" w:eastAsia="仿宋_GB2312" w:cs="仿宋_GB2312"/>
          <w:b/>
          <w:bCs/>
          <w:color w:val="auto"/>
          <w:kern w:val="2"/>
          <w:sz w:val="32"/>
          <w:szCs w:val="32"/>
          <w:highlight w:val="none"/>
          <w:shd w:val="clear" w:color="auto" w:fill="auto"/>
          <w:lang w:val="en-US" w:eastAsia="zh-CN" w:bidi="ar"/>
        </w:rPr>
        <w:t>农村饮水安全建设</w:t>
      </w:r>
      <w:r>
        <w:rPr>
          <w:rFonts w:hint="eastAsia" w:ascii="仿宋_GB2312" w:hAnsi="宋体" w:eastAsia="仿宋_GB2312" w:cs="仿宋_GB2312"/>
          <w:color w:val="auto"/>
          <w:kern w:val="2"/>
          <w:sz w:val="32"/>
          <w:szCs w:val="32"/>
          <w:highlight w:val="none"/>
          <w:shd w:val="clear" w:color="auto" w:fill="auto"/>
          <w:lang w:val="en-US" w:eastAsia="zh-CN" w:bidi="ar"/>
        </w:rPr>
        <w:t>”项目自评综述：根据年初设定的绩效目标，项目自评得分100分。项目全年预算数为442.82万元，执行数为5.52万元，完成预算的1.25%。项目绩效目标完成情况：该项目正在进行中。“</w:t>
      </w:r>
      <w:r>
        <w:rPr>
          <w:rFonts w:hint="eastAsia" w:ascii="仿宋_GB2312" w:hAnsi="宋体" w:eastAsia="仿宋_GB2312" w:cs="仿宋_GB2312"/>
          <w:b/>
          <w:bCs/>
          <w:color w:val="auto"/>
          <w:kern w:val="2"/>
          <w:sz w:val="32"/>
          <w:szCs w:val="32"/>
          <w:highlight w:val="none"/>
          <w:shd w:val="clear" w:color="auto" w:fill="auto"/>
          <w:lang w:val="en-US" w:eastAsia="zh-CN" w:bidi="ar"/>
        </w:rPr>
        <w:t>排灌站运行费</w:t>
      </w:r>
      <w:r>
        <w:rPr>
          <w:rFonts w:hint="eastAsia" w:ascii="仿宋_GB2312" w:hAnsi="宋体" w:eastAsia="仿宋_GB2312" w:cs="仿宋_GB2312"/>
          <w:color w:val="auto"/>
          <w:kern w:val="2"/>
          <w:sz w:val="32"/>
          <w:szCs w:val="32"/>
          <w:highlight w:val="none"/>
          <w:shd w:val="clear" w:color="auto" w:fill="auto"/>
          <w:lang w:val="en-US" w:eastAsia="zh-CN" w:bidi="ar"/>
        </w:rPr>
        <w:t>”项目自评综述：根据年初设定的绩效目标，项目自评得分100分。项目全年预算数为65万元，执行数为65万元，完成预算的100%。项目绩效目标完成情况：已完成该项目。“</w:t>
      </w:r>
      <w:r>
        <w:rPr>
          <w:rFonts w:hint="eastAsia" w:ascii="仿宋_GB2312" w:hAnsi="宋体" w:eastAsia="仿宋_GB2312" w:cs="仿宋_GB2312"/>
          <w:b/>
          <w:bCs/>
          <w:color w:val="auto"/>
          <w:kern w:val="2"/>
          <w:sz w:val="32"/>
          <w:szCs w:val="32"/>
          <w:highlight w:val="none"/>
          <w:shd w:val="clear" w:color="auto" w:fill="auto"/>
          <w:lang w:val="en-US" w:eastAsia="zh-CN" w:bidi="ar"/>
        </w:rPr>
        <w:t>生态补水费</w:t>
      </w:r>
      <w:r>
        <w:rPr>
          <w:rFonts w:hint="eastAsia" w:ascii="仿宋_GB2312" w:hAnsi="宋体" w:eastAsia="仿宋_GB2312" w:cs="仿宋_GB2312"/>
          <w:color w:val="auto"/>
          <w:kern w:val="2"/>
          <w:sz w:val="32"/>
          <w:szCs w:val="32"/>
          <w:highlight w:val="none"/>
          <w:shd w:val="clear" w:color="auto" w:fill="auto"/>
          <w:lang w:val="en-US" w:eastAsia="zh-CN" w:bidi="ar"/>
        </w:rPr>
        <w:t>”项目自评综述：根据年初设定的绩效目标，项目自评得分100分。项目全年预算数为90万元，执行数为35.96万元，完成预算的39.95%。项目绩效目标完成情况：该项目进行中。“</w:t>
      </w:r>
      <w:r>
        <w:rPr>
          <w:rFonts w:hint="eastAsia" w:ascii="仿宋_GB2312" w:hAnsi="宋体" w:eastAsia="仿宋_GB2312" w:cs="仿宋_GB2312"/>
          <w:b/>
          <w:bCs/>
          <w:color w:val="auto"/>
          <w:kern w:val="2"/>
          <w:sz w:val="32"/>
          <w:szCs w:val="32"/>
          <w:highlight w:val="none"/>
          <w:shd w:val="clear" w:color="auto" w:fill="auto"/>
          <w:lang w:val="en-US" w:eastAsia="zh-CN" w:bidi="ar"/>
        </w:rPr>
        <w:t>乡村水系治理</w:t>
      </w:r>
      <w:r>
        <w:rPr>
          <w:rFonts w:hint="eastAsia" w:ascii="仿宋_GB2312" w:hAnsi="宋体" w:eastAsia="仿宋_GB2312" w:cs="仿宋_GB2312"/>
          <w:color w:val="auto"/>
          <w:kern w:val="2"/>
          <w:sz w:val="32"/>
          <w:szCs w:val="32"/>
          <w:highlight w:val="none"/>
          <w:shd w:val="clear" w:color="auto" w:fill="auto"/>
          <w:lang w:val="en-US" w:eastAsia="zh-CN" w:bidi="ar"/>
        </w:rPr>
        <w:t>”项目自评综述：根据年初设定的绩效目标，项目自评得分100分。项目全年预算数为400万元，执行数为200万元，完成预算的50%。项目绩效目标完成情况：该项目进行中。“</w:t>
      </w:r>
      <w:r>
        <w:rPr>
          <w:rFonts w:hint="eastAsia" w:ascii="仿宋_GB2312" w:hAnsi="宋体" w:eastAsia="仿宋_GB2312" w:cs="仿宋_GB2312"/>
          <w:b/>
          <w:bCs/>
          <w:color w:val="auto"/>
          <w:kern w:val="2"/>
          <w:sz w:val="32"/>
          <w:szCs w:val="32"/>
          <w:highlight w:val="none"/>
          <w:shd w:val="clear" w:color="auto" w:fill="auto"/>
          <w:lang w:val="en-US" w:eastAsia="zh-CN" w:bidi="ar"/>
        </w:rPr>
        <w:t>河堤维修费</w:t>
      </w:r>
      <w:r>
        <w:rPr>
          <w:rFonts w:hint="eastAsia" w:ascii="仿宋_GB2312" w:hAnsi="宋体" w:eastAsia="仿宋_GB2312" w:cs="仿宋_GB2312"/>
          <w:color w:val="auto"/>
          <w:kern w:val="2"/>
          <w:sz w:val="32"/>
          <w:szCs w:val="32"/>
          <w:highlight w:val="none"/>
          <w:shd w:val="clear" w:color="auto" w:fill="auto"/>
          <w:lang w:val="en-US" w:eastAsia="zh-CN" w:bidi="ar"/>
        </w:rPr>
        <w:t>”项目自评综述：根据年初设定的绩效目标，项目自评得分100分。项目全年预算数为5万元，执行数为1.83万元，完成预算的36.6%。项目绩效目标完成情况：该项目进行中。</w:t>
      </w:r>
    </w:p>
    <w:p>
      <w:pPr>
        <w:spacing w:line="560" w:lineRule="exact"/>
        <w:jc w:val="center"/>
        <w:rPr>
          <w:rFonts w:hint="eastAsia" w:ascii="宋体" w:hAnsi="宋体" w:eastAsia="宋体" w:cs="宋体"/>
          <w:b/>
          <w:bCs/>
          <w:color w:val="000000"/>
          <w:sz w:val="44"/>
          <w:szCs w:val="44"/>
          <w:highlight w:val="none"/>
          <w:lang w:val="en-US" w:eastAsia="zh-CN"/>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firstLine="0" w:firstLineChars="0"/>
        <w:jc w:val="center"/>
        <w:textAlignment w:val="auto"/>
        <w:rPr>
          <w:rFonts w:hint="eastAsia" w:ascii="仿宋_GB2312" w:hAnsi="宋体" w:eastAsia="仿宋_GB2312" w:cs="仿宋_GB2312"/>
          <w:color w:val="auto"/>
          <w:kern w:val="2"/>
          <w:sz w:val="32"/>
          <w:szCs w:val="32"/>
          <w:highlight w:val="none"/>
          <w:shd w:val="clear" w:color="auto" w:fill="auto"/>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firstLine="0" w:firstLineChars="0"/>
        <w:jc w:val="center"/>
        <w:textAlignment w:val="auto"/>
        <w:rPr>
          <w:rFonts w:hint="eastAsia" w:ascii="仿宋_GB2312" w:hAnsi="宋体" w:eastAsia="仿宋_GB2312" w:cs="仿宋_GB2312"/>
          <w:color w:val="auto"/>
          <w:kern w:val="2"/>
          <w:sz w:val="32"/>
          <w:szCs w:val="32"/>
          <w:highlight w:val="none"/>
          <w:shd w:val="clear" w:color="auto" w:fill="auto"/>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firstLine="0" w:firstLineChars="0"/>
        <w:jc w:val="center"/>
        <w:textAlignment w:val="auto"/>
        <w:rPr>
          <w:rFonts w:hint="eastAsia" w:ascii="仿宋_GB2312" w:hAnsi="宋体" w:eastAsia="仿宋_GB2312" w:cs="仿宋_GB2312"/>
          <w:color w:val="auto"/>
          <w:kern w:val="2"/>
          <w:sz w:val="32"/>
          <w:szCs w:val="32"/>
          <w:highlight w:val="none"/>
          <w:shd w:val="clear" w:color="auto" w:fill="auto"/>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firstLine="0" w:firstLineChars="0"/>
        <w:jc w:val="center"/>
        <w:textAlignment w:val="auto"/>
        <w:rPr>
          <w:rFonts w:hint="eastAsia" w:ascii="仿宋_GB2312" w:hAnsi="宋体" w:eastAsia="仿宋_GB2312" w:cs="仿宋_GB2312"/>
          <w:color w:val="auto"/>
          <w:kern w:val="2"/>
          <w:sz w:val="32"/>
          <w:szCs w:val="32"/>
          <w:highlight w:val="none"/>
          <w:shd w:val="clear" w:color="auto" w:fill="auto"/>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firstLine="0" w:firstLineChars="0"/>
        <w:jc w:val="center"/>
        <w:textAlignment w:val="auto"/>
        <w:rPr>
          <w:rFonts w:hint="eastAsia" w:ascii="仿宋_GB2312" w:hAnsi="宋体" w:eastAsia="仿宋_GB2312" w:cs="仿宋_GB2312"/>
          <w:color w:val="auto"/>
          <w:kern w:val="2"/>
          <w:sz w:val="32"/>
          <w:szCs w:val="32"/>
          <w:highlight w:val="none"/>
          <w:shd w:val="clear" w:color="auto" w:fill="auto"/>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firstLine="0" w:firstLineChars="0"/>
        <w:jc w:val="center"/>
        <w:textAlignment w:val="auto"/>
        <w:rPr>
          <w:rFonts w:hint="eastAsia" w:ascii="仿宋_GB2312" w:hAnsi="宋体" w:eastAsia="仿宋_GB2312" w:cs="仿宋_GB2312"/>
          <w:color w:val="auto"/>
          <w:kern w:val="2"/>
          <w:sz w:val="32"/>
          <w:szCs w:val="32"/>
          <w:highlight w:val="none"/>
          <w:shd w:val="clear" w:color="auto" w:fill="auto"/>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firstLine="0" w:firstLineChars="0"/>
        <w:jc w:val="center"/>
        <w:textAlignment w:val="auto"/>
        <w:rPr>
          <w:rFonts w:hint="eastAsia" w:ascii="仿宋_GB2312" w:hAnsi="宋体" w:eastAsia="仿宋_GB2312" w:cs="仿宋_GB2312"/>
          <w:color w:val="auto"/>
          <w:kern w:val="2"/>
          <w:sz w:val="32"/>
          <w:szCs w:val="32"/>
          <w:highlight w:val="none"/>
          <w:shd w:val="clear" w:color="auto" w:fill="auto"/>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firstLine="0" w:firstLineChars="0"/>
        <w:jc w:val="center"/>
        <w:textAlignment w:val="auto"/>
        <w:rPr>
          <w:rFonts w:hint="eastAsia" w:ascii="仿宋_GB2312" w:hAnsi="宋体" w:eastAsia="仿宋_GB2312" w:cs="仿宋_GB2312"/>
          <w:color w:val="auto"/>
          <w:kern w:val="2"/>
          <w:sz w:val="32"/>
          <w:szCs w:val="32"/>
          <w:highlight w:val="none"/>
          <w:shd w:val="clear" w:color="auto" w:fill="auto"/>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firstLine="0" w:firstLineChars="0"/>
        <w:jc w:val="center"/>
        <w:textAlignment w:val="auto"/>
        <w:rPr>
          <w:rFonts w:hint="eastAsia" w:ascii="仿宋_GB2312" w:hAnsi="宋体" w:eastAsia="仿宋_GB2312" w:cs="仿宋_GB2312"/>
          <w:color w:val="auto"/>
          <w:kern w:val="2"/>
          <w:sz w:val="32"/>
          <w:szCs w:val="32"/>
          <w:highlight w:val="none"/>
          <w:shd w:val="clear" w:color="auto" w:fill="auto"/>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firstLine="0" w:firstLineChars="0"/>
        <w:jc w:val="center"/>
        <w:textAlignment w:val="auto"/>
        <w:rPr>
          <w:rFonts w:hint="eastAsia" w:ascii="仿宋_GB2312" w:hAnsi="宋体" w:eastAsia="仿宋_GB2312" w:cs="仿宋_GB2312"/>
          <w:color w:val="auto"/>
          <w:kern w:val="2"/>
          <w:sz w:val="32"/>
          <w:szCs w:val="32"/>
          <w:highlight w:val="none"/>
          <w:shd w:val="clear" w:color="auto" w:fill="auto"/>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firstLine="0" w:firstLineChars="0"/>
        <w:jc w:val="center"/>
        <w:textAlignment w:val="auto"/>
        <w:rPr>
          <w:rFonts w:hint="eastAsia" w:ascii="仿宋_GB2312" w:hAnsi="宋体" w:eastAsia="仿宋_GB2312" w:cs="仿宋_GB2312"/>
          <w:color w:val="auto"/>
          <w:kern w:val="2"/>
          <w:sz w:val="32"/>
          <w:szCs w:val="32"/>
          <w:highlight w:val="none"/>
          <w:shd w:val="clear" w:color="auto" w:fill="auto"/>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firstLine="0" w:firstLineChars="0"/>
        <w:jc w:val="center"/>
        <w:textAlignment w:val="auto"/>
        <w:rPr>
          <w:rFonts w:hint="eastAsia" w:ascii="仿宋_GB2312" w:hAnsi="宋体" w:eastAsia="仿宋_GB2312" w:cs="仿宋_GB2312"/>
          <w:color w:val="auto"/>
          <w:kern w:val="2"/>
          <w:sz w:val="32"/>
          <w:szCs w:val="32"/>
          <w:highlight w:val="none"/>
          <w:shd w:val="clear" w:color="auto" w:fill="auto"/>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firstLine="0" w:firstLineChars="0"/>
        <w:jc w:val="center"/>
        <w:textAlignment w:val="auto"/>
        <w:rPr>
          <w:rFonts w:hint="eastAsia" w:ascii="仿宋_GB2312" w:hAnsi="宋体" w:eastAsia="仿宋_GB2312" w:cs="仿宋_GB2312"/>
          <w:color w:val="auto"/>
          <w:kern w:val="2"/>
          <w:sz w:val="32"/>
          <w:szCs w:val="32"/>
          <w:highlight w:val="none"/>
          <w:shd w:val="clear" w:color="auto" w:fill="auto"/>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firstLine="0" w:firstLineChars="0"/>
        <w:jc w:val="center"/>
        <w:textAlignment w:val="auto"/>
        <w:rPr>
          <w:rFonts w:hint="eastAsia" w:ascii="仿宋_GB2312" w:hAnsi="宋体" w:eastAsia="仿宋_GB2312" w:cs="仿宋_GB2312"/>
          <w:color w:val="auto"/>
          <w:kern w:val="2"/>
          <w:sz w:val="32"/>
          <w:szCs w:val="32"/>
          <w:highlight w:val="none"/>
          <w:shd w:val="clear" w:color="auto" w:fill="auto"/>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firstLine="0" w:firstLineChars="0"/>
        <w:jc w:val="center"/>
        <w:textAlignment w:val="auto"/>
        <w:rPr>
          <w:rFonts w:hint="eastAsia" w:ascii="仿宋_GB2312" w:hAnsi="宋体" w:eastAsia="仿宋_GB2312" w:cs="仿宋_GB2312"/>
          <w:color w:val="auto"/>
          <w:kern w:val="2"/>
          <w:sz w:val="32"/>
          <w:szCs w:val="32"/>
          <w:highlight w:val="none"/>
          <w:shd w:val="clear" w:color="auto" w:fill="auto"/>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firstLine="0" w:firstLineChars="0"/>
        <w:jc w:val="center"/>
        <w:textAlignment w:val="auto"/>
        <w:rPr>
          <w:rFonts w:hint="eastAsia" w:ascii="仿宋_GB2312" w:hAnsi="宋体" w:eastAsia="仿宋_GB2312" w:cs="仿宋_GB2312"/>
          <w:color w:val="auto"/>
          <w:kern w:val="2"/>
          <w:sz w:val="32"/>
          <w:szCs w:val="32"/>
          <w:highlight w:val="none"/>
          <w:shd w:val="clear" w:color="auto" w:fill="auto"/>
          <w:lang w:val="en-US" w:eastAsia="zh-CN" w:bidi="ar"/>
        </w:rPr>
      </w:pPr>
    </w:p>
    <w:tbl>
      <w:tblPr>
        <w:tblW w:w="95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409"/>
        <w:gridCol w:w="210"/>
        <w:gridCol w:w="387"/>
        <w:gridCol w:w="756"/>
        <w:gridCol w:w="1477"/>
        <w:gridCol w:w="372"/>
        <w:gridCol w:w="329"/>
        <w:gridCol w:w="448"/>
        <w:gridCol w:w="448"/>
        <w:gridCol w:w="432"/>
        <w:gridCol w:w="280"/>
        <w:gridCol w:w="516"/>
        <w:gridCol w:w="480"/>
        <w:gridCol w:w="508"/>
        <w:gridCol w:w="524"/>
        <w:gridCol w:w="673"/>
        <w:gridCol w:w="372"/>
        <w:gridCol w:w="361"/>
        <w:gridCol w:w="5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660" w:hRule="atLeast"/>
        </w:trPr>
        <w:tc>
          <w:tcPr>
            <w:tcW w:w="9540" w:type="dxa"/>
            <w:gridSpan w:val="19"/>
            <w:tcBorders>
              <w:bottom w:val="single" w:color="232323"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Style w:val="7"/>
                <w:lang w:val="en-US" w:eastAsia="zh-CN" w:bidi="ar"/>
              </w:rPr>
              <w:t>部门（单位）整体绩效自评表</w:t>
            </w:r>
            <w:r>
              <w:rPr>
                <w:rStyle w:val="8"/>
                <w:lang w:val="en-US" w:eastAsia="zh-CN" w:bidi="ar"/>
              </w:rPr>
              <w:br w:type="textWrapping"/>
            </w:r>
            <w:r>
              <w:rPr>
                <w:rStyle w:val="8"/>
                <w:lang w:val="en-US" w:eastAsia="zh-CN" w:bidi="ar"/>
              </w:rPr>
              <w:t xml:space="preserve">                      （2021年度）              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1762" w:type="dxa"/>
            <w:gridSpan w:val="4"/>
            <w:tcBorders>
              <w:top w:val="single" w:color="232323" w:sz="4" w:space="0"/>
              <w:left w:val="single" w:color="232323" w:sz="4" w:space="0"/>
              <w:bottom w:val="single" w:color="232323" w:sz="4" w:space="0"/>
              <w:right w:val="single" w:color="232323"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部门（单位）名称</w:t>
            </w:r>
          </w:p>
        </w:tc>
        <w:tc>
          <w:tcPr>
            <w:tcW w:w="7778" w:type="dxa"/>
            <w:gridSpan w:val="15"/>
            <w:tcBorders>
              <w:top w:val="single" w:color="232323" w:sz="4" w:space="0"/>
              <w:left w:val="single" w:color="232323" w:sz="4" w:space="0"/>
              <w:bottom w:val="single" w:color="232323" w:sz="4" w:space="0"/>
              <w:right w:val="single" w:color="232323"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盘锦市兴隆台区农业和水利服务中心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1762" w:type="dxa"/>
            <w:gridSpan w:val="4"/>
            <w:tcBorders>
              <w:top w:val="single" w:color="232323" w:sz="4" w:space="0"/>
              <w:left w:val="single" w:color="232323" w:sz="4" w:space="0"/>
              <w:bottom w:val="single" w:color="232323" w:sz="4" w:space="0"/>
              <w:right w:val="single" w:color="232323"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部门年初预算收入金额</w:t>
            </w:r>
          </w:p>
        </w:tc>
        <w:tc>
          <w:tcPr>
            <w:tcW w:w="7778" w:type="dxa"/>
            <w:gridSpan w:val="15"/>
            <w:tcBorders>
              <w:top w:val="single" w:color="232323" w:sz="4" w:space="0"/>
              <w:left w:val="single" w:color="232323" w:sz="4" w:space="0"/>
              <w:bottom w:val="single" w:color="232323" w:sz="4" w:space="0"/>
              <w:right w:val="single" w:color="232323" w:sz="4" w:space="0"/>
            </w:tcBorders>
            <w:shd w:val="cle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2922.55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95" w:hRule="atLeast"/>
        </w:trPr>
        <w:tc>
          <w:tcPr>
            <w:tcW w:w="1762" w:type="dxa"/>
            <w:gridSpan w:val="4"/>
            <w:tcBorders>
              <w:top w:val="single" w:color="232323" w:sz="4" w:space="0"/>
              <w:left w:val="single" w:color="232323" w:sz="4" w:space="0"/>
              <w:bottom w:val="single" w:color="232323" w:sz="4" w:space="0"/>
              <w:right w:val="single" w:color="232323"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部门年初预算支出金额</w:t>
            </w:r>
          </w:p>
        </w:tc>
        <w:tc>
          <w:tcPr>
            <w:tcW w:w="7778" w:type="dxa"/>
            <w:gridSpan w:val="15"/>
            <w:tcBorders>
              <w:top w:val="single" w:color="232323" w:sz="4" w:space="0"/>
              <w:left w:val="single" w:color="232323" w:sz="4" w:space="0"/>
              <w:bottom w:val="single" w:color="232323" w:sz="4" w:space="0"/>
              <w:right w:val="single" w:color="232323" w:sz="4" w:space="0"/>
            </w:tcBorders>
            <w:shd w:val="cle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1960.99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35" w:hRule="atLeast"/>
        </w:trPr>
        <w:tc>
          <w:tcPr>
            <w:tcW w:w="409" w:type="dxa"/>
            <w:vMerge w:val="restart"/>
            <w:tcBorders>
              <w:top w:val="single" w:color="232323" w:sz="4" w:space="0"/>
              <w:left w:val="single" w:color="232323" w:sz="4" w:space="0"/>
              <w:bottom w:val="single" w:color="232323" w:sz="4" w:space="0"/>
              <w:right w:val="single" w:color="232323"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年度主要任务</w:t>
            </w:r>
          </w:p>
        </w:tc>
        <w:tc>
          <w:tcPr>
            <w:tcW w:w="3202" w:type="dxa"/>
            <w:gridSpan w:val="5"/>
            <w:tcBorders>
              <w:top w:val="single" w:color="232323" w:sz="4" w:space="0"/>
              <w:left w:val="single" w:color="232323" w:sz="4" w:space="0"/>
              <w:bottom w:val="single" w:color="232323" w:sz="4" w:space="0"/>
              <w:right w:val="single" w:color="232323"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工作名称</w:t>
            </w:r>
          </w:p>
        </w:tc>
        <w:tc>
          <w:tcPr>
            <w:tcW w:w="1657" w:type="dxa"/>
            <w:gridSpan w:val="4"/>
            <w:tcBorders>
              <w:top w:val="single" w:color="232323" w:sz="4" w:space="0"/>
              <w:left w:val="single" w:color="232323" w:sz="4" w:space="0"/>
              <w:bottom w:val="single" w:color="232323" w:sz="4" w:space="0"/>
              <w:right w:val="single" w:color="232323"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对应项目</w:t>
            </w:r>
          </w:p>
        </w:tc>
        <w:tc>
          <w:tcPr>
            <w:tcW w:w="796" w:type="dxa"/>
            <w:gridSpan w:val="2"/>
            <w:tcBorders>
              <w:top w:val="single" w:color="232323" w:sz="4" w:space="0"/>
              <w:left w:val="single" w:color="232323" w:sz="4" w:space="0"/>
              <w:bottom w:val="single" w:color="232323" w:sz="4" w:space="0"/>
              <w:right w:val="single" w:color="232323"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项目下达金额</w:t>
            </w:r>
          </w:p>
        </w:tc>
        <w:tc>
          <w:tcPr>
            <w:tcW w:w="988" w:type="dxa"/>
            <w:gridSpan w:val="2"/>
            <w:tcBorders>
              <w:top w:val="single" w:color="232323" w:sz="4" w:space="0"/>
              <w:left w:val="single" w:color="232323" w:sz="4" w:space="0"/>
              <w:bottom w:val="single" w:color="232323" w:sz="4" w:space="0"/>
              <w:right w:val="single" w:color="232323"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项目执行金额</w:t>
            </w:r>
          </w:p>
        </w:tc>
        <w:tc>
          <w:tcPr>
            <w:tcW w:w="1197" w:type="dxa"/>
            <w:gridSpan w:val="2"/>
            <w:tcBorders>
              <w:top w:val="single" w:color="232323" w:sz="4" w:space="0"/>
              <w:left w:val="single" w:color="232323" w:sz="4" w:space="0"/>
              <w:bottom w:val="single" w:color="232323" w:sz="4" w:space="0"/>
              <w:right w:val="single" w:color="232323"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项目执行率</w:t>
            </w:r>
          </w:p>
        </w:tc>
        <w:tc>
          <w:tcPr>
            <w:tcW w:w="372" w:type="dxa"/>
            <w:tcBorders>
              <w:top w:val="single" w:color="232323" w:sz="4" w:space="0"/>
              <w:left w:val="single" w:color="232323" w:sz="4" w:space="0"/>
              <w:bottom w:val="single" w:color="232323" w:sz="4" w:space="0"/>
              <w:right w:val="single" w:color="232323"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分值</w:t>
            </w:r>
          </w:p>
        </w:tc>
        <w:tc>
          <w:tcPr>
            <w:tcW w:w="361" w:type="dxa"/>
            <w:tcBorders>
              <w:top w:val="single" w:color="232323" w:sz="4" w:space="0"/>
              <w:left w:val="single" w:color="232323" w:sz="4" w:space="0"/>
              <w:bottom w:val="single" w:color="232323" w:sz="4" w:space="0"/>
              <w:right w:val="single" w:color="232323"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得分</w:t>
            </w:r>
          </w:p>
        </w:tc>
        <w:tc>
          <w:tcPr>
            <w:tcW w:w="558" w:type="dxa"/>
            <w:tcBorders>
              <w:top w:val="single" w:color="232323" w:sz="4" w:space="0"/>
              <w:left w:val="single" w:color="232323" w:sz="4" w:space="0"/>
              <w:bottom w:val="single" w:color="232323" w:sz="4" w:space="0"/>
              <w:right w:val="single" w:color="232323"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409" w:type="dxa"/>
            <w:vMerge w:val="continue"/>
            <w:tcBorders>
              <w:top w:val="single" w:color="232323" w:sz="4" w:space="0"/>
              <w:left w:val="single" w:color="232323" w:sz="4" w:space="0"/>
              <w:bottom w:val="single" w:color="232323" w:sz="4" w:space="0"/>
              <w:right w:val="single" w:color="232323" w:sz="4" w:space="0"/>
            </w:tcBorders>
            <w:shd w:val="clear"/>
            <w:vAlign w:val="center"/>
          </w:tcPr>
          <w:p>
            <w:pPr>
              <w:jc w:val="left"/>
              <w:rPr>
                <w:rFonts w:hint="eastAsia" w:ascii="宋体" w:hAnsi="宋体" w:eastAsia="宋体" w:cs="宋体"/>
                <w:i w:val="0"/>
                <w:color w:val="000000"/>
                <w:sz w:val="18"/>
                <w:szCs w:val="18"/>
                <w:u w:val="none"/>
              </w:rPr>
            </w:pPr>
          </w:p>
        </w:tc>
        <w:tc>
          <w:tcPr>
            <w:tcW w:w="3202" w:type="dxa"/>
            <w:gridSpan w:val="5"/>
            <w:tcBorders>
              <w:top w:val="single" w:color="232323" w:sz="4" w:space="0"/>
              <w:left w:val="single" w:color="232323" w:sz="4" w:space="0"/>
              <w:bottom w:val="single" w:color="232323" w:sz="4" w:space="0"/>
              <w:right w:val="single" w:color="232323" w:sz="4" w:space="0"/>
            </w:tcBorders>
            <w:shd w:val="cle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重点工作一</w:t>
            </w:r>
          </w:p>
        </w:tc>
        <w:tc>
          <w:tcPr>
            <w:tcW w:w="1657" w:type="dxa"/>
            <w:gridSpan w:val="4"/>
            <w:tcBorders>
              <w:top w:val="single" w:color="232323" w:sz="4" w:space="0"/>
              <w:left w:val="single" w:color="232323" w:sz="4" w:space="0"/>
              <w:bottom w:val="single" w:color="232323" w:sz="4" w:space="0"/>
              <w:right w:val="single" w:color="232323" w:sz="4" w:space="0"/>
            </w:tcBorders>
            <w:shd w:val="cle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堤坝维护费</w:t>
            </w:r>
          </w:p>
        </w:tc>
        <w:tc>
          <w:tcPr>
            <w:tcW w:w="796" w:type="dxa"/>
            <w:gridSpan w:val="2"/>
            <w:tcBorders>
              <w:top w:val="single" w:color="232323" w:sz="4" w:space="0"/>
              <w:left w:val="single" w:color="232323" w:sz="4" w:space="0"/>
              <w:bottom w:val="single" w:color="232323" w:sz="4" w:space="0"/>
              <w:right w:val="single" w:color="232323" w:sz="4" w:space="0"/>
            </w:tcBorders>
            <w:shd w:val="clear"/>
            <w:vAlign w:val="bottom"/>
          </w:tcPr>
          <w:p>
            <w:pPr>
              <w:keepNext w:val="0"/>
              <w:keepLines w:val="0"/>
              <w:widowControl/>
              <w:suppressLineNumbers w:val="0"/>
              <w:jc w:val="center"/>
              <w:textAlignment w:val="bottom"/>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7</w:t>
            </w:r>
          </w:p>
        </w:tc>
        <w:tc>
          <w:tcPr>
            <w:tcW w:w="988" w:type="dxa"/>
            <w:gridSpan w:val="2"/>
            <w:tcBorders>
              <w:top w:val="single" w:color="232323" w:sz="4" w:space="0"/>
              <w:left w:val="single" w:color="232323" w:sz="4" w:space="0"/>
              <w:bottom w:val="single" w:color="232323" w:sz="4" w:space="0"/>
              <w:right w:val="single" w:color="232323" w:sz="4" w:space="0"/>
            </w:tcBorders>
            <w:shd w:val="clear"/>
            <w:vAlign w:val="bottom"/>
          </w:tcPr>
          <w:p>
            <w:pPr>
              <w:keepNext w:val="0"/>
              <w:keepLines w:val="0"/>
              <w:widowControl/>
              <w:suppressLineNumbers w:val="0"/>
              <w:jc w:val="center"/>
              <w:textAlignment w:val="bottom"/>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6.26</w:t>
            </w:r>
          </w:p>
        </w:tc>
        <w:tc>
          <w:tcPr>
            <w:tcW w:w="1197" w:type="dxa"/>
            <w:gridSpan w:val="2"/>
            <w:tcBorders>
              <w:top w:val="single" w:color="232323" w:sz="4" w:space="0"/>
              <w:left w:val="single" w:color="232323" w:sz="4" w:space="0"/>
              <w:bottom w:val="single" w:color="232323" w:sz="4" w:space="0"/>
              <w:right w:val="single" w:color="232323" w:sz="4" w:space="0"/>
            </w:tcBorders>
            <w:shd w:val="clear"/>
            <w:vAlign w:val="bottom"/>
          </w:tcPr>
          <w:p>
            <w:pPr>
              <w:keepNext w:val="0"/>
              <w:keepLines w:val="0"/>
              <w:widowControl/>
              <w:suppressLineNumbers w:val="0"/>
              <w:jc w:val="center"/>
              <w:textAlignment w:val="bottom"/>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89%</w:t>
            </w:r>
          </w:p>
        </w:tc>
        <w:tc>
          <w:tcPr>
            <w:tcW w:w="372" w:type="dxa"/>
            <w:tcBorders>
              <w:top w:val="single" w:color="232323" w:sz="4" w:space="0"/>
              <w:left w:val="single" w:color="232323" w:sz="4" w:space="0"/>
              <w:bottom w:val="single" w:color="232323" w:sz="4" w:space="0"/>
              <w:right w:val="single" w:color="232323" w:sz="4" w:space="0"/>
            </w:tcBorders>
            <w:shd w:val="clear"/>
            <w:vAlign w:val="bottom"/>
          </w:tcPr>
          <w:p>
            <w:pPr>
              <w:jc w:val="left"/>
              <w:rPr>
                <w:rFonts w:hint="default" w:ascii="Times New Roman" w:hAnsi="Times New Roman" w:cs="Times New Roman"/>
                <w:i w:val="0"/>
                <w:color w:val="000000"/>
                <w:sz w:val="20"/>
                <w:szCs w:val="20"/>
                <w:u w:val="none"/>
              </w:rPr>
            </w:pPr>
          </w:p>
        </w:tc>
        <w:tc>
          <w:tcPr>
            <w:tcW w:w="361" w:type="dxa"/>
            <w:tcBorders>
              <w:top w:val="single" w:color="232323" w:sz="4" w:space="0"/>
              <w:left w:val="single" w:color="232323" w:sz="4" w:space="0"/>
              <w:bottom w:val="single" w:color="232323" w:sz="4" w:space="0"/>
              <w:right w:val="single" w:color="232323" w:sz="4" w:space="0"/>
            </w:tcBorders>
            <w:shd w:val="clear"/>
            <w:vAlign w:val="bottom"/>
          </w:tcPr>
          <w:p>
            <w:pPr>
              <w:jc w:val="left"/>
              <w:rPr>
                <w:rFonts w:hint="default" w:ascii="Times New Roman" w:hAnsi="Times New Roman" w:cs="Times New Roman"/>
                <w:i w:val="0"/>
                <w:color w:val="000000"/>
                <w:sz w:val="20"/>
                <w:szCs w:val="20"/>
                <w:u w:val="none"/>
              </w:rPr>
            </w:pPr>
          </w:p>
        </w:tc>
        <w:tc>
          <w:tcPr>
            <w:tcW w:w="558" w:type="dxa"/>
            <w:tcBorders>
              <w:top w:val="single" w:color="232323" w:sz="4" w:space="0"/>
              <w:left w:val="single" w:color="232323" w:sz="4" w:space="0"/>
              <w:bottom w:val="single" w:color="232323" w:sz="4" w:space="0"/>
              <w:right w:val="single" w:color="232323" w:sz="4" w:space="0"/>
            </w:tcBorders>
            <w:shd w:val="cle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409" w:type="dxa"/>
            <w:vMerge w:val="continue"/>
            <w:tcBorders>
              <w:top w:val="single" w:color="232323" w:sz="4" w:space="0"/>
              <w:left w:val="single" w:color="232323" w:sz="4" w:space="0"/>
              <w:bottom w:val="single" w:color="232323" w:sz="4" w:space="0"/>
              <w:right w:val="single" w:color="232323" w:sz="4" w:space="0"/>
            </w:tcBorders>
            <w:shd w:val="clear"/>
            <w:vAlign w:val="center"/>
          </w:tcPr>
          <w:p>
            <w:pPr>
              <w:jc w:val="left"/>
              <w:rPr>
                <w:rFonts w:hint="eastAsia" w:ascii="宋体" w:hAnsi="宋体" w:eastAsia="宋体" w:cs="宋体"/>
                <w:i w:val="0"/>
                <w:color w:val="000000"/>
                <w:sz w:val="18"/>
                <w:szCs w:val="18"/>
                <w:u w:val="none"/>
              </w:rPr>
            </w:pPr>
          </w:p>
        </w:tc>
        <w:tc>
          <w:tcPr>
            <w:tcW w:w="3202" w:type="dxa"/>
            <w:gridSpan w:val="5"/>
            <w:tcBorders>
              <w:top w:val="single" w:color="232323" w:sz="4" w:space="0"/>
              <w:left w:val="single" w:color="232323" w:sz="4" w:space="0"/>
              <w:bottom w:val="single" w:color="232323" w:sz="4" w:space="0"/>
              <w:right w:val="single" w:color="232323" w:sz="4" w:space="0"/>
            </w:tcBorders>
            <w:shd w:val="cle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重点工作二</w:t>
            </w:r>
          </w:p>
        </w:tc>
        <w:tc>
          <w:tcPr>
            <w:tcW w:w="1657" w:type="dxa"/>
            <w:gridSpan w:val="4"/>
            <w:tcBorders>
              <w:top w:val="single" w:color="232323" w:sz="4" w:space="0"/>
              <w:left w:val="single" w:color="232323" w:sz="4" w:space="0"/>
              <w:bottom w:val="single" w:color="232323" w:sz="4" w:space="0"/>
              <w:right w:val="single" w:color="232323" w:sz="4" w:space="0"/>
            </w:tcBorders>
            <w:shd w:val="cle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防疫费</w:t>
            </w:r>
          </w:p>
        </w:tc>
        <w:tc>
          <w:tcPr>
            <w:tcW w:w="796" w:type="dxa"/>
            <w:gridSpan w:val="2"/>
            <w:tcBorders>
              <w:top w:val="single" w:color="232323" w:sz="4" w:space="0"/>
              <w:left w:val="single" w:color="232323" w:sz="4" w:space="0"/>
              <w:bottom w:val="single" w:color="232323" w:sz="4" w:space="0"/>
              <w:right w:val="single" w:color="232323" w:sz="4" w:space="0"/>
            </w:tcBorders>
            <w:shd w:val="clear"/>
            <w:vAlign w:val="bottom"/>
          </w:tcPr>
          <w:p>
            <w:pPr>
              <w:keepNext w:val="0"/>
              <w:keepLines w:val="0"/>
              <w:widowControl/>
              <w:suppressLineNumbers w:val="0"/>
              <w:jc w:val="center"/>
              <w:textAlignment w:val="bottom"/>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8</w:t>
            </w:r>
          </w:p>
        </w:tc>
        <w:tc>
          <w:tcPr>
            <w:tcW w:w="988" w:type="dxa"/>
            <w:gridSpan w:val="2"/>
            <w:tcBorders>
              <w:top w:val="single" w:color="232323" w:sz="4" w:space="0"/>
              <w:left w:val="single" w:color="232323" w:sz="4" w:space="0"/>
              <w:bottom w:val="single" w:color="232323" w:sz="4" w:space="0"/>
              <w:right w:val="single" w:color="232323" w:sz="4" w:space="0"/>
            </w:tcBorders>
            <w:shd w:val="clear"/>
            <w:vAlign w:val="bottom"/>
          </w:tcPr>
          <w:p>
            <w:pPr>
              <w:keepNext w:val="0"/>
              <w:keepLines w:val="0"/>
              <w:widowControl/>
              <w:suppressLineNumbers w:val="0"/>
              <w:jc w:val="center"/>
              <w:textAlignment w:val="bottom"/>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6.74</w:t>
            </w:r>
          </w:p>
        </w:tc>
        <w:tc>
          <w:tcPr>
            <w:tcW w:w="1197" w:type="dxa"/>
            <w:gridSpan w:val="2"/>
            <w:tcBorders>
              <w:top w:val="single" w:color="232323" w:sz="4" w:space="0"/>
              <w:left w:val="single" w:color="232323" w:sz="4" w:space="0"/>
              <w:bottom w:val="single" w:color="232323" w:sz="4" w:space="0"/>
              <w:right w:val="single" w:color="232323" w:sz="4" w:space="0"/>
            </w:tcBorders>
            <w:shd w:val="clear"/>
            <w:vAlign w:val="bottom"/>
          </w:tcPr>
          <w:p>
            <w:pPr>
              <w:keepNext w:val="0"/>
              <w:keepLines w:val="0"/>
              <w:widowControl/>
              <w:suppressLineNumbers w:val="0"/>
              <w:jc w:val="center"/>
              <w:textAlignment w:val="bottom"/>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84.25%</w:t>
            </w:r>
          </w:p>
        </w:tc>
        <w:tc>
          <w:tcPr>
            <w:tcW w:w="372" w:type="dxa"/>
            <w:tcBorders>
              <w:top w:val="single" w:color="232323" w:sz="4" w:space="0"/>
              <w:left w:val="single" w:color="232323" w:sz="4" w:space="0"/>
              <w:bottom w:val="single" w:color="232323" w:sz="4" w:space="0"/>
              <w:right w:val="single" w:color="232323" w:sz="4" w:space="0"/>
            </w:tcBorders>
            <w:shd w:val="clear"/>
            <w:vAlign w:val="bottom"/>
          </w:tcPr>
          <w:p>
            <w:pPr>
              <w:jc w:val="left"/>
              <w:rPr>
                <w:rFonts w:hint="default" w:ascii="Times New Roman" w:hAnsi="Times New Roman" w:cs="Times New Roman"/>
                <w:i w:val="0"/>
                <w:color w:val="000000"/>
                <w:sz w:val="20"/>
                <w:szCs w:val="20"/>
                <w:u w:val="none"/>
              </w:rPr>
            </w:pPr>
          </w:p>
        </w:tc>
        <w:tc>
          <w:tcPr>
            <w:tcW w:w="361" w:type="dxa"/>
            <w:tcBorders>
              <w:top w:val="single" w:color="232323" w:sz="4" w:space="0"/>
              <w:left w:val="single" w:color="232323" w:sz="4" w:space="0"/>
              <w:bottom w:val="single" w:color="232323" w:sz="4" w:space="0"/>
              <w:right w:val="single" w:color="232323" w:sz="4" w:space="0"/>
            </w:tcBorders>
            <w:shd w:val="clear"/>
            <w:vAlign w:val="bottom"/>
          </w:tcPr>
          <w:p>
            <w:pPr>
              <w:jc w:val="left"/>
              <w:rPr>
                <w:rFonts w:hint="default" w:ascii="Times New Roman" w:hAnsi="Times New Roman" w:cs="Times New Roman"/>
                <w:i w:val="0"/>
                <w:color w:val="000000"/>
                <w:sz w:val="20"/>
                <w:szCs w:val="20"/>
                <w:u w:val="none"/>
              </w:rPr>
            </w:pPr>
          </w:p>
        </w:tc>
        <w:tc>
          <w:tcPr>
            <w:tcW w:w="558" w:type="dxa"/>
            <w:tcBorders>
              <w:top w:val="single" w:color="232323" w:sz="4" w:space="0"/>
              <w:left w:val="single" w:color="232323" w:sz="4" w:space="0"/>
              <w:bottom w:val="single" w:color="232323" w:sz="4" w:space="0"/>
              <w:right w:val="single" w:color="232323" w:sz="4" w:space="0"/>
            </w:tcBorders>
            <w:shd w:val="cle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409" w:type="dxa"/>
            <w:vMerge w:val="continue"/>
            <w:tcBorders>
              <w:top w:val="single" w:color="232323" w:sz="4" w:space="0"/>
              <w:left w:val="single" w:color="232323" w:sz="4" w:space="0"/>
              <w:bottom w:val="single" w:color="232323" w:sz="4" w:space="0"/>
              <w:right w:val="single" w:color="232323" w:sz="4" w:space="0"/>
            </w:tcBorders>
            <w:shd w:val="clear"/>
            <w:vAlign w:val="center"/>
          </w:tcPr>
          <w:p>
            <w:pPr>
              <w:jc w:val="left"/>
              <w:rPr>
                <w:rFonts w:hint="eastAsia" w:ascii="宋体" w:hAnsi="宋体" w:eastAsia="宋体" w:cs="宋体"/>
                <w:i w:val="0"/>
                <w:color w:val="000000"/>
                <w:sz w:val="18"/>
                <w:szCs w:val="18"/>
                <w:u w:val="none"/>
              </w:rPr>
            </w:pPr>
          </w:p>
        </w:tc>
        <w:tc>
          <w:tcPr>
            <w:tcW w:w="3202" w:type="dxa"/>
            <w:gridSpan w:val="5"/>
            <w:tcBorders>
              <w:top w:val="single" w:color="232323" w:sz="4" w:space="0"/>
              <w:left w:val="single" w:color="232323" w:sz="4" w:space="0"/>
              <w:bottom w:val="single" w:color="232323" w:sz="4" w:space="0"/>
              <w:right w:val="single" w:color="232323" w:sz="4" w:space="0"/>
            </w:tcBorders>
            <w:shd w:val="cle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重点工作三</w:t>
            </w:r>
          </w:p>
        </w:tc>
        <w:tc>
          <w:tcPr>
            <w:tcW w:w="1657" w:type="dxa"/>
            <w:gridSpan w:val="4"/>
            <w:tcBorders>
              <w:top w:val="single" w:color="232323" w:sz="4" w:space="0"/>
              <w:left w:val="single" w:color="232323" w:sz="4" w:space="0"/>
              <w:bottom w:val="single" w:color="232323" w:sz="4" w:space="0"/>
              <w:right w:val="single" w:color="232323" w:sz="4" w:space="0"/>
            </w:tcBorders>
            <w:shd w:val="cle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防治费</w:t>
            </w:r>
          </w:p>
        </w:tc>
        <w:tc>
          <w:tcPr>
            <w:tcW w:w="796" w:type="dxa"/>
            <w:gridSpan w:val="2"/>
            <w:tcBorders>
              <w:top w:val="single" w:color="232323" w:sz="4" w:space="0"/>
              <w:left w:val="single" w:color="232323" w:sz="4" w:space="0"/>
              <w:bottom w:val="single" w:color="232323" w:sz="4" w:space="0"/>
              <w:right w:val="single" w:color="232323" w:sz="4" w:space="0"/>
            </w:tcBorders>
            <w:shd w:val="clear"/>
            <w:vAlign w:val="bottom"/>
          </w:tcPr>
          <w:p>
            <w:pPr>
              <w:keepNext w:val="0"/>
              <w:keepLines w:val="0"/>
              <w:widowControl/>
              <w:suppressLineNumbers w:val="0"/>
              <w:jc w:val="center"/>
              <w:textAlignment w:val="bottom"/>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30</w:t>
            </w:r>
          </w:p>
        </w:tc>
        <w:tc>
          <w:tcPr>
            <w:tcW w:w="988" w:type="dxa"/>
            <w:gridSpan w:val="2"/>
            <w:tcBorders>
              <w:top w:val="single" w:color="232323" w:sz="4" w:space="0"/>
              <w:left w:val="single" w:color="232323" w:sz="4" w:space="0"/>
              <w:bottom w:val="single" w:color="232323" w:sz="4" w:space="0"/>
              <w:right w:val="single" w:color="232323" w:sz="4" w:space="0"/>
            </w:tcBorders>
            <w:shd w:val="clear"/>
            <w:vAlign w:val="bottom"/>
          </w:tcPr>
          <w:p>
            <w:pPr>
              <w:keepNext w:val="0"/>
              <w:keepLines w:val="0"/>
              <w:widowControl/>
              <w:suppressLineNumbers w:val="0"/>
              <w:jc w:val="center"/>
              <w:textAlignment w:val="bottom"/>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26.88</w:t>
            </w:r>
          </w:p>
        </w:tc>
        <w:tc>
          <w:tcPr>
            <w:tcW w:w="1197" w:type="dxa"/>
            <w:gridSpan w:val="2"/>
            <w:tcBorders>
              <w:top w:val="single" w:color="232323" w:sz="4" w:space="0"/>
              <w:left w:val="single" w:color="232323" w:sz="4" w:space="0"/>
              <w:bottom w:val="single" w:color="232323" w:sz="4" w:space="0"/>
              <w:right w:val="single" w:color="232323" w:sz="4" w:space="0"/>
            </w:tcBorders>
            <w:shd w:val="clear"/>
            <w:vAlign w:val="bottom"/>
          </w:tcPr>
          <w:p>
            <w:pPr>
              <w:keepNext w:val="0"/>
              <w:keepLines w:val="0"/>
              <w:widowControl/>
              <w:suppressLineNumbers w:val="0"/>
              <w:jc w:val="center"/>
              <w:textAlignment w:val="bottom"/>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89.60%</w:t>
            </w:r>
          </w:p>
        </w:tc>
        <w:tc>
          <w:tcPr>
            <w:tcW w:w="372" w:type="dxa"/>
            <w:tcBorders>
              <w:top w:val="single" w:color="232323" w:sz="4" w:space="0"/>
              <w:left w:val="single" w:color="232323" w:sz="4" w:space="0"/>
              <w:bottom w:val="single" w:color="232323" w:sz="4" w:space="0"/>
              <w:right w:val="single" w:color="232323" w:sz="4" w:space="0"/>
            </w:tcBorders>
            <w:shd w:val="clear"/>
            <w:vAlign w:val="bottom"/>
          </w:tcPr>
          <w:p>
            <w:pPr>
              <w:jc w:val="left"/>
              <w:rPr>
                <w:rFonts w:hint="default" w:ascii="Times New Roman" w:hAnsi="Times New Roman" w:cs="Times New Roman"/>
                <w:i w:val="0"/>
                <w:color w:val="000000"/>
                <w:sz w:val="20"/>
                <w:szCs w:val="20"/>
                <w:u w:val="none"/>
              </w:rPr>
            </w:pPr>
          </w:p>
        </w:tc>
        <w:tc>
          <w:tcPr>
            <w:tcW w:w="361" w:type="dxa"/>
            <w:tcBorders>
              <w:top w:val="single" w:color="232323" w:sz="4" w:space="0"/>
              <w:left w:val="single" w:color="232323" w:sz="4" w:space="0"/>
              <w:bottom w:val="single" w:color="232323" w:sz="4" w:space="0"/>
              <w:right w:val="single" w:color="232323" w:sz="4" w:space="0"/>
            </w:tcBorders>
            <w:shd w:val="clear"/>
            <w:vAlign w:val="bottom"/>
          </w:tcPr>
          <w:p>
            <w:pPr>
              <w:jc w:val="left"/>
              <w:rPr>
                <w:rFonts w:hint="default" w:ascii="Times New Roman" w:hAnsi="Times New Roman" w:cs="Times New Roman"/>
                <w:i w:val="0"/>
                <w:color w:val="000000"/>
                <w:sz w:val="20"/>
                <w:szCs w:val="20"/>
                <w:u w:val="none"/>
              </w:rPr>
            </w:pPr>
          </w:p>
        </w:tc>
        <w:tc>
          <w:tcPr>
            <w:tcW w:w="558" w:type="dxa"/>
            <w:tcBorders>
              <w:top w:val="single" w:color="232323" w:sz="4" w:space="0"/>
              <w:left w:val="single" w:color="232323" w:sz="4" w:space="0"/>
              <w:bottom w:val="single" w:color="232323" w:sz="4" w:space="0"/>
              <w:right w:val="single" w:color="232323" w:sz="4" w:space="0"/>
            </w:tcBorders>
            <w:shd w:val="cle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45" w:hRule="atLeast"/>
        </w:trPr>
        <w:tc>
          <w:tcPr>
            <w:tcW w:w="409" w:type="dxa"/>
            <w:vMerge w:val="continue"/>
            <w:tcBorders>
              <w:top w:val="single" w:color="232323" w:sz="4" w:space="0"/>
              <w:left w:val="single" w:color="232323" w:sz="4" w:space="0"/>
              <w:bottom w:val="single" w:color="232323" w:sz="4" w:space="0"/>
              <w:right w:val="single" w:color="232323" w:sz="4" w:space="0"/>
            </w:tcBorders>
            <w:shd w:val="clear"/>
            <w:vAlign w:val="center"/>
          </w:tcPr>
          <w:p>
            <w:pPr>
              <w:jc w:val="left"/>
              <w:rPr>
                <w:rFonts w:hint="eastAsia" w:ascii="宋体" w:hAnsi="宋体" w:eastAsia="宋体" w:cs="宋体"/>
                <w:i w:val="0"/>
                <w:color w:val="000000"/>
                <w:sz w:val="18"/>
                <w:szCs w:val="18"/>
                <w:u w:val="none"/>
              </w:rPr>
            </w:pPr>
          </w:p>
        </w:tc>
        <w:tc>
          <w:tcPr>
            <w:tcW w:w="3202" w:type="dxa"/>
            <w:gridSpan w:val="5"/>
            <w:tcBorders>
              <w:top w:val="single" w:color="232323" w:sz="4" w:space="0"/>
              <w:left w:val="single" w:color="232323" w:sz="4" w:space="0"/>
              <w:bottom w:val="single" w:color="232323" w:sz="4" w:space="0"/>
              <w:right w:val="single" w:color="232323" w:sz="4" w:space="0"/>
            </w:tcBorders>
            <w:shd w:val="cle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重点工作四</w:t>
            </w:r>
          </w:p>
        </w:tc>
        <w:tc>
          <w:tcPr>
            <w:tcW w:w="1657" w:type="dxa"/>
            <w:gridSpan w:val="4"/>
            <w:tcBorders>
              <w:top w:val="single" w:color="232323" w:sz="4" w:space="0"/>
              <w:left w:val="single" w:color="232323" w:sz="4" w:space="0"/>
              <w:bottom w:val="single" w:color="232323" w:sz="4" w:space="0"/>
              <w:right w:val="single" w:color="232323" w:sz="4" w:space="0"/>
            </w:tcBorders>
            <w:shd w:val="cle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垃圾清理费</w:t>
            </w:r>
          </w:p>
        </w:tc>
        <w:tc>
          <w:tcPr>
            <w:tcW w:w="796" w:type="dxa"/>
            <w:gridSpan w:val="2"/>
            <w:tcBorders>
              <w:top w:val="single" w:color="232323" w:sz="4" w:space="0"/>
              <w:left w:val="single" w:color="232323" w:sz="4" w:space="0"/>
              <w:bottom w:val="single" w:color="232323" w:sz="4" w:space="0"/>
              <w:right w:val="single" w:color="232323" w:sz="4" w:space="0"/>
            </w:tcBorders>
            <w:shd w:val="clear"/>
            <w:vAlign w:val="bottom"/>
          </w:tcPr>
          <w:p>
            <w:pPr>
              <w:keepNext w:val="0"/>
              <w:keepLines w:val="0"/>
              <w:widowControl/>
              <w:suppressLineNumbers w:val="0"/>
              <w:jc w:val="center"/>
              <w:textAlignment w:val="bottom"/>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w:t>
            </w:r>
          </w:p>
        </w:tc>
        <w:tc>
          <w:tcPr>
            <w:tcW w:w="988" w:type="dxa"/>
            <w:gridSpan w:val="2"/>
            <w:tcBorders>
              <w:top w:val="single" w:color="232323" w:sz="4" w:space="0"/>
              <w:left w:val="single" w:color="232323" w:sz="4" w:space="0"/>
              <w:bottom w:val="single" w:color="232323" w:sz="4" w:space="0"/>
              <w:right w:val="single" w:color="232323" w:sz="4" w:space="0"/>
            </w:tcBorders>
            <w:shd w:val="clear"/>
            <w:vAlign w:val="bottom"/>
          </w:tcPr>
          <w:p>
            <w:pPr>
              <w:keepNext w:val="0"/>
              <w:keepLines w:val="0"/>
              <w:widowControl/>
              <w:suppressLineNumbers w:val="0"/>
              <w:jc w:val="center"/>
              <w:textAlignment w:val="bottom"/>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2.91</w:t>
            </w:r>
          </w:p>
        </w:tc>
        <w:tc>
          <w:tcPr>
            <w:tcW w:w="1197" w:type="dxa"/>
            <w:gridSpan w:val="2"/>
            <w:tcBorders>
              <w:top w:val="single" w:color="232323" w:sz="4" w:space="0"/>
              <w:left w:val="single" w:color="232323" w:sz="4" w:space="0"/>
              <w:bottom w:val="single" w:color="232323" w:sz="4" w:space="0"/>
              <w:right w:val="single" w:color="232323" w:sz="4" w:space="0"/>
            </w:tcBorders>
            <w:shd w:val="clear"/>
            <w:vAlign w:val="bottom"/>
          </w:tcPr>
          <w:p>
            <w:pPr>
              <w:keepNext w:val="0"/>
              <w:keepLines w:val="0"/>
              <w:widowControl/>
              <w:suppressLineNumbers w:val="0"/>
              <w:jc w:val="center"/>
              <w:textAlignment w:val="bottom"/>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97%</w:t>
            </w:r>
          </w:p>
        </w:tc>
        <w:tc>
          <w:tcPr>
            <w:tcW w:w="372" w:type="dxa"/>
            <w:tcBorders>
              <w:top w:val="single" w:color="232323" w:sz="4" w:space="0"/>
              <w:left w:val="single" w:color="232323" w:sz="4" w:space="0"/>
              <w:bottom w:val="single" w:color="232323" w:sz="4" w:space="0"/>
              <w:right w:val="single" w:color="232323" w:sz="4" w:space="0"/>
            </w:tcBorders>
            <w:shd w:val="clear"/>
            <w:vAlign w:val="bottom"/>
          </w:tcPr>
          <w:p>
            <w:pPr>
              <w:jc w:val="left"/>
              <w:rPr>
                <w:rFonts w:hint="default" w:ascii="Times New Roman" w:hAnsi="Times New Roman" w:cs="Times New Roman"/>
                <w:i w:val="0"/>
                <w:color w:val="000000"/>
                <w:sz w:val="20"/>
                <w:szCs w:val="20"/>
                <w:u w:val="none"/>
              </w:rPr>
            </w:pPr>
          </w:p>
        </w:tc>
        <w:tc>
          <w:tcPr>
            <w:tcW w:w="361" w:type="dxa"/>
            <w:tcBorders>
              <w:top w:val="single" w:color="232323" w:sz="4" w:space="0"/>
              <w:left w:val="single" w:color="232323" w:sz="4" w:space="0"/>
              <w:bottom w:val="single" w:color="232323" w:sz="4" w:space="0"/>
              <w:right w:val="single" w:color="232323" w:sz="4" w:space="0"/>
            </w:tcBorders>
            <w:shd w:val="clear"/>
            <w:vAlign w:val="bottom"/>
          </w:tcPr>
          <w:p>
            <w:pPr>
              <w:jc w:val="left"/>
              <w:rPr>
                <w:rFonts w:hint="default" w:ascii="Times New Roman" w:hAnsi="Times New Roman" w:cs="Times New Roman"/>
                <w:i w:val="0"/>
                <w:color w:val="000000"/>
                <w:sz w:val="20"/>
                <w:szCs w:val="20"/>
                <w:u w:val="none"/>
              </w:rPr>
            </w:pPr>
          </w:p>
        </w:tc>
        <w:tc>
          <w:tcPr>
            <w:tcW w:w="558" w:type="dxa"/>
            <w:tcBorders>
              <w:top w:val="single" w:color="232323" w:sz="4" w:space="0"/>
              <w:left w:val="single" w:color="232323" w:sz="4" w:space="0"/>
              <w:bottom w:val="single" w:color="232323" w:sz="4" w:space="0"/>
              <w:right w:val="single" w:color="232323" w:sz="4" w:space="0"/>
            </w:tcBorders>
            <w:shd w:val="cle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409" w:type="dxa"/>
            <w:vMerge w:val="continue"/>
            <w:tcBorders>
              <w:top w:val="single" w:color="232323" w:sz="4" w:space="0"/>
              <w:left w:val="single" w:color="232323" w:sz="4" w:space="0"/>
              <w:bottom w:val="single" w:color="232323" w:sz="4" w:space="0"/>
              <w:right w:val="single" w:color="232323" w:sz="4" w:space="0"/>
            </w:tcBorders>
            <w:shd w:val="clear"/>
            <w:vAlign w:val="center"/>
          </w:tcPr>
          <w:p>
            <w:pPr>
              <w:jc w:val="left"/>
              <w:rPr>
                <w:rFonts w:hint="eastAsia" w:ascii="宋体" w:hAnsi="宋体" w:eastAsia="宋体" w:cs="宋体"/>
                <w:i w:val="0"/>
                <w:color w:val="000000"/>
                <w:sz w:val="18"/>
                <w:szCs w:val="18"/>
                <w:u w:val="none"/>
              </w:rPr>
            </w:pPr>
          </w:p>
        </w:tc>
        <w:tc>
          <w:tcPr>
            <w:tcW w:w="3202" w:type="dxa"/>
            <w:gridSpan w:val="5"/>
            <w:tcBorders>
              <w:top w:val="single" w:color="232323" w:sz="4" w:space="0"/>
              <w:left w:val="single" w:color="232323" w:sz="4" w:space="0"/>
              <w:bottom w:val="single" w:color="232323" w:sz="4" w:space="0"/>
              <w:right w:val="single" w:color="232323" w:sz="4" w:space="0"/>
            </w:tcBorders>
            <w:shd w:val="cle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重点工作五</w:t>
            </w:r>
          </w:p>
        </w:tc>
        <w:tc>
          <w:tcPr>
            <w:tcW w:w="1657" w:type="dxa"/>
            <w:gridSpan w:val="4"/>
            <w:tcBorders>
              <w:top w:val="single" w:color="232323" w:sz="4" w:space="0"/>
              <w:left w:val="single" w:color="232323" w:sz="4" w:space="0"/>
              <w:bottom w:val="single" w:color="232323" w:sz="4" w:space="0"/>
              <w:right w:val="single" w:color="232323" w:sz="4" w:space="0"/>
            </w:tcBorders>
            <w:shd w:val="cle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农村饮水安全建设</w:t>
            </w:r>
          </w:p>
        </w:tc>
        <w:tc>
          <w:tcPr>
            <w:tcW w:w="796" w:type="dxa"/>
            <w:gridSpan w:val="2"/>
            <w:tcBorders>
              <w:top w:val="single" w:color="232323" w:sz="4" w:space="0"/>
              <w:left w:val="single" w:color="232323" w:sz="4" w:space="0"/>
              <w:bottom w:val="single" w:color="232323" w:sz="4" w:space="0"/>
              <w:right w:val="single" w:color="232323" w:sz="4" w:space="0"/>
            </w:tcBorders>
            <w:shd w:val="clear"/>
            <w:vAlign w:val="bottom"/>
          </w:tcPr>
          <w:p>
            <w:pPr>
              <w:keepNext w:val="0"/>
              <w:keepLines w:val="0"/>
              <w:widowControl/>
              <w:suppressLineNumbers w:val="0"/>
              <w:jc w:val="center"/>
              <w:textAlignment w:val="bottom"/>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442.82</w:t>
            </w:r>
          </w:p>
        </w:tc>
        <w:tc>
          <w:tcPr>
            <w:tcW w:w="988" w:type="dxa"/>
            <w:gridSpan w:val="2"/>
            <w:tcBorders>
              <w:top w:val="single" w:color="232323" w:sz="4" w:space="0"/>
              <w:left w:val="single" w:color="232323" w:sz="4" w:space="0"/>
              <w:bottom w:val="single" w:color="232323" w:sz="4" w:space="0"/>
              <w:right w:val="single" w:color="232323" w:sz="4" w:space="0"/>
            </w:tcBorders>
            <w:shd w:val="clear"/>
            <w:vAlign w:val="bottom"/>
          </w:tcPr>
          <w:p>
            <w:pPr>
              <w:keepNext w:val="0"/>
              <w:keepLines w:val="0"/>
              <w:widowControl/>
              <w:suppressLineNumbers w:val="0"/>
              <w:jc w:val="center"/>
              <w:textAlignment w:val="bottom"/>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5.52</w:t>
            </w:r>
          </w:p>
        </w:tc>
        <w:tc>
          <w:tcPr>
            <w:tcW w:w="1197" w:type="dxa"/>
            <w:gridSpan w:val="2"/>
            <w:tcBorders>
              <w:top w:val="single" w:color="232323" w:sz="4" w:space="0"/>
              <w:left w:val="single" w:color="232323" w:sz="4" w:space="0"/>
              <w:bottom w:val="single" w:color="232323" w:sz="4" w:space="0"/>
              <w:right w:val="single" w:color="232323" w:sz="4" w:space="0"/>
            </w:tcBorders>
            <w:shd w:val="clear"/>
            <w:vAlign w:val="bottom"/>
          </w:tcPr>
          <w:p>
            <w:pPr>
              <w:keepNext w:val="0"/>
              <w:keepLines w:val="0"/>
              <w:widowControl/>
              <w:suppressLineNumbers w:val="0"/>
              <w:jc w:val="center"/>
              <w:textAlignment w:val="bottom"/>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1.25%</w:t>
            </w:r>
          </w:p>
        </w:tc>
        <w:tc>
          <w:tcPr>
            <w:tcW w:w="372" w:type="dxa"/>
            <w:tcBorders>
              <w:top w:val="single" w:color="232323" w:sz="4" w:space="0"/>
              <w:left w:val="single" w:color="232323" w:sz="4" w:space="0"/>
              <w:bottom w:val="single" w:color="232323" w:sz="4" w:space="0"/>
              <w:right w:val="single" w:color="232323" w:sz="4" w:space="0"/>
            </w:tcBorders>
            <w:shd w:val="clear"/>
            <w:vAlign w:val="bottom"/>
          </w:tcPr>
          <w:p>
            <w:pPr>
              <w:jc w:val="left"/>
              <w:rPr>
                <w:rFonts w:hint="default" w:ascii="Times New Roman" w:hAnsi="Times New Roman" w:cs="Times New Roman"/>
                <w:i w:val="0"/>
                <w:color w:val="000000"/>
                <w:sz w:val="20"/>
                <w:szCs w:val="20"/>
                <w:u w:val="none"/>
              </w:rPr>
            </w:pPr>
          </w:p>
        </w:tc>
        <w:tc>
          <w:tcPr>
            <w:tcW w:w="361" w:type="dxa"/>
            <w:tcBorders>
              <w:top w:val="single" w:color="232323" w:sz="4" w:space="0"/>
              <w:left w:val="single" w:color="232323" w:sz="4" w:space="0"/>
              <w:bottom w:val="single" w:color="232323" w:sz="4" w:space="0"/>
              <w:right w:val="single" w:color="232323" w:sz="4" w:space="0"/>
            </w:tcBorders>
            <w:shd w:val="clear"/>
            <w:vAlign w:val="bottom"/>
          </w:tcPr>
          <w:p>
            <w:pPr>
              <w:jc w:val="left"/>
              <w:rPr>
                <w:rFonts w:hint="default" w:ascii="Times New Roman" w:hAnsi="Times New Roman" w:cs="Times New Roman"/>
                <w:i w:val="0"/>
                <w:color w:val="000000"/>
                <w:sz w:val="20"/>
                <w:szCs w:val="20"/>
                <w:u w:val="none"/>
              </w:rPr>
            </w:pPr>
          </w:p>
        </w:tc>
        <w:tc>
          <w:tcPr>
            <w:tcW w:w="558" w:type="dxa"/>
            <w:tcBorders>
              <w:top w:val="single" w:color="232323" w:sz="4" w:space="0"/>
              <w:left w:val="single" w:color="232323" w:sz="4" w:space="0"/>
              <w:bottom w:val="single" w:color="232323" w:sz="4" w:space="0"/>
              <w:right w:val="single" w:color="232323" w:sz="4" w:space="0"/>
            </w:tcBorders>
            <w:shd w:val="cle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409" w:type="dxa"/>
            <w:vMerge w:val="continue"/>
            <w:tcBorders>
              <w:top w:val="single" w:color="232323" w:sz="4" w:space="0"/>
              <w:left w:val="single" w:color="232323" w:sz="4" w:space="0"/>
              <w:bottom w:val="single" w:color="232323" w:sz="4" w:space="0"/>
              <w:right w:val="single" w:color="232323" w:sz="4" w:space="0"/>
            </w:tcBorders>
            <w:shd w:val="clear"/>
            <w:vAlign w:val="center"/>
          </w:tcPr>
          <w:p>
            <w:pPr>
              <w:jc w:val="left"/>
              <w:rPr>
                <w:rFonts w:hint="eastAsia" w:ascii="宋体" w:hAnsi="宋体" w:eastAsia="宋体" w:cs="宋体"/>
                <w:i w:val="0"/>
                <w:color w:val="000000"/>
                <w:sz w:val="18"/>
                <w:szCs w:val="18"/>
                <w:u w:val="none"/>
              </w:rPr>
            </w:pPr>
          </w:p>
        </w:tc>
        <w:tc>
          <w:tcPr>
            <w:tcW w:w="3202" w:type="dxa"/>
            <w:gridSpan w:val="5"/>
            <w:tcBorders>
              <w:top w:val="single" w:color="232323" w:sz="4" w:space="0"/>
              <w:left w:val="single" w:color="232323" w:sz="4" w:space="0"/>
              <w:bottom w:val="single" w:color="232323" w:sz="4" w:space="0"/>
              <w:right w:val="single" w:color="232323" w:sz="4" w:space="0"/>
            </w:tcBorders>
            <w:shd w:val="cle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重点工作六</w:t>
            </w:r>
          </w:p>
        </w:tc>
        <w:tc>
          <w:tcPr>
            <w:tcW w:w="1657" w:type="dxa"/>
            <w:gridSpan w:val="4"/>
            <w:tcBorders>
              <w:top w:val="single" w:color="232323" w:sz="4" w:space="0"/>
              <w:left w:val="single" w:color="232323" w:sz="4" w:space="0"/>
              <w:bottom w:val="single" w:color="232323" w:sz="4" w:space="0"/>
              <w:right w:val="single" w:color="232323" w:sz="4" w:space="0"/>
            </w:tcBorders>
            <w:shd w:val="cle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排灌站运行费</w:t>
            </w:r>
          </w:p>
        </w:tc>
        <w:tc>
          <w:tcPr>
            <w:tcW w:w="796" w:type="dxa"/>
            <w:gridSpan w:val="2"/>
            <w:tcBorders>
              <w:top w:val="single" w:color="232323" w:sz="4" w:space="0"/>
              <w:left w:val="single" w:color="232323" w:sz="4" w:space="0"/>
              <w:bottom w:val="single" w:color="232323" w:sz="4" w:space="0"/>
              <w:right w:val="single" w:color="232323" w:sz="4" w:space="0"/>
            </w:tcBorders>
            <w:shd w:val="clear"/>
            <w:vAlign w:val="bottom"/>
          </w:tcPr>
          <w:p>
            <w:pPr>
              <w:keepNext w:val="0"/>
              <w:keepLines w:val="0"/>
              <w:widowControl/>
              <w:suppressLineNumbers w:val="0"/>
              <w:jc w:val="center"/>
              <w:textAlignment w:val="bottom"/>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65</w:t>
            </w:r>
          </w:p>
        </w:tc>
        <w:tc>
          <w:tcPr>
            <w:tcW w:w="988" w:type="dxa"/>
            <w:gridSpan w:val="2"/>
            <w:tcBorders>
              <w:top w:val="single" w:color="232323" w:sz="4" w:space="0"/>
              <w:left w:val="single" w:color="232323" w:sz="4" w:space="0"/>
              <w:bottom w:val="single" w:color="232323" w:sz="4" w:space="0"/>
              <w:right w:val="single" w:color="232323" w:sz="4" w:space="0"/>
            </w:tcBorders>
            <w:shd w:val="clear"/>
            <w:vAlign w:val="bottom"/>
          </w:tcPr>
          <w:p>
            <w:pPr>
              <w:keepNext w:val="0"/>
              <w:keepLines w:val="0"/>
              <w:widowControl/>
              <w:suppressLineNumbers w:val="0"/>
              <w:jc w:val="center"/>
              <w:textAlignment w:val="bottom"/>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65</w:t>
            </w:r>
          </w:p>
        </w:tc>
        <w:tc>
          <w:tcPr>
            <w:tcW w:w="1197" w:type="dxa"/>
            <w:gridSpan w:val="2"/>
            <w:tcBorders>
              <w:top w:val="single" w:color="232323" w:sz="4" w:space="0"/>
              <w:left w:val="single" w:color="232323" w:sz="4" w:space="0"/>
              <w:bottom w:val="single" w:color="232323" w:sz="4" w:space="0"/>
              <w:right w:val="single" w:color="232323" w:sz="4" w:space="0"/>
            </w:tcBorders>
            <w:shd w:val="clear"/>
            <w:vAlign w:val="bottom"/>
          </w:tcPr>
          <w:p>
            <w:pPr>
              <w:keepNext w:val="0"/>
              <w:keepLines w:val="0"/>
              <w:widowControl/>
              <w:suppressLineNumbers w:val="0"/>
              <w:jc w:val="center"/>
              <w:textAlignment w:val="bottom"/>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100%</w:t>
            </w:r>
          </w:p>
        </w:tc>
        <w:tc>
          <w:tcPr>
            <w:tcW w:w="372" w:type="dxa"/>
            <w:tcBorders>
              <w:top w:val="single" w:color="232323" w:sz="4" w:space="0"/>
              <w:left w:val="single" w:color="232323" w:sz="4" w:space="0"/>
              <w:bottom w:val="single" w:color="232323" w:sz="4" w:space="0"/>
              <w:right w:val="single" w:color="232323" w:sz="4" w:space="0"/>
            </w:tcBorders>
            <w:shd w:val="clear"/>
            <w:vAlign w:val="bottom"/>
          </w:tcPr>
          <w:p>
            <w:pPr>
              <w:jc w:val="left"/>
              <w:rPr>
                <w:rFonts w:hint="default" w:ascii="Times New Roman" w:hAnsi="Times New Roman" w:cs="Times New Roman"/>
                <w:i w:val="0"/>
                <w:color w:val="000000"/>
                <w:sz w:val="20"/>
                <w:szCs w:val="20"/>
                <w:u w:val="none"/>
              </w:rPr>
            </w:pPr>
          </w:p>
        </w:tc>
        <w:tc>
          <w:tcPr>
            <w:tcW w:w="361" w:type="dxa"/>
            <w:tcBorders>
              <w:top w:val="single" w:color="232323" w:sz="4" w:space="0"/>
              <w:left w:val="single" w:color="232323" w:sz="4" w:space="0"/>
              <w:bottom w:val="single" w:color="232323" w:sz="4" w:space="0"/>
              <w:right w:val="single" w:color="232323" w:sz="4" w:space="0"/>
            </w:tcBorders>
            <w:shd w:val="clear"/>
            <w:vAlign w:val="bottom"/>
          </w:tcPr>
          <w:p>
            <w:pPr>
              <w:jc w:val="left"/>
              <w:rPr>
                <w:rFonts w:hint="default" w:ascii="Times New Roman" w:hAnsi="Times New Roman" w:cs="Times New Roman"/>
                <w:i w:val="0"/>
                <w:color w:val="000000"/>
                <w:sz w:val="20"/>
                <w:szCs w:val="20"/>
                <w:u w:val="none"/>
              </w:rPr>
            </w:pPr>
          </w:p>
        </w:tc>
        <w:tc>
          <w:tcPr>
            <w:tcW w:w="558" w:type="dxa"/>
            <w:tcBorders>
              <w:top w:val="single" w:color="232323" w:sz="4" w:space="0"/>
              <w:left w:val="single" w:color="232323" w:sz="4" w:space="0"/>
              <w:bottom w:val="single" w:color="232323" w:sz="4" w:space="0"/>
              <w:right w:val="single" w:color="232323" w:sz="4" w:space="0"/>
            </w:tcBorders>
            <w:shd w:val="cle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409" w:type="dxa"/>
            <w:vMerge w:val="continue"/>
            <w:tcBorders>
              <w:top w:val="single" w:color="232323" w:sz="4" w:space="0"/>
              <w:left w:val="single" w:color="232323" w:sz="4" w:space="0"/>
              <w:bottom w:val="single" w:color="232323" w:sz="4" w:space="0"/>
              <w:right w:val="single" w:color="232323" w:sz="4" w:space="0"/>
            </w:tcBorders>
            <w:shd w:val="clear"/>
            <w:vAlign w:val="center"/>
          </w:tcPr>
          <w:p>
            <w:pPr>
              <w:jc w:val="left"/>
              <w:rPr>
                <w:rFonts w:hint="eastAsia" w:ascii="宋体" w:hAnsi="宋体" w:eastAsia="宋体" w:cs="宋体"/>
                <w:i w:val="0"/>
                <w:color w:val="000000"/>
                <w:sz w:val="18"/>
                <w:szCs w:val="18"/>
                <w:u w:val="none"/>
              </w:rPr>
            </w:pPr>
          </w:p>
        </w:tc>
        <w:tc>
          <w:tcPr>
            <w:tcW w:w="3202" w:type="dxa"/>
            <w:gridSpan w:val="5"/>
            <w:tcBorders>
              <w:top w:val="single" w:color="232323" w:sz="4" w:space="0"/>
              <w:left w:val="single" w:color="232323" w:sz="4" w:space="0"/>
              <w:bottom w:val="single" w:color="232323" w:sz="4" w:space="0"/>
              <w:right w:val="single" w:color="232323" w:sz="4" w:space="0"/>
            </w:tcBorders>
            <w:shd w:val="cle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重点工作七</w:t>
            </w:r>
          </w:p>
        </w:tc>
        <w:tc>
          <w:tcPr>
            <w:tcW w:w="1657" w:type="dxa"/>
            <w:gridSpan w:val="4"/>
            <w:tcBorders>
              <w:top w:val="single" w:color="232323" w:sz="4" w:space="0"/>
              <w:left w:val="single" w:color="232323" w:sz="4" w:space="0"/>
              <w:bottom w:val="single" w:color="232323" w:sz="4" w:space="0"/>
              <w:right w:val="single" w:color="232323" w:sz="4" w:space="0"/>
            </w:tcBorders>
            <w:shd w:val="cle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生态补水费</w:t>
            </w:r>
          </w:p>
        </w:tc>
        <w:tc>
          <w:tcPr>
            <w:tcW w:w="796" w:type="dxa"/>
            <w:gridSpan w:val="2"/>
            <w:tcBorders>
              <w:top w:val="single" w:color="232323" w:sz="4" w:space="0"/>
              <w:left w:val="single" w:color="232323" w:sz="4" w:space="0"/>
              <w:bottom w:val="single" w:color="232323" w:sz="4" w:space="0"/>
              <w:right w:val="single" w:color="232323" w:sz="4" w:space="0"/>
            </w:tcBorders>
            <w:shd w:val="clear"/>
            <w:vAlign w:val="bottom"/>
          </w:tcPr>
          <w:p>
            <w:pPr>
              <w:keepNext w:val="0"/>
              <w:keepLines w:val="0"/>
              <w:widowControl/>
              <w:suppressLineNumbers w:val="0"/>
              <w:jc w:val="center"/>
              <w:textAlignment w:val="bottom"/>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90</w:t>
            </w:r>
          </w:p>
        </w:tc>
        <w:tc>
          <w:tcPr>
            <w:tcW w:w="988" w:type="dxa"/>
            <w:gridSpan w:val="2"/>
            <w:tcBorders>
              <w:top w:val="single" w:color="232323" w:sz="4" w:space="0"/>
              <w:left w:val="single" w:color="232323" w:sz="4" w:space="0"/>
              <w:bottom w:val="single" w:color="232323" w:sz="4" w:space="0"/>
              <w:right w:val="single" w:color="232323" w:sz="4" w:space="0"/>
            </w:tcBorders>
            <w:shd w:val="clear"/>
            <w:vAlign w:val="bottom"/>
          </w:tcPr>
          <w:p>
            <w:pPr>
              <w:keepNext w:val="0"/>
              <w:keepLines w:val="0"/>
              <w:widowControl/>
              <w:suppressLineNumbers w:val="0"/>
              <w:jc w:val="center"/>
              <w:textAlignment w:val="bottom"/>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35.96</w:t>
            </w:r>
          </w:p>
        </w:tc>
        <w:tc>
          <w:tcPr>
            <w:tcW w:w="1197" w:type="dxa"/>
            <w:gridSpan w:val="2"/>
            <w:tcBorders>
              <w:top w:val="single" w:color="232323" w:sz="4" w:space="0"/>
              <w:left w:val="single" w:color="232323" w:sz="4" w:space="0"/>
              <w:bottom w:val="single" w:color="232323" w:sz="4" w:space="0"/>
              <w:right w:val="single" w:color="232323" w:sz="4" w:space="0"/>
            </w:tcBorders>
            <w:shd w:val="clear"/>
            <w:vAlign w:val="bottom"/>
          </w:tcPr>
          <w:p>
            <w:pPr>
              <w:keepNext w:val="0"/>
              <w:keepLines w:val="0"/>
              <w:widowControl/>
              <w:suppressLineNumbers w:val="0"/>
              <w:jc w:val="center"/>
              <w:textAlignment w:val="bottom"/>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39.95</w:t>
            </w:r>
          </w:p>
        </w:tc>
        <w:tc>
          <w:tcPr>
            <w:tcW w:w="372" w:type="dxa"/>
            <w:tcBorders>
              <w:top w:val="single" w:color="232323" w:sz="4" w:space="0"/>
              <w:left w:val="single" w:color="232323" w:sz="4" w:space="0"/>
              <w:bottom w:val="single" w:color="232323" w:sz="4" w:space="0"/>
              <w:right w:val="single" w:color="232323" w:sz="4" w:space="0"/>
            </w:tcBorders>
            <w:shd w:val="clear"/>
            <w:vAlign w:val="bottom"/>
          </w:tcPr>
          <w:p>
            <w:pPr>
              <w:jc w:val="left"/>
              <w:rPr>
                <w:rFonts w:hint="default" w:ascii="Times New Roman" w:hAnsi="Times New Roman" w:cs="Times New Roman"/>
                <w:i w:val="0"/>
                <w:color w:val="000000"/>
                <w:sz w:val="20"/>
                <w:szCs w:val="20"/>
                <w:u w:val="none"/>
              </w:rPr>
            </w:pPr>
          </w:p>
        </w:tc>
        <w:tc>
          <w:tcPr>
            <w:tcW w:w="361" w:type="dxa"/>
            <w:tcBorders>
              <w:top w:val="single" w:color="232323" w:sz="4" w:space="0"/>
              <w:left w:val="single" w:color="232323" w:sz="4" w:space="0"/>
              <w:bottom w:val="single" w:color="232323" w:sz="4" w:space="0"/>
              <w:right w:val="single" w:color="232323" w:sz="4" w:space="0"/>
            </w:tcBorders>
            <w:shd w:val="clear"/>
            <w:vAlign w:val="bottom"/>
          </w:tcPr>
          <w:p>
            <w:pPr>
              <w:jc w:val="left"/>
              <w:rPr>
                <w:rFonts w:hint="default" w:ascii="Times New Roman" w:hAnsi="Times New Roman" w:cs="Times New Roman"/>
                <w:i w:val="0"/>
                <w:color w:val="000000"/>
                <w:sz w:val="20"/>
                <w:szCs w:val="20"/>
                <w:u w:val="none"/>
              </w:rPr>
            </w:pPr>
          </w:p>
        </w:tc>
        <w:tc>
          <w:tcPr>
            <w:tcW w:w="558" w:type="dxa"/>
            <w:tcBorders>
              <w:top w:val="single" w:color="232323" w:sz="4" w:space="0"/>
              <w:left w:val="single" w:color="232323" w:sz="4" w:space="0"/>
              <w:bottom w:val="single" w:color="232323" w:sz="4" w:space="0"/>
              <w:right w:val="single" w:color="232323" w:sz="4" w:space="0"/>
            </w:tcBorders>
            <w:shd w:val="cle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409" w:type="dxa"/>
            <w:vMerge w:val="continue"/>
            <w:tcBorders>
              <w:top w:val="single" w:color="232323" w:sz="4" w:space="0"/>
              <w:left w:val="single" w:color="232323" w:sz="4" w:space="0"/>
              <w:bottom w:val="single" w:color="232323" w:sz="4" w:space="0"/>
              <w:right w:val="single" w:color="232323" w:sz="4" w:space="0"/>
            </w:tcBorders>
            <w:shd w:val="clear"/>
            <w:vAlign w:val="center"/>
          </w:tcPr>
          <w:p>
            <w:pPr>
              <w:jc w:val="left"/>
              <w:rPr>
                <w:rFonts w:hint="eastAsia" w:ascii="宋体" w:hAnsi="宋体" w:eastAsia="宋体" w:cs="宋体"/>
                <w:i w:val="0"/>
                <w:color w:val="000000"/>
                <w:sz w:val="18"/>
                <w:szCs w:val="18"/>
                <w:u w:val="none"/>
              </w:rPr>
            </w:pPr>
          </w:p>
        </w:tc>
        <w:tc>
          <w:tcPr>
            <w:tcW w:w="3202" w:type="dxa"/>
            <w:gridSpan w:val="5"/>
            <w:tcBorders>
              <w:top w:val="single" w:color="232323" w:sz="4" w:space="0"/>
              <w:left w:val="single" w:color="232323" w:sz="4" w:space="0"/>
              <w:bottom w:val="single" w:color="232323" w:sz="4" w:space="0"/>
              <w:right w:val="single" w:color="232323" w:sz="4" w:space="0"/>
            </w:tcBorders>
            <w:shd w:val="cle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重点工作八</w:t>
            </w:r>
          </w:p>
        </w:tc>
        <w:tc>
          <w:tcPr>
            <w:tcW w:w="1657" w:type="dxa"/>
            <w:gridSpan w:val="4"/>
            <w:tcBorders>
              <w:top w:val="single" w:color="232323" w:sz="4" w:space="0"/>
              <w:left w:val="single" w:color="232323" w:sz="4" w:space="0"/>
              <w:bottom w:val="single" w:color="232323" w:sz="4" w:space="0"/>
              <w:right w:val="single" w:color="232323" w:sz="4" w:space="0"/>
            </w:tcBorders>
            <w:shd w:val="cle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乡村水系治理</w:t>
            </w:r>
          </w:p>
        </w:tc>
        <w:tc>
          <w:tcPr>
            <w:tcW w:w="796" w:type="dxa"/>
            <w:gridSpan w:val="2"/>
            <w:tcBorders>
              <w:top w:val="single" w:color="232323" w:sz="4" w:space="0"/>
              <w:left w:val="single" w:color="232323" w:sz="4" w:space="0"/>
              <w:bottom w:val="single" w:color="232323" w:sz="4" w:space="0"/>
              <w:right w:val="single" w:color="232323" w:sz="4" w:space="0"/>
            </w:tcBorders>
            <w:shd w:val="clear"/>
            <w:vAlign w:val="bottom"/>
          </w:tcPr>
          <w:p>
            <w:pPr>
              <w:keepNext w:val="0"/>
              <w:keepLines w:val="0"/>
              <w:widowControl/>
              <w:suppressLineNumbers w:val="0"/>
              <w:jc w:val="center"/>
              <w:textAlignment w:val="bottom"/>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400</w:t>
            </w:r>
          </w:p>
        </w:tc>
        <w:tc>
          <w:tcPr>
            <w:tcW w:w="988" w:type="dxa"/>
            <w:gridSpan w:val="2"/>
            <w:tcBorders>
              <w:top w:val="single" w:color="232323" w:sz="4" w:space="0"/>
              <w:left w:val="single" w:color="232323" w:sz="4" w:space="0"/>
              <w:bottom w:val="single" w:color="232323" w:sz="4" w:space="0"/>
              <w:right w:val="single" w:color="232323" w:sz="4" w:space="0"/>
            </w:tcBorders>
            <w:shd w:val="clear"/>
            <w:vAlign w:val="bottom"/>
          </w:tcPr>
          <w:p>
            <w:pPr>
              <w:keepNext w:val="0"/>
              <w:keepLines w:val="0"/>
              <w:widowControl/>
              <w:suppressLineNumbers w:val="0"/>
              <w:jc w:val="center"/>
              <w:textAlignment w:val="bottom"/>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200</w:t>
            </w:r>
          </w:p>
        </w:tc>
        <w:tc>
          <w:tcPr>
            <w:tcW w:w="1197" w:type="dxa"/>
            <w:gridSpan w:val="2"/>
            <w:tcBorders>
              <w:top w:val="single" w:color="232323" w:sz="4" w:space="0"/>
              <w:left w:val="single" w:color="232323" w:sz="4" w:space="0"/>
              <w:bottom w:val="single" w:color="232323" w:sz="4" w:space="0"/>
              <w:right w:val="single" w:color="232323" w:sz="4" w:space="0"/>
            </w:tcBorders>
            <w:shd w:val="clear"/>
            <w:vAlign w:val="bottom"/>
          </w:tcPr>
          <w:p>
            <w:pPr>
              <w:keepNext w:val="0"/>
              <w:keepLines w:val="0"/>
              <w:widowControl/>
              <w:suppressLineNumbers w:val="0"/>
              <w:jc w:val="center"/>
              <w:textAlignment w:val="bottom"/>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50%</w:t>
            </w:r>
          </w:p>
        </w:tc>
        <w:tc>
          <w:tcPr>
            <w:tcW w:w="372" w:type="dxa"/>
            <w:tcBorders>
              <w:top w:val="single" w:color="232323" w:sz="4" w:space="0"/>
              <w:left w:val="single" w:color="232323" w:sz="4" w:space="0"/>
              <w:bottom w:val="single" w:color="232323" w:sz="4" w:space="0"/>
              <w:right w:val="single" w:color="232323" w:sz="4" w:space="0"/>
            </w:tcBorders>
            <w:shd w:val="clear"/>
            <w:vAlign w:val="bottom"/>
          </w:tcPr>
          <w:p>
            <w:pPr>
              <w:jc w:val="left"/>
              <w:rPr>
                <w:rFonts w:hint="default" w:ascii="Times New Roman" w:hAnsi="Times New Roman" w:cs="Times New Roman"/>
                <w:i w:val="0"/>
                <w:color w:val="000000"/>
                <w:sz w:val="20"/>
                <w:szCs w:val="20"/>
                <w:u w:val="none"/>
              </w:rPr>
            </w:pPr>
          </w:p>
        </w:tc>
        <w:tc>
          <w:tcPr>
            <w:tcW w:w="361" w:type="dxa"/>
            <w:tcBorders>
              <w:top w:val="single" w:color="232323" w:sz="4" w:space="0"/>
              <w:left w:val="single" w:color="232323" w:sz="4" w:space="0"/>
              <w:bottom w:val="single" w:color="232323" w:sz="4" w:space="0"/>
              <w:right w:val="single" w:color="232323" w:sz="4" w:space="0"/>
            </w:tcBorders>
            <w:shd w:val="clear"/>
            <w:vAlign w:val="bottom"/>
          </w:tcPr>
          <w:p>
            <w:pPr>
              <w:jc w:val="left"/>
              <w:rPr>
                <w:rFonts w:hint="default" w:ascii="Times New Roman" w:hAnsi="Times New Roman" w:cs="Times New Roman"/>
                <w:i w:val="0"/>
                <w:color w:val="000000"/>
                <w:sz w:val="20"/>
                <w:szCs w:val="20"/>
                <w:u w:val="none"/>
              </w:rPr>
            </w:pPr>
          </w:p>
        </w:tc>
        <w:tc>
          <w:tcPr>
            <w:tcW w:w="558" w:type="dxa"/>
            <w:tcBorders>
              <w:top w:val="single" w:color="232323" w:sz="4" w:space="0"/>
              <w:left w:val="single" w:color="232323" w:sz="4" w:space="0"/>
              <w:bottom w:val="single" w:color="232323" w:sz="4" w:space="0"/>
              <w:right w:val="single" w:color="232323" w:sz="4" w:space="0"/>
            </w:tcBorders>
            <w:shd w:val="cle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409" w:type="dxa"/>
            <w:vMerge w:val="continue"/>
            <w:tcBorders>
              <w:top w:val="single" w:color="232323" w:sz="4" w:space="0"/>
              <w:left w:val="single" w:color="232323" w:sz="4" w:space="0"/>
              <w:bottom w:val="single" w:color="232323" w:sz="4" w:space="0"/>
              <w:right w:val="single" w:color="232323" w:sz="4" w:space="0"/>
            </w:tcBorders>
            <w:shd w:val="clear"/>
            <w:vAlign w:val="center"/>
          </w:tcPr>
          <w:p>
            <w:pPr>
              <w:jc w:val="left"/>
              <w:rPr>
                <w:rFonts w:hint="eastAsia" w:ascii="宋体" w:hAnsi="宋体" w:eastAsia="宋体" w:cs="宋体"/>
                <w:i w:val="0"/>
                <w:color w:val="000000"/>
                <w:sz w:val="18"/>
                <w:szCs w:val="18"/>
                <w:u w:val="none"/>
              </w:rPr>
            </w:pPr>
          </w:p>
        </w:tc>
        <w:tc>
          <w:tcPr>
            <w:tcW w:w="3202" w:type="dxa"/>
            <w:gridSpan w:val="5"/>
            <w:tcBorders>
              <w:top w:val="single" w:color="232323" w:sz="4" w:space="0"/>
              <w:left w:val="single" w:color="232323" w:sz="4" w:space="0"/>
              <w:bottom w:val="single" w:color="232323" w:sz="4" w:space="0"/>
              <w:right w:val="single" w:color="232323" w:sz="4" w:space="0"/>
            </w:tcBorders>
            <w:shd w:val="cle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重点工作九</w:t>
            </w:r>
          </w:p>
        </w:tc>
        <w:tc>
          <w:tcPr>
            <w:tcW w:w="1657" w:type="dxa"/>
            <w:gridSpan w:val="4"/>
            <w:tcBorders>
              <w:top w:val="single" w:color="232323" w:sz="4" w:space="0"/>
              <w:left w:val="single" w:color="232323" w:sz="4" w:space="0"/>
              <w:bottom w:val="single" w:color="232323" w:sz="4" w:space="0"/>
              <w:right w:val="single" w:color="232323" w:sz="4" w:space="0"/>
            </w:tcBorders>
            <w:shd w:val="cle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河堤维修费</w:t>
            </w:r>
          </w:p>
        </w:tc>
        <w:tc>
          <w:tcPr>
            <w:tcW w:w="796" w:type="dxa"/>
            <w:gridSpan w:val="2"/>
            <w:tcBorders>
              <w:top w:val="single" w:color="232323" w:sz="4" w:space="0"/>
              <w:left w:val="single" w:color="232323" w:sz="4" w:space="0"/>
              <w:bottom w:val="single" w:color="232323" w:sz="4" w:space="0"/>
              <w:right w:val="single" w:color="232323" w:sz="4" w:space="0"/>
            </w:tcBorders>
            <w:shd w:val="clear"/>
            <w:vAlign w:val="bottom"/>
          </w:tcPr>
          <w:p>
            <w:pPr>
              <w:keepNext w:val="0"/>
              <w:keepLines w:val="0"/>
              <w:widowControl/>
              <w:suppressLineNumbers w:val="0"/>
              <w:jc w:val="center"/>
              <w:textAlignment w:val="bottom"/>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5</w:t>
            </w:r>
          </w:p>
        </w:tc>
        <w:tc>
          <w:tcPr>
            <w:tcW w:w="988" w:type="dxa"/>
            <w:gridSpan w:val="2"/>
            <w:tcBorders>
              <w:top w:val="single" w:color="232323" w:sz="4" w:space="0"/>
              <w:left w:val="single" w:color="232323" w:sz="4" w:space="0"/>
              <w:bottom w:val="single" w:color="232323" w:sz="4" w:space="0"/>
              <w:right w:val="single" w:color="232323" w:sz="4" w:space="0"/>
            </w:tcBorders>
            <w:shd w:val="clear"/>
            <w:vAlign w:val="bottom"/>
          </w:tcPr>
          <w:p>
            <w:pPr>
              <w:keepNext w:val="0"/>
              <w:keepLines w:val="0"/>
              <w:widowControl/>
              <w:suppressLineNumbers w:val="0"/>
              <w:jc w:val="center"/>
              <w:textAlignment w:val="bottom"/>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1.83</w:t>
            </w:r>
          </w:p>
        </w:tc>
        <w:tc>
          <w:tcPr>
            <w:tcW w:w="1197" w:type="dxa"/>
            <w:gridSpan w:val="2"/>
            <w:tcBorders>
              <w:top w:val="single" w:color="232323" w:sz="4" w:space="0"/>
              <w:left w:val="single" w:color="232323" w:sz="4" w:space="0"/>
              <w:bottom w:val="single" w:color="232323" w:sz="4" w:space="0"/>
              <w:right w:val="single" w:color="232323" w:sz="4" w:space="0"/>
            </w:tcBorders>
            <w:shd w:val="clear"/>
            <w:vAlign w:val="bottom"/>
          </w:tcPr>
          <w:p>
            <w:pPr>
              <w:keepNext w:val="0"/>
              <w:keepLines w:val="0"/>
              <w:widowControl/>
              <w:suppressLineNumbers w:val="0"/>
              <w:jc w:val="center"/>
              <w:textAlignment w:val="bottom"/>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36.60%</w:t>
            </w:r>
          </w:p>
        </w:tc>
        <w:tc>
          <w:tcPr>
            <w:tcW w:w="372" w:type="dxa"/>
            <w:tcBorders>
              <w:top w:val="single" w:color="232323" w:sz="4" w:space="0"/>
              <w:left w:val="single" w:color="232323" w:sz="4" w:space="0"/>
              <w:bottom w:val="single" w:color="232323" w:sz="4" w:space="0"/>
              <w:right w:val="single" w:color="232323" w:sz="4" w:space="0"/>
            </w:tcBorders>
            <w:shd w:val="clear"/>
            <w:vAlign w:val="bottom"/>
          </w:tcPr>
          <w:p>
            <w:pPr>
              <w:jc w:val="left"/>
              <w:rPr>
                <w:rFonts w:hint="default" w:ascii="Times New Roman" w:hAnsi="Times New Roman" w:cs="Times New Roman"/>
                <w:i w:val="0"/>
                <w:color w:val="000000"/>
                <w:sz w:val="20"/>
                <w:szCs w:val="20"/>
                <w:u w:val="none"/>
              </w:rPr>
            </w:pPr>
          </w:p>
        </w:tc>
        <w:tc>
          <w:tcPr>
            <w:tcW w:w="361" w:type="dxa"/>
            <w:tcBorders>
              <w:top w:val="single" w:color="232323" w:sz="4" w:space="0"/>
              <w:left w:val="single" w:color="232323" w:sz="4" w:space="0"/>
              <w:bottom w:val="single" w:color="232323" w:sz="4" w:space="0"/>
              <w:right w:val="single" w:color="232323" w:sz="4" w:space="0"/>
            </w:tcBorders>
            <w:shd w:val="clear"/>
            <w:vAlign w:val="bottom"/>
          </w:tcPr>
          <w:p>
            <w:pPr>
              <w:jc w:val="left"/>
              <w:rPr>
                <w:rFonts w:hint="default" w:ascii="Times New Roman" w:hAnsi="Times New Roman" w:cs="Times New Roman"/>
                <w:i w:val="0"/>
                <w:color w:val="000000"/>
                <w:sz w:val="20"/>
                <w:szCs w:val="20"/>
                <w:u w:val="none"/>
              </w:rPr>
            </w:pPr>
          </w:p>
        </w:tc>
        <w:tc>
          <w:tcPr>
            <w:tcW w:w="558" w:type="dxa"/>
            <w:tcBorders>
              <w:top w:val="single" w:color="232323" w:sz="4" w:space="0"/>
              <w:left w:val="single" w:color="232323" w:sz="4" w:space="0"/>
              <w:bottom w:val="single" w:color="232323" w:sz="4" w:space="0"/>
              <w:right w:val="single" w:color="232323" w:sz="4" w:space="0"/>
            </w:tcBorders>
            <w:shd w:val="cle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409" w:type="dxa"/>
            <w:vMerge w:val="restart"/>
            <w:tcBorders>
              <w:left w:val="single" w:color="232323" w:sz="4" w:space="0"/>
              <w:bottom w:val="single" w:color="232323" w:sz="4" w:space="0"/>
              <w:right w:val="single" w:color="232323"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年度目标</w:t>
            </w:r>
          </w:p>
        </w:tc>
        <w:tc>
          <w:tcPr>
            <w:tcW w:w="5139" w:type="dxa"/>
            <w:gridSpan w:val="10"/>
            <w:tcBorders>
              <w:left w:val="single" w:color="232323" w:sz="4" w:space="0"/>
              <w:bottom w:val="single" w:color="232323" w:sz="4" w:space="0"/>
              <w:right w:val="single" w:color="232323"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年初总体目标</w:t>
            </w:r>
          </w:p>
        </w:tc>
        <w:tc>
          <w:tcPr>
            <w:tcW w:w="3992" w:type="dxa"/>
            <w:gridSpan w:val="8"/>
            <w:tcBorders>
              <w:left w:val="single" w:color="232323" w:sz="4" w:space="0"/>
              <w:bottom w:val="single" w:color="232323" w:sz="4" w:space="0"/>
              <w:right w:val="single" w:color="232323"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全年完成情况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0" w:hRule="atLeast"/>
        </w:trPr>
        <w:tc>
          <w:tcPr>
            <w:tcW w:w="409" w:type="dxa"/>
            <w:vMerge w:val="continue"/>
            <w:tcBorders>
              <w:left w:val="single" w:color="232323" w:sz="4" w:space="0"/>
              <w:bottom w:val="single" w:color="232323" w:sz="4" w:space="0"/>
              <w:right w:val="single" w:color="232323" w:sz="4" w:space="0"/>
            </w:tcBorders>
            <w:shd w:val="clear"/>
            <w:vAlign w:val="center"/>
          </w:tcPr>
          <w:p>
            <w:pPr>
              <w:jc w:val="left"/>
              <w:rPr>
                <w:rFonts w:hint="eastAsia" w:ascii="宋体" w:hAnsi="宋体" w:eastAsia="宋体" w:cs="宋体"/>
                <w:i w:val="0"/>
                <w:color w:val="000000"/>
                <w:sz w:val="18"/>
                <w:szCs w:val="18"/>
                <w:u w:val="none"/>
              </w:rPr>
            </w:pPr>
          </w:p>
        </w:tc>
        <w:tc>
          <w:tcPr>
            <w:tcW w:w="5139" w:type="dxa"/>
            <w:gridSpan w:val="10"/>
            <w:tcBorders>
              <w:top w:val="single" w:color="232323" w:sz="4" w:space="0"/>
              <w:left w:val="single" w:color="232323" w:sz="4" w:space="0"/>
              <w:bottom w:val="single" w:color="232323" w:sz="4" w:space="0"/>
              <w:right w:val="single" w:color="232323"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为全区河长制、水资源、水利工程、移民扶持、水土保持、农村饮水、水利工程建设质量与安全监督等提供技术支持和服务保障。</w:t>
            </w:r>
          </w:p>
        </w:tc>
        <w:tc>
          <w:tcPr>
            <w:tcW w:w="3992" w:type="dxa"/>
            <w:gridSpan w:val="8"/>
            <w:tcBorders>
              <w:top w:val="single" w:color="232323" w:sz="4" w:space="0"/>
              <w:left w:val="single" w:color="232323" w:sz="4" w:space="0"/>
              <w:bottom w:val="single" w:color="232323" w:sz="4" w:space="0"/>
              <w:right w:val="single" w:color="232323"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良好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450" w:hRule="atLeast"/>
        </w:trPr>
        <w:tc>
          <w:tcPr>
            <w:tcW w:w="409" w:type="dxa"/>
            <w:vMerge w:val="restart"/>
            <w:tcBorders>
              <w:top w:val="single" w:color="232323"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绩效指标</w:t>
            </w:r>
          </w:p>
        </w:tc>
        <w:tc>
          <w:tcPr>
            <w:tcW w:w="210" w:type="dxa"/>
            <w:vMerge w:val="restart"/>
            <w:tcBorders>
              <w:top w:val="single" w:color="232323" w:sz="4" w:space="0"/>
              <w:bottom w:val="single" w:color="232323" w:sz="4" w:space="0"/>
              <w:right w:val="single" w:color="232323"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一级指标</w:t>
            </w:r>
          </w:p>
        </w:tc>
        <w:tc>
          <w:tcPr>
            <w:tcW w:w="387" w:type="dxa"/>
            <w:vMerge w:val="restart"/>
            <w:tcBorders>
              <w:top w:val="single" w:color="232323" w:sz="4" w:space="0"/>
              <w:left w:val="single" w:color="232323" w:sz="4" w:space="0"/>
              <w:bottom w:val="single" w:color="232323" w:sz="4" w:space="0"/>
              <w:right w:val="single" w:color="232323"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二级指标</w:t>
            </w:r>
          </w:p>
        </w:tc>
        <w:tc>
          <w:tcPr>
            <w:tcW w:w="756" w:type="dxa"/>
            <w:vMerge w:val="restart"/>
            <w:tcBorders>
              <w:top w:val="single" w:color="232323" w:sz="4" w:space="0"/>
              <w:left w:val="single" w:color="232323" w:sz="4" w:space="0"/>
              <w:bottom w:val="single" w:color="232323" w:sz="4" w:space="0"/>
              <w:right w:val="single" w:color="232323"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三级指标</w:t>
            </w:r>
          </w:p>
        </w:tc>
        <w:tc>
          <w:tcPr>
            <w:tcW w:w="1477" w:type="dxa"/>
            <w:vMerge w:val="restart"/>
            <w:tcBorders>
              <w:top w:val="single" w:color="232323" w:sz="4" w:space="0"/>
              <w:left w:val="single" w:color="232323" w:sz="4" w:space="0"/>
              <w:right w:val="single" w:color="232323"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运算符号</w:t>
            </w:r>
          </w:p>
        </w:tc>
        <w:tc>
          <w:tcPr>
            <w:tcW w:w="372" w:type="dxa"/>
            <w:vMerge w:val="restart"/>
            <w:tcBorders>
              <w:top w:val="single" w:color="232323" w:sz="4" w:space="0"/>
              <w:left w:val="single" w:color="232323" w:sz="4" w:space="0"/>
              <w:bottom w:val="single" w:color="232323" w:sz="4" w:space="0"/>
              <w:right w:val="single" w:color="232323"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指标值</w:t>
            </w:r>
          </w:p>
        </w:tc>
        <w:tc>
          <w:tcPr>
            <w:tcW w:w="329" w:type="dxa"/>
            <w:vMerge w:val="restart"/>
            <w:tcBorders>
              <w:top w:val="single" w:color="232323" w:sz="4" w:space="0"/>
              <w:left w:val="single" w:color="232323" w:sz="4" w:space="0"/>
              <w:bottom w:val="single" w:color="232323" w:sz="4" w:space="0"/>
              <w:right w:val="single" w:color="232323"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度量单位</w:t>
            </w:r>
          </w:p>
        </w:tc>
        <w:tc>
          <w:tcPr>
            <w:tcW w:w="448" w:type="dxa"/>
            <w:vMerge w:val="restart"/>
            <w:tcBorders>
              <w:top w:val="single" w:color="232323" w:sz="4" w:space="0"/>
              <w:left w:val="single" w:color="232323" w:sz="4" w:space="0"/>
              <w:bottom w:val="single" w:color="232323" w:sz="4" w:space="0"/>
              <w:right w:val="single" w:color="232323"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全年完成值</w:t>
            </w:r>
          </w:p>
        </w:tc>
        <w:tc>
          <w:tcPr>
            <w:tcW w:w="448" w:type="dxa"/>
            <w:vMerge w:val="restart"/>
            <w:tcBorders>
              <w:top w:val="single" w:color="232323" w:sz="4" w:space="0"/>
              <w:left w:val="single" w:color="232323" w:sz="4" w:space="0"/>
              <w:bottom w:val="single" w:color="232323" w:sz="4" w:space="0"/>
              <w:right w:val="single" w:color="232323"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完成程度</w:t>
            </w:r>
          </w:p>
        </w:tc>
        <w:tc>
          <w:tcPr>
            <w:tcW w:w="432" w:type="dxa"/>
            <w:vMerge w:val="restart"/>
            <w:tcBorders>
              <w:top w:val="single" w:color="232323" w:sz="4" w:space="0"/>
              <w:left w:val="single" w:color="232323" w:sz="4" w:space="0"/>
              <w:bottom w:val="single" w:color="232323" w:sz="4" w:space="0"/>
              <w:right w:val="single" w:color="232323"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分值</w:t>
            </w:r>
          </w:p>
        </w:tc>
        <w:tc>
          <w:tcPr>
            <w:tcW w:w="280" w:type="dxa"/>
            <w:vMerge w:val="restart"/>
            <w:tcBorders>
              <w:top w:val="single" w:color="232323" w:sz="4" w:space="0"/>
              <w:left w:val="single" w:color="232323" w:sz="4" w:space="0"/>
              <w:bottom w:val="single" w:color="232323" w:sz="4" w:space="0"/>
              <w:right w:val="single" w:color="232323"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得分</w:t>
            </w:r>
          </w:p>
        </w:tc>
        <w:tc>
          <w:tcPr>
            <w:tcW w:w="2701" w:type="dxa"/>
            <w:gridSpan w:val="5"/>
            <w:tcBorders>
              <w:top w:val="single" w:color="232323" w:sz="4" w:space="0"/>
              <w:left w:val="single" w:color="232323" w:sz="4" w:space="0"/>
              <w:bottom w:val="single" w:color="232323" w:sz="4" w:space="0"/>
              <w:right w:val="single" w:color="232323"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偏差原因分析</w:t>
            </w:r>
          </w:p>
        </w:tc>
        <w:tc>
          <w:tcPr>
            <w:tcW w:w="1291" w:type="dxa"/>
            <w:gridSpan w:val="3"/>
            <w:vMerge w:val="restart"/>
            <w:tcBorders>
              <w:top w:val="single" w:color="232323" w:sz="4" w:space="0"/>
              <w:left w:val="single" w:color="232323" w:sz="4" w:space="0"/>
              <w:bottom w:val="single" w:color="232323" w:sz="4" w:space="0"/>
              <w:right w:val="single" w:color="232323"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91" w:hRule="atLeast"/>
        </w:trPr>
        <w:tc>
          <w:tcPr>
            <w:tcW w:w="409" w:type="dxa"/>
            <w:vMerge w:val="continue"/>
            <w:tcBorders>
              <w:top w:val="single" w:color="232323"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0"/>
                <w:szCs w:val="20"/>
                <w:u w:val="none"/>
              </w:rPr>
            </w:pPr>
          </w:p>
        </w:tc>
        <w:tc>
          <w:tcPr>
            <w:tcW w:w="210" w:type="dxa"/>
            <w:vMerge w:val="continue"/>
            <w:tcBorders>
              <w:top w:val="single" w:color="232323" w:sz="4" w:space="0"/>
              <w:bottom w:val="single" w:color="232323" w:sz="4" w:space="0"/>
              <w:right w:val="single" w:color="232323" w:sz="4" w:space="0"/>
            </w:tcBorders>
            <w:shd w:val="clear"/>
            <w:vAlign w:val="center"/>
          </w:tcPr>
          <w:p>
            <w:pPr>
              <w:jc w:val="left"/>
              <w:rPr>
                <w:rFonts w:hint="eastAsia" w:ascii="宋体" w:hAnsi="宋体" w:eastAsia="宋体" w:cs="宋体"/>
                <w:i w:val="0"/>
                <w:color w:val="000000"/>
                <w:sz w:val="18"/>
                <w:szCs w:val="18"/>
                <w:u w:val="none"/>
              </w:rPr>
            </w:pPr>
          </w:p>
        </w:tc>
        <w:tc>
          <w:tcPr>
            <w:tcW w:w="387" w:type="dxa"/>
            <w:vMerge w:val="continue"/>
            <w:tcBorders>
              <w:top w:val="single" w:color="232323" w:sz="4" w:space="0"/>
              <w:left w:val="single" w:color="232323" w:sz="4" w:space="0"/>
              <w:bottom w:val="single" w:color="232323" w:sz="4" w:space="0"/>
              <w:right w:val="single" w:color="232323" w:sz="4" w:space="0"/>
            </w:tcBorders>
            <w:shd w:val="clear"/>
            <w:vAlign w:val="center"/>
          </w:tcPr>
          <w:p>
            <w:pPr>
              <w:jc w:val="left"/>
              <w:rPr>
                <w:rFonts w:hint="eastAsia" w:ascii="宋体" w:hAnsi="宋体" w:eastAsia="宋体" w:cs="宋体"/>
                <w:i w:val="0"/>
                <w:color w:val="000000"/>
                <w:sz w:val="18"/>
                <w:szCs w:val="18"/>
                <w:u w:val="none"/>
              </w:rPr>
            </w:pPr>
          </w:p>
        </w:tc>
        <w:tc>
          <w:tcPr>
            <w:tcW w:w="756" w:type="dxa"/>
            <w:vMerge w:val="continue"/>
            <w:tcBorders>
              <w:top w:val="single" w:color="232323" w:sz="4" w:space="0"/>
              <w:left w:val="single" w:color="232323" w:sz="4" w:space="0"/>
              <w:bottom w:val="single" w:color="232323" w:sz="4" w:space="0"/>
              <w:right w:val="single" w:color="232323" w:sz="4" w:space="0"/>
            </w:tcBorders>
            <w:shd w:val="clear"/>
            <w:vAlign w:val="center"/>
          </w:tcPr>
          <w:p>
            <w:pPr>
              <w:jc w:val="left"/>
              <w:rPr>
                <w:rFonts w:hint="eastAsia" w:ascii="宋体" w:hAnsi="宋体" w:eastAsia="宋体" w:cs="宋体"/>
                <w:i w:val="0"/>
                <w:color w:val="000000"/>
                <w:sz w:val="18"/>
                <w:szCs w:val="18"/>
                <w:u w:val="none"/>
              </w:rPr>
            </w:pPr>
          </w:p>
        </w:tc>
        <w:tc>
          <w:tcPr>
            <w:tcW w:w="1477" w:type="dxa"/>
            <w:vMerge w:val="continue"/>
            <w:tcBorders>
              <w:top w:val="single" w:color="232323" w:sz="4" w:space="0"/>
              <w:left w:val="single" w:color="232323" w:sz="4" w:space="0"/>
              <w:right w:val="single" w:color="232323" w:sz="4" w:space="0"/>
            </w:tcBorders>
            <w:shd w:val="clear"/>
            <w:vAlign w:val="center"/>
          </w:tcPr>
          <w:p>
            <w:pPr>
              <w:jc w:val="left"/>
              <w:rPr>
                <w:rFonts w:hint="eastAsia" w:ascii="宋体" w:hAnsi="宋体" w:eastAsia="宋体" w:cs="宋体"/>
                <w:i w:val="0"/>
                <w:color w:val="000000"/>
                <w:sz w:val="18"/>
                <w:szCs w:val="18"/>
                <w:u w:val="none"/>
              </w:rPr>
            </w:pPr>
          </w:p>
        </w:tc>
        <w:tc>
          <w:tcPr>
            <w:tcW w:w="372" w:type="dxa"/>
            <w:vMerge w:val="continue"/>
            <w:tcBorders>
              <w:top w:val="single" w:color="232323" w:sz="4" w:space="0"/>
              <w:left w:val="single" w:color="232323" w:sz="4" w:space="0"/>
              <w:bottom w:val="single" w:color="232323" w:sz="4" w:space="0"/>
              <w:right w:val="single" w:color="232323" w:sz="4" w:space="0"/>
            </w:tcBorders>
            <w:shd w:val="clear"/>
            <w:vAlign w:val="center"/>
          </w:tcPr>
          <w:p>
            <w:pPr>
              <w:jc w:val="left"/>
              <w:rPr>
                <w:rFonts w:hint="eastAsia" w:ascii="宋体" w:hAnsi="宋体" w:eastAsia="宋体" w:cs="宋体"/>
                <w:i w:val="0"/>
                <w:color w:val="000000"/>
                <w:sz w:val="18"/>
                <w:szCs w:val="18"/>
                <w:u w:val="none"/>
              </w:rPr>
            </w:pPr>
          </w:p>
        </w:tc>
        <w:tc>
          <w:tcPr>
            <w:tcW w:w="329" w:type="dxa"/>
            <w:vMerge w:val="continue"/>
            <w:tcBorders>
              <w:top w:val="single" w:color="232323" w:sz="4" w:space="0"/>
              <w:left w:val="single" w:color="232323" w:sz="4" w:space="0"/>
              <w:bottom w:val="single" w:color="232323" w:sz="4" w:space="0"/>
              <w:right w:val="single" w:color="232323" w:sz="4" w:space="0"/>
            </w:tcBorders>
            <w:shd w:val="clear"/>
            <w:vAlign w:val="center"/>
          </w:tcPr>
          <w:p>
            <w:pPr>
              <w:jc w:val="left"/>
              <w:rPr>
                <w:rFonts w:hint="eastAsia" w:ascii="宋体" w:hAnsi="宋体" w:eastAsia="宋体" w:cs="宋体"/>
                <w:i w:val="0"/>
                <w:color w:val="000000"/>
                <w:sz w:val="18"/>
                <w:szCs w:val="18"/>
                <w:u w:val="none"/>
              </w:rPr>
            </w:pPr>
          </w:p>
        </w:tc>
        <w:tc>
          <w:tcPr>
            <w:tcW w:w="448" w:type="dxa"/>
            <w:vMerge w:val="continue"/>
            <w:tcBorders>
              <w:top w:val="single" w:color="232323" w:sz="4" w:space="0"/>
              <w:left w:val="single" w:color="232323" w:sz="4" w:space="0"/>
              <w:bottom w:val="single" w:color="232323" w:sz="4" w:space="0"/>
              <w:right w:val="single" w:color="232323" w:sz="4" w:space="0"/>
            </w:tcBorders>
            <w:shd w:val="clear"/>
            <w:vAlign w:val="center"/>
          </w:tcPr>
          <w:p>
            <w:pPr>
              <w:jc w:val="left"/>
              <w:rPr>
                <w:rFonts w:hint="eastAsia" w:ascii="宋体" w:hAnsi="宋体" w:eastAsia="宋体" w:cs="宋体"/>
                <w:i w:val="0"/>
                <w:color w:val="000000"/>
                <w:sz w:val="18"/>
                <w:szCs w:val="18"/>
                <w:u w:val="none"/>
              </w:rPr>
            </w:pPr>
          </w:p>
        </w:tc>
        <w:tc>
          <w:tcPr>
            <w:tcW w:w="448" w:type="dxa"/>
            <w:vMerge w:val="continue"/>
            <w:tcBorders>
              <w:top w:val="single" w:color="232323" w:sz="4" w:space="0"/>
              <w:left w:val="single" w:color="232323" w:sz="4" w:space="0"/>
              <w:bottom w:val="single" w:color="232323" w:sz="4" w:space="0"/>
              <w:right w:val="single" w:color="232323" w:sz="4" w:space="0"/>
            </w:tcBorders>
            <w:shd w:val="clear"/>
            <w:vAlign w:val="center"/>
          </w:tcPr>
          <w:p>
            <w:pPr>
              <w:jc w:val="left"/>
              <w:rPr>
                <w:rFonts w:hint="eastAsia" w:ascii="宋体" w:hAnsi="宋体" w:eastAsia="宋体" w:cs="宋体"/>
                <w:i w:val="0"/>
                <w:color w:val="000000"/>
                <w:sz w:val="18"/>
                <w:szCs w:val="18"/>
                <w:u w:val="none"/>
              </w:rPr>
            </w:pPr>
          </w:p>
        </w:tc>
        <w:tc>
          <w:tcPr>
            <w:tcW w:w="432" w:type="dxa"/>
            <w:vMerge w:val="continue"/>
            <w:tcBorders>
              <w:top w:val="single" w:color="232323" w:sz="4" w:space="0"/>
              <w:left w:val="single" w:color="232323" w:sz="4" w:space="0"/>
              <w:bottom w:val="single" w:color="232323" w:sz="4" w:space="0"/>
              <w:right w:val="single" w:color="232323" w:sz="4" w:space="0"/>
            </w:tcBorders>
            <w:shd w:val="clear"/>
            <w:vAlign w:val="center"/>
          </w:tcPr>
          <w:p>
            <w:pPr>
              <w:jc w:val="left"/>
              <w:rPr>
                <w:rFonts w:hint="eastAsia" w:ascii="宋体" w:hAnsi="宋体" w:eastAsia="宋体" w:cs="宋体"/>
                <w:i w:val="0"/>
                <w:color w:val="000000"/>
                <w:sz w:val="18"/>
                <w:szCs w:val="18"/>
                <w:u w:val="none"/>
              </w:rPr>
            </w:pPr>
          </w:p>
        </w:tc>
        <w:tc>
          <w:tcPr>
            <w:tcW w:w="280" w:type="dxa"/>
            <w:vMerge w:val="continue"/>
            <w:tcBorders>
              <w:top w:val="single" w:color="232323" w:sz="4" w:space="0"/>
              <w:left w:val="single" w:color="232323" w:sz="4" w:space="0"/>
              <w:bottom w:val="single" w:color="232323" w:sz="4" w:space="0"/>
              <w:right w:val="single" w:color="232323" w:sz="4" w:space="0"/>
            </w:tcBorders>
            <w:shd w:val="clear"/>
            <w:vAlign w:val="center"/>
          </w:tcPr>
          <w:p>
            <w:pPr>
              <w:jc w:val="left"/>
              <w:rPr>
                <w:rFonts w:hint="eastAsia" w:ascii="宋体" w:hAnsi="宋体" w:eastAsia="宋体" w:cs="宋体"/>
                <w:i w:val="0"/>
                <w:color w:val="000000"/>
                <w:sz w:val="18"/>
                <w:szCs w:val="18"/>
                <w:u w:val="none"/>
              </w:rPr>
            </w:pPr>
          </w:p>
        </w:tc>
        <w:tc>
          <w:tcPr>
            <w:tcW w:w="516" w:type="dxa"/>
            <w:tcBorders>
              <w:top w:val="single" w:color="232323" w:sz="4" w:space="0"/>
              <w:left w:val="single" w:color="232323" w:sz="4" w:space="0"/>
              <w:bottom w:val="single" w:color="232323" w:sz="4" w:space="0"/>
              <w:right w:val="single" w:color="232323"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经费保障原因分析</w:t>
            </w:r>
          </w:p>
        </w:tc>
        <w:tc>
          <w:tcPr>
            <w:tcW w:w="480" w:type="dxa"/>
            <w:tcBorders>
              <w:top w:val="single" w:color="232323" w:sz="4" w:space="0"/>
              <w:left w:val="single" w:color="232323" w:sz="4" w:space="0"/>
              <w:bottom w:val="single" w:color="232323" w:sz="4" w:space="0"/>
              <w:right w:val="single" w:color="232323"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制度保障原因分析</w:t>
            </w:r>
          </w:p>
        </w:tc>
        <w:tc>
          <w:tcPr>
            <w:tcW w:w="508" w:type="dxa"/>
            <w:tcBorders>
              <w:top w:val="single" w:color="232323" w:sz="4" w:space="0"/>
              <w:left w:val="single" w:color="232323" w:sz="4" w:space="0"/>
              <w:bottom w:val="single" w:color="232323" w:sz="4" w:space="0"/>
              <w:right w:val="single" w:color="232323"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人员保障原因分析</w:t>
            </w:r>
          </w:p>
        </w:tc>
        <w:tc>
          <w:tcPr>
            <w:tcW w:w="524" w:type="dxa"/>
            <w:tcBorders>
              <w:top w:val="single" w:color="232323" w:sz="4" w:space="0"/>
              <w:left w:val="single" w:color="232323" w:sz="4" w:space="0"/>
              <w:bottom w:val="single" w:color="232323" w:sz="4" w:space="0"/>
              <w:right w:val="single" w:color="232323"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硬件条件保障原因分析</w:t>
            </w:r>
          </w:p>
        </w:tc>
        <w:tc>
          <w:tcPr>
            <w:tcW w:w="673" w:type="dxa"/>
            <w:tcBorders>
              <w:top w:val="single" w:color="232323" w:sz="4" w:space="0"/>
              <w:left w:val="single" w:color="232323" w:sz="4" w:space="0"/>
              <w:bottom w:val="single" w:color="232323" w:sz="4" w:space="0"/>
              <w:right w:val="single" w:color="232323"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其他原因分析</w:t>
            </w:r>
          </w:p>
        </w:tc>
        <w:tc>
          <w:tcPr>
            <w:tcW w:w="1291" w:type="dxa"/>
            <w:gridSpan w:val="3"/>
            <w:vMerge w:val="continue"/>
            <w:tcBorders>
              <w:top w:val="single" w:color="232323" w:sz="4" w:space="0"/>
              <w:left w:val="single" w:color="232323" w:sz="4" w:space="0"/>
              <w:bottom w:val="single" w:color="232323" w:sz="4" w:space="0"/>
              <w:right w:val="single" w:color="232323" w:sz="4" w:space="0"/>
            </w:tcBorders>
            <w:shd w:val="clear"/>
            <w:vAlign w:val="center"/>
          </w:tcPr>
          <w:p>
            <w:pPr>
              <w:jc w:val="lef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31" w:hRule="atLeast"/>
        </w:trPr>
        <w:tc>
          <w:tcPr>
            <w:tcW w:w="409" w:type="dxa"/>
            <w:vMerge w:val="continue"/>
            <w:tcBorders>
              <w:top w:val="single" w:color="232323"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0"/>
                <w:szCs w:val="20"/>
                <w:u w:val="none"/>
              </w:rPr>
            </w:pPr>
          </w:p>
        </w:tc>
        <w:tc>
          <w:tcPr>
            <w:tcW w:w="210" w:type="dxa"/>
            <w:vMerge w:val="restart"/>
            <w:tcBorders>
              <w:top w:val="single" w:color="232323"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履职效能</w:t>
            </w:r>
          </w:p>
        </w:tc>
        <w:tc>
          <w:tcPr>
            <w:tcW w:w="387" w:type="dxa"/>
            <w:shd w:val="clear"/>
            <w:vAlign w:val="center"/>
          </w:tcPr>
          <w:p>
            <w:pPr>
              <w:keepNext w:val="0"/>
              <w:keepLines w:val="0"/>
              <w:widowControl/>
              <w:suppressLineNumbers w:val="0"/>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重点工作履行情况</w:t>
            </w:r>
          </w:p>
        </w:tc>
        <w:tc>
          <w:tcPr>
            <w:tcW w:w="756" w:type="dxa"/>
            <w:tcBorders>
              <w:top w:val="single" w:color="232323" w:sz="4" w:space="0"/>
              <w:left w:val="single" w:color="232323"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重点工作预期办结率</w:t>
            </w:r>
          </w:p>
        </w:tc>
        <w:tc>
          <w:tcPr>
            <w:tcW w:w="1477"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both"/>
              <w:textAlignment w:val="center"/>
              <w:rPr>
                <w:rFonts w:ascii="仿宋_GB2312" w:hAnsi="Times New Roman" w:eastAsia="仿宋_GB2312" w:cs="仿宋_GB2312"/>
                <w:i w:val="0"/>
                <w:color w:val="000000"/>
                <w:sz w:val="18"/>
                <w:szCs w:val="18"/>
                <w:u w:val="none"/>
              </w:rPr>
            </w:pPr>
            <w:r>
              <w:rPr>
                <w:rFonts w:hint="default" w:ascii="仿宋_GB2312" w:hAnsi="Times New Roman" w:eastAsia="仿宋_GB2312" w:cs="仿宋_GB2312"/>
                <w:i w:val="0"/>
                <w:color w:val="000000"/>
                <w:kern w:val="0"/>
                <w:sz w:val="18"/>
                <w:szCs w:val="18"/>
                <w:u w:val="none"/>
                <w:lang w:val="en-US" w:eastAsia="zh-CN" w:bidi="ar"/>
              </w:rPr>
              <w:t>“=”“≤”“≥”“＜”“＞”</w:t>
            </w:r>
          </w:p>
        </w:tc>
        <w:tc>
          <w:tcPr>
            <w:tcW w:w="372" w:type="dxa"/>
            <w:tcBorders>
              <w:top w:val="single" w:color="232323" w:sz="4" w:space="0"/>
              <w:right w:val="single" w:color="232323" w:sz="4" w:space="0"/>
            </w:tcBorders>
            <w:shd w:val="clear"/>
            <w:vAlign w:val="bottom"/>
          </w:tcPr>
          <w:p>
            <w:pPr>
              <w:jc w:val="left"/>
              <w:rPr>
                <w:rFonts w:hint="default" w:ascii="Times New Roman" w:hAnsi="Times New Roman" w:cs="Times New Roman"/>
                <w:i w:val="0"/>
                <w:color w:val="000000"/>
                <w:sz w:val="20"/>
                <w:szCs w:val="20"/>
                <w:u w:val="none"/>
              </w:rPr>
            </w:pPr>
          </w:p>
        </w:tc>
        <w:tc>
          <w:tcPr>
            <w:tcW w:w="329" w:type="dxa"/>
            <w:tcBorders>
              <w:top w:val="single" w:color="232323" w:sz="4" w:space="0"/>
              <w:left w:val="single" w:color="232323" w:sz="4" w:space="0"/>
              <w:right w:val="single" w:color="232323" w:sz="4" w:space="0"/>
            </w:tcBorders>
            <w:shd w:val="clear"/>
            <w:vAlign w:val="bottom"/>
          </w:tcPr>
          <w:p>
            <w:pPr>
              <w:jc w:val="left"/>
              <w:rPr>
                <w:rFonts w:hint="default" w:ascii="Times New Roman" w:hAnsi="Times New Roman" w:cs="Times New Roman"/>
                <w:i w:val="0"/>
                <w:color w:val="000000"/>
                <w:sz w:val="20"/>
                <w:szCs w:val="20"/>
                <w:u w:val="none"/>
              </w:rPr>
            </w:pPr>
          </w:p>
        </w:tc>
        <w:tc>
          <w:tcPr>
            <w:tcW w:w="448" w:type="dxa"/>
            <w:tcBorders>
              <w:top w:val="single" w:color="232323" w:sz="4" w:space="0"/>
              <w:left w:val="single" w:color="232323" w:sz="4" w:space="0"/>
              <w:right w:val="single" w:color="232323" w:sz="4" w:space="0"/>
            </w:tcBorders>
            <w:shd w:val="clear"/>
            <w:vAlign w:val="bottom"/>
          </w:tcPr>
          <w:p>
            <w:pPr>
              <w:jc w:val="left"/>
              <w:rPr>
                <w:rFonts w:hint="default" w:ascii="Times New Roman" w:hAnsi="Times New Roman" w:cs="Times New Roman"/>
                <w:i w:val="0"/>
                <w:color w:val="000000"/>
                <w:sz w:val="20"/>
                <w:szCs w:val="20"/>
                <w:u w:val="none"/>
              </w:rPr>
            </w:pPr>
          </w:p>
        </w:tc>
        <w:tc>
          <w:tcPr>
            <w:tcW w:w="448" w:type="dxa"/>
            <w:tcBorders>
              <w:top w:val="single" w:color="232323" w:sz="4" w:space="0"/>
              <w:left w:val="single" w:color="232323" w:sz="4" w:space="0"/>
              <w:right w:val="single" w:color="232323" w:sz="4" w:space="0"/>
            </w:tcBorders>
            <w:shd w:val="clear"/>
            <w:vAlign w:val="center"/>
          </w:tcPr>
          <w:p>
            <w:pPr>
              <w:keepNext w:val="0"/>
              <w:keepLines w:val="0"/>
              <w:widowControl/>
              <w:suppressLineNumbers w:val="0"/>
              <w:jc w:val="center"/>
              <w:textAlignment w:val="center"/>
              <w:rPr>
                <w:rFonts w:hint="default" w:ascii="Times New Roman" w:hAnsi="Times New Roman"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100%</w:t>
            </w:r>
          </w:p>
        </w:tc>
        <w:tc>
          <w:tcPr>
            <w:tcW w:w="432" w:type="dxa"/>
            <w:tcBorders>
              <w:top w:val="single" w:color="232323" w:sz="4" w:space="0"/>
              <w:left w:val="single" w:color="232323" w:sz="4" w:space="0"/>
              <w:right w:val="single" w:color="232323" w:sz="4" w:space="0"/>
            </w:tcBorders>
            <w:shd w:val="cle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w:t>
            </w:r>
          </w:p>
        </w:tc>
        <w:tc>
          <w:tcPr>
            <w:tcW w:w="280" w:type="dxa"/>
            <w:tcBorders>
              <w:top w:val="single" w:color="232323" w:sz="4" w:space="0"/>
              <w:left w:val="single" w:color="232323" w:sz="4" w:space="0"/>
              <w:right w:val="single" w:color="232323" w:sz="4" w:space="0"/>
            </w:tcBorders>
            <w:shd w:val="cle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w:t>
            </w:r>
          </w:p>
        </w:tc>
        <w:tc>
          <w:tcPr>
            <w:tcW w:w="516" w:type="dxa"/>
            <w:tcBorders>
              <w:top w:val="single" w:color="232323" w:sz="4" w:space="0"/>
              <w:left w:val="single" w:color="232323" w:sz="4" w:space="0"/>
              <w:right w:val="single" w:color="232323" w:sz="4" w:space="0"/>
            </w:tcBorders>
            <w:shd w:val="clear"/>
            <w:vAlign w:val="bottom"/>
          </w:tcPr>
          <w:p>
            <w:pPr>
              <w:jc w:val="left"/>
              <w:rPr>
                <w:rFonts w:hint="default" w:ascii="Times New Roman" w:hAnsi="Times New Roman" w:cs="Times New Roman"/>
                <w:i w:val="0"/>
                <w:color w:val="000000"/>
                <w:sz w:val="20"/>
                <w:szCs w:val="20"/>
                <w:u w:val="none"/>
              </w:rPr>
            </w:pPr>
          </w:p>
        </w:tc>
        <w:tc>
          <w:tcPr>
            <w:tcW w:w="480" w:type="dxa"/>
            <w:tcBorders>
              <w:top w:val="single" w:color="232323" w:sz="4" w:space="0"/>
              <w:left w:val="single" w:color="232323" w:sz="4" w:space="0"/>
              <w:right w:val="single" w:color="232323" w:sz="4" w:space="0"/>
            </w:tcBorders>
            <w:shd w:val="clear"/>
            <w:vAlign w:val="bottom"/>
          </w:tcPr>
          <w:p>
            <w:pPr>
              <w:jc w:val="left"/>
              <w:rPr>
                <w:rFonts w:hint="default" w:ascii="Times New Roman" w:hAnsi="Times New Roman" w:cs="Times New Roman"/>
                <w:i w:val="0"/>
                <w:color w:val="000000"/>
                <w:sz w:val="20"/>
                <w:szCs w:val="20"/>
                <w:u w:val="none"/>
              </w:rPr>
            </w:pPr>
          </w:p>
        </w:tc>
        <w:tc>
          <w:tcPr>
            <w:tcW w:w="508" w:type="dxa"/>
            <w:tcBorders>
              <w:top w:val="single" w:color="232323" w:sz="4" w:space="0"/>
              <w:left w:val="single" w:color="232323" w:sz="4" w:space="0"/>
              <w:right w:val="single" w:color="232323" w:sz="4" w:space="0"/>
            </w:tcBorders>
            <w:shd w:val="clear"/>
            <w:vAlign w:val="bottom"/>
          </w:tcPr>
          <w:p>
            <w:pPr>
              <w:jc w:val="left"/>
              <w:rPr>
                <w:rFonts w:hint="default" w:ascii="Times New Roman" w:hAnsi="Times New Roman" w:cs="Times New Roman"/>
                <w:i w:val="0"/>
                <w:color w:val="000000"/>
                <w:sz w:val="20"/>
                <w:szCs w:val="20"/>
                <w:u w:val="none"/>
              </w:rPr>
            </w:pPr>
          </w:p>
        </w:tc>
        <w:tc>
          <w:tcPr>
            <w:tcW w:w="524" w:type="dxa"/>
            <w:tcBorders>
              <w:top w:val="single" w:color="232323" w:sz="4" w:space="0"/>
              <w:left w:val="single" w:color="232323" w:sz="4" w:space="0"/>
              <w:right w:val="single" w:color="232323" w:sz="4" w:space="0"/>
            </w:tcBorders>
            <w:shd w:val="clear"/>
            <w:vAlign w:val="bottom"/>
          </w:tcPr>
          <w:p>
            <w:pPr>
              <w:jc w:val="left"/>
              <w:rPr>
                <w:rFonts w:hint="default" w:ascii="Times New Roman" w:hAnsi="Times New Roman" w:cs="Times New Roman"/>
                <w:i w:val="0"/>
                <w:color w:val="000000"/>
                <w:sz w:val="20"/>
                <w:szCs w:val="20"/>
                <w:u w:val="none"/>
              </w:rPr>
            </w:pPr>
          </w:p>
        </w:tc>
        <w:tc>
          <w:tcPr>
            <w:tcW w:w="673" w:type="dxa"/>
            <w:tcBorders>
              <w:top w:val="single" w:color="232323" w:sz="4" w:space="0"/>
              <w:left w:val="single" w:color="232323" w:sz="4" w:space="0"/>
              <w:right w:val="single" w:color="232323" w:sz="4" w:space="0"/>
            </w:tcBorders>
            <w:shd w:val="clear"/>
            <w:vAlign w:val="bottom"/>
          </w:tcPr>
          <w:p>
            <w:pPr>
              <w:jc w:val="left"/>
              <w:rPr>
                <w:rFonts w:hint="default" w:ascii="Times New Roman" w:hAnsi="Times New Roman" w:cs="Times New Roman"/>
                <w:i w:val="0"/>
                <w:color w:val="000000"/>
                <w:sz w:val="20"/>
                <w:szCs w:val="20"/>
                <w:u w:val="none"/>
              </w:rPr>
            </w:pPr>
          </w:p>
        </w:tc>
        <w:tc>
          <w:tcPr>
            <w:tcW w:w="1291" w:type="dxa"/>
            <w:gridSpan w:val="3"/>
            <w:tcBorders>
              <w:top w:val="single" w:color="232323" w:sz="4" w:space="0"/>
              <w:left w:val="single" w:color="232323" w:sz="4" w:space="0"/>
              <w:right w:val="single" w:color="232323" w:sz="4" w:space="0"/>
            </w:tcBorders>
            <w:shd w:val="clear"/>
            <w:vAlign w:val="bottom"/>
          </w:tcPr>
          <w:p>
            <w:pPr>
              <w:jc w:val="left"/>
              <w:rPr>
                <w:rFonts w:hint="default" w:ascii="Times New Roman" w:hAnsi="Times New Roman"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155" w:hRule="atLeast"/>
        </w:trPr>
        <w:tc>
          <w:tcPr>
            <w:tcW w:w="409" w:type="dxa"/>
            <w:vMerge w:val="continue"/>
            <w:tcBorders>
              <w:top w:val="single" w:color="232323"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0"/>
                <w:szCs w:val="20"/>
                <w:u w:val="none"/>
              </w:rPr>
            </w:pPr>
          </w:p>
        </w:tc>
        <w:tc>
          <w:tcPr>
            <w:tcW w:w="210" w:type="dxa"/>
            <w:vMerge w:val="continue"/>
            <w:tcBorders>
              <w:top w:val="single" w:color="232323" w:sz="4" w:space="0"/>
            </w:tcBorders>
            <w:shd w:val="clear"/>
            <w:vAlign w:val="center"/>
          </w:tcPr>
          <w:p>
            <w:pPr>
              <w:jc w:val="left"/>
              <w:rPr>
                <w:rFonts w:hint="eastAsia" w:ascii="宋体" w:hAnsi="宋体" w:eastAsia="宋体" w:cs="宋体"/>
                <w:i w:val="0"/>
                <w:color w:val="000000"/>
                <w:sz w:val="18"/>
                <w:szCs w:val="18"/>
                <w:u w:val="none"/>
              </w:rPr>
            </w:pPr>
          </w:p>
        </w:tc>
        <w:tc>
          <w:tcPr>
            <w:tcW w:w="387" w:type="dxa"/>
            <w:shd w:val="clear"/>
            <w:vAlign w:val="top"/>
          </w:tcPr>
          <w:p>
            <w:pPr>
              <w:keepNext w:val="0"/>
              <w:keepLines w:val="0"/>
              <w:widowControl/>
              <w:suppressLineNumbers w:val="0"/>
              <w:jc w:val="both"/>
              <w:textAlignment w:val="top"/>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整体工作完成情况</w:t>
            </w:r>
          </w:p>
        </w:tc>
        <w:tc>
          <w:tcPr>
            <w:tcW w:w="756" w:type="dxa"/>
            <w:tcBorders>
              <w:left w:val="single" w:color="232323" w:sz="4" w:space="0"/>
              <w:bottom w:val="single" w:color="232323" w:sz="4" w:space="0"/>
            </w:tcBorders>
            <w:shd w:val="clear"/>
            <w:vAlign w:val="bottom"/>
          </w:tcPr>
          <w:p>
            <w:pPr>
              <w:keepNext w:val="0"/>
              <w:keepLines w:val="0"/>
              <w:widowControl/>
              <w:suppressLineNumbers w:val="0"/>
              <w:jc w:val="left"/>
              <w:textAlignment w:val="bottom"/>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预期工作完成及时率</w:t>
            </w:r>
          </w:p>
        </w:tc>
        <w:tc>
          <w:tcPr>
            <w:tcW w:w="147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default" w:ascii="仿宋_GB2312" w:hAnsi="Times New Roman" w:eastAsia="仿宋_GB2312" w:cs="仿宋_GB2312"/>
                <w:i w:val="0"/>
                <w:color w:val="000000"/>
                <w:sz w:val="18"/>
                <w:szCs w:val="18"/>
                <w:u w:val="none"/>
              </w:rPr>
            </w:pPr>
          </w:p>
        </w:tc>
        <w:tc>
          <w:tcPr>
            <w:tcW w:w="372" w:type="dxa"/>
            <w:tcBorders>
              <w:top w:val="single" w:color="000000" w:sz="4" w:space="0"/>
              <w:left w:val="single" w:color="000000" w:sz="4" w:space="0"/>
              <w:bottom w:val="single" w:color="000000" w:sz="4" w:space="0"/>
              <w:right w:val="single" w:color="000000" w:sz="4" w:space="0"/>
            </w:tcBorders>
            <w:shd w:val="clear"/>
            <w:vAlign w:val="bottom"/>
          </w:tcPr>
          <w:p>
            <w:pPr>
              <w:jc w:val="left"/>
              <w:rPr>
                <w:rFonts w:hint="default" w:ascii="Times New Roman" w:hAnsi="Times New Roman" w:cs="Times New Roman"/>
                <w:i w:val="0"/>
                <w:color w:val="000000"/>
                <w:sz w:val="20"/>
                <w:szCs w:val="20"/>
                <w:u w:val="none"/>
              </w:rPr>
            </w:pPr>
          </w:p>
        </w:tc>
        <w:tc>
          <w:tcPr>
            <w:tcW w:w="329" w:type="dxa"/>
            <w:tcBorders>
              <w:top w:val="single" w:color="000000" w:sz="4" w:space="0"/>
              <w:left w:val="single" w:color="000000" w:sz="4" w:space="0"/>
              <w:bottom w:val="single" w:color="000000" w:sz="4" w:space="0"/>
              <w:right w:val="single" w:color="000000" w:sz="4" w:space="0"/>
            </w:tcBorders>
            <w:shd w:val="clear"/>
            <w:vAlign w:val="bottom"/>
          </w:tcPr>
          <w:p>
            <w:pPr>
              <w:jc w:val="left"/>
              <w:rPr>
                <w:rFonts w:hint="default" w:ascii="Times New Roman" w:hAnsi="Times New Roman" w:cs="Times New Roman"/>
                <w:i w:val="0"/>
                <w:color w:val="000000"/>
                <w:sz w:val="20"/>
                <w:szCs w:val="20"/>
                <w:u w:val="none"/>
              </w:rPr>
            </w:pPr>
          </w:p>
        </w:tc>
        <w:tc>
          <w:tcPr>
            <w:tcW w:w="448" w:type="dxa"/>
            <w:tcBorders>
              <w:top w:val="single" w:color="000000" w:sz="4" w:space="0"/>
              <w:left w:val="single" w:color="000000" w:sz="4" w:space="0"/>
              <w:bottom w:val="single" w:color="000000" w:sz="4" w:space="0"/>
              <w:right w:val="single" w:color="000000" w:sz="4" w:space="0"/>
            </w:tcBorders>
            <w:shd w:val="clear"/>
            <w:vAlign w:val="bottom"/>
          </w:tcPr>
          <w:p>
            <w:pPr>
              <w:jc w:val="left"/>
              <w:rPr>
                <w:rFonts w:hint="default" w:ascii="Times New Roman" w:hAnsi="Times New Roman" w:cs="Times New Roman"/>
                <w:i w:val="0"/>
                <w:color w:val="000000"/>
                <w:sz w:val="20"/>
                <w:szCs w:val="20"/>
                <w:u w:val="none"/>
              </w:rPr>
            </w:pPr>
          </w:p>
        </w:tc>
        <w:tc>
          <w:tcPr>
            <w:tcW w:w="448" w:type="dxa"/>
            <w:tcBorders>
              <w:top w:val="single" w:color="232323" w:sz="4" w:space="0"/>
              <w:left w:val="single" w:color="232323" w:sz="4" w:space="0"/>
              <w:right w:val="single" w:color="232323" w:sz="4" w:space="0"/>
            </w:tcBorders>
            <w:shd w:val="clear"/>
            <w:vAlign w:val="center"/>
          </w:tcPr>
          <w:p>
            <w:pPr>
              <w:keepNext w:val="0"/>
              <w:keepLines w:val="0"/>
              <w:widowControl/>
              <w:suppressLineNumbers w:val="0"/>
              <w:jc w:val="center"/>
              <w:textAlignment w:val="center"/>
              <w:rPr>
                <w:rFonts w:hint="default" w:ascii="Times New Roman" w:hAnsi="Times New Roman"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100%</w:t>
            </w:r>
          </w:p>
        </w:tc>
        <w:tc>
          <w:tcPr>
            <w:tcW w:w="4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w:t>
            </w:r>
          </w:p>
        </w:tc>
        <w:tc>
          <w:tcPr>
            <w:tcW w:w="2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w:t>
            </w:r>
          </w:p>
        </w:tc>
        <w:tc>
          <w:tcPr>
            <w:tcW w:w="516" w:type="dxa"/>
            <w:tcBorders>
              <w:top w:val="single" w:color="000000" w:sz="4" w:space="0"/>
              <w:left w:val="single" w:color="000000" w:sz="4" w:space="0"/>
              <w:bottom w:val="single" w:color="000000" w:sz="4" w:space="0"/>
              <w:right w:val="single" w:color="000000" w:sz="4" w:space="0"/>
            </w:tcBorders>
            <w:shd w:val="clear"/>
            <w:vAlign w:val="bottom"/>
          </w:tcPr>
          <w:p>
            <w:pPr>
              <w:jc w:val="left"/>
              <w:rPr>
                <w:rFonts w:hint="default" w:ascii="Times New Roman" w:hAnsi="Times New Roman" w:cs="Times New Roman"/>
                <w:i w:val="0"/>
                <w:color w:val="000000"/>
                <w:sz w:val="20"/>
                <w:szCs w:val="20"/>
                <w:u w:val="none"/>
              </w:rPr>
            </w:pPr>
          </w:p>
        </w:tc>
        <w:tc>
          <w:tcPr>
            <w:tcW w:w="480" w:type="dxa"/>
            <w:tcBorders>
              <w:top w:val="single" w:color="000000" w:sz="4" w:space="0"/>
              <w:left w:val="single" w:color="000000" w:sz="4" w:space="0"/>
              <w:bottom w:val="single" w:color="000000" w:sz="4" w:space="0"/>
              <w:right w:val="single" w:color="000000" w:sz="4" w:space="0"/>
            </w:tcBorders>
            <w:shd w:val="clear"/>
            <w:vAlign w:val="bottom"/>
          </w:tcPr>
          <w:p>
            <w:pPr>
              <w:jc w:val="left"/>
              <w:rPr>
                <w:rFonts w:hint="default" w:ascii="Times New Roman" w:hAnsi="Times New Roman" w:cs="Times New Roman"/>
                <w:i w:val="0"/>
                <w:color w:val="000000"/>
                <w:sz w:val="20"/>
                <w:szCs w:val="20"/>
                <w:u w:val="none"/>
              </w:rPr>
            </w:pPr>
          </w:p>
        </w:tc>
        <w:tc>
          <w:tcPr>
            <w:tcW w:w="508" w:type="dxa"/>
            <w:tcBorders>
              <w:top w:val="single" w:color="000000" w:sz="4" w:space="0"/>
              <w:left w:val="single" w:color="000000" w:sz="4" w:space="0"/>
              <w:bottom w:val="single" w:color="000000" w:sz="4" w:space="0"/>
              <w:right w:val="single" w:color="000000" w:sz="4" w:space="0"/>
            </w:tcBorders>
            <w:shd w:val="clear"/>
            <w:vAlign w:val="bottom"/>
          </w:tcPr>
          <w:p>
            <w:pPr>
              <w:jc w:val="left"/>
              <w:rPr>
                <w:rFonts w:hint="default" w:ascii="Times New Roman" w:hAnsi="Times New Roman" w:cs="Times New Roman"/>
                <w:i w:val="0"/>
                <w:color w:val="000000"/>
                <w:sz w:val="20"/>
                <w:szCs w:val="20"/>
                <w:u w:val="none"/>
              </w:rPr>
            </w:pPr>
          </w:p>
        </w:tc>
        <w:tc>
          <w:tcPr>
            <w:tcW w:w="524" w:type="dxa"/>
            <w:tcBorders>
              <w:top w:val="single" w:color="000000" w:sz="4" w:space="0"/>
              <w:left w:val="single" w:color="000000" w:sz="4" w:space="0"/>
              <w:bottom w:val="single" w:color="000000" w:sz="4" w:space="0"/>
              <w:right w:val="single" w:color="000000" w:sz="4" w:space="0"/>
            </w:tcBorders>
            <w:shd w:val="clear"/>
            <w:vAlign w:val="bottom"/>
          </w:tcPr>
          <w:p>
            <w:pPr>
              <w:jc w:val="left"/>
              <w:rPr>
                <w:rFonts w:hint="default" w:ascii="Times New Roman" w:hAnsi="Times New Roman" w:cs="Times New Roman"/>
                <w:i w:val="0"/>
                <w:color w:val="000000"/>
                <w:sz w:val="20"/>
                <w:szCs w:val="20"/>
                <w:u w:val="none"/>
              </w:rPr>
            </w:pPr>
          </w:p>
        </w:tc>
        <w:tc>
          <w:tcPr>
            <w:tcW w:w="673" w:type="dxa"/>
            <w:tcBorders>
              <w:top w:val="single" w:color="000000" w:sz="4" w:space="0"/>
              <w:left w:val="single" w:color="000000" w:sz="4" w:space="0"/>
              <w:bottom w:val="single" w:color="000000" w:sz="4" w:space="0"/>
              <w:right w:val="single" w:color="000000" w:sz="4" w:space="0"/>
            </w:tcBorders>
            <w:shd w:val="clear"/>
            <w:vAlign w:val="bottom"/>
          </w:tcPr>
          <w:p>
            <w:pPr>
              <w:jc w:val="left"/>
              <w:rPr>
                <w:rFonts w:hint="default" w:ascii="Times New Roman" w:hAnsi="Times New Roman" w:cs="Times New Roman"/>
                <w:i w:val="0"/>
                <w:color w:val="000000"/>
                <w:sz w:val="20"/>
                <w:szCs w:val="20"/>
                <w:u w:val="none"/>
              </w:rPr>
            </w:pPr>
          </w:p>
        </w:tc>
        <w:tc>
          <w:tcPr>
            <w:tcW w:w="1291" w:type="dxa"/>
            <w:gridSpan w:val="3"/>
            <w:tcBorders>
              <w:top w:val="single" w:color="000000" w:sz="4" w:space="0"/>
              <w:left w:val="single" w:color="000000" w:sz="4" w:space="0"/>
              <w:bottom w:val="single" w:color="000000" w:sz="4" w:space="0"/>
              <w:right w:val="single" w:color="000000" w:sz="4" w:space="0"/>
            </w:tcBorders>
            <w:shd w:val="clear"/>
            <w:vAlign w:val="bottom"/>
          </w:tcPr>
          <w:p>
            <w:pPr>
              <w:jc w:val="left"/>
              <w:rPr>
                <w:rFonts w:hint="default" w:ascii="Times New Roman" w:hAnsi="Times New Roman"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035" w:hRule="atLeast"/>
        </w:trPr>
        <w:tc>
          <w:tcPr>
            <w:tcW w:w="409" w:type="dxa"/>
            <w:vMerge w:val="continue"/>
            <w:tcBorders>
              <w:top w:val="single" w:color="232323"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0"/>
                <w:szCs w:val="20"/>
                <w:u w:val="none"/>
              </w:rPr>
            </w:pPr>
          </w:p>
        </w:tc>
        <w:tc>
          <w:tcPr>
            <w:tcW w:w="210" w:type="dxa"/>
            <w:vMerge w:val="continue"/>
            <w:tcBorders>
              <w:top w:val="single" w:color="232323" w:sz="4" w:space="0"/>
            </w:tcBorders>
            <w:shd w:val="clear"/>
            <w:vAlign w:val="center"/>
          </w:tcPr>
          <w:p>
            <w:pPr>
              <w:jc w:val="left"/>
              <w:rPr>
                <w:rFonts w:hint="eastAsia" w:ascii="宋体" w:hAnsi="宋体" w:eastAsia="宋体" w:cs="宋体"/>
                <w:i w:val="0"/>
                <w:color w:val="000000"/>
                <w:sz w:val="18"/>
                <w:szCs w:val="18"/>
                <w:u w:val="none"/>
              </w:rPr>
            </w:pPr>
          </w:p>
        </w:tc>
        <w:tc>
          <w:tcPr>
            <w:tcW w:w="387" w:type="dxa"/>
            <w:tcBorders>
              <w:top w:val="single" w:color="232323" w:sz="4" w:space="0"/>
              <w:left w:val="single" w:color="232323" w:sz="4" w:space="0"/>
              <w:bottom w:val="single" w:color="232323" w:sz="4" w:space="0"/>
              <w:right w:val="single" w:color="232323"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基础管理</w:t>
            </w:r>
          </w:p>
        </w:tc>
        <w:tc>
          <w:tcPr>
            <w:tcW w:w="756" w:type="dxa"/>
            <w:tcBorders>
              <w:top w:val="single" w:color="232323" w:sz="4" w:space="0"/>
              <w:left w:val="single" w:color="232323" w:sz="4" w:space="0"/>
              <w:bottom w:val="single" w:color="232323"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综合管理水平</w:t>
            </w:r>
          </w:p>
        </w:tc>
        <w:tc>
          <w:tcPr>
            <w:tcW w:w="147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default" w:ascii="仿宋_GB2312" w:hAnsi="Times New Roman" w:eastAsia="仿宋_GB2312" w:cs="仿宋_GB2312"/>
                <w:i w:val="0"/>
                <w:color w:val="000000"/>
                <w:sz w:val="18"/>
                <w:szCs w:val="18"/>
                <w:u w:val="none"/>
              </w:rPr>
            </w:pPr>
          </w:p>
        </w:tc>
        <w:tc>
          <w:tcPr>
            <w:tcW w:w="372" w:type="dxa"/>
            <w:tcBorders>
              <w:top w:val="single" w:color="000000" w:sz="4" w:space="0"/>
              <w:left w:val="single" w:color="000000" w:sz="4" w:space="0"/>
              <w:bottom w:val="single" w:color="000000" w:sz="4" w:space="0"/>
              <w:right w:val="single" w:color="000000" w:sz="4" w:space="0"/>
            </w:tcBorders>
            <w:shd w:val="clear"/>
            <w:vAlign w:val="bottom"/>
          </w:tcPr>
          <w:p>
            <w:pPr>
              <w:jc w:val="left"/>
              <w:rPr>
                <w:rFonts w:hint="default" w:ascii="Times New Roman" w:hAnsi="Times New Roman" w:cs="Times New Roman"/>
                <w:i w:val="0"/>
                <w:color w:val="000000"/>
                <w:sz w:val="20"/>
                <w:szCs w:val="20"/>
                <w:u w:val="none"/>
              </w:rPr>
            </w:pPr>
          </w:p>
        </w:tc>
        <w:tc>
          <w:tcPr>
            <w:tcW w:w="329" w:type="dxa"/>
            <w:tcBorders>
              <w:top w:val="single" w:color="000000" w:sz="4" w:space="0"/>
              <w:left w:val="single" w:color="000000" w:sz="4" w:space="0"/>
              <w:bottom w:val="single" w:color="000000" w:sz="4" w:space="0"/>
              <w:right w:val="single" w:color="000000" w:sz="4" w:space="0"/>
            </w:tcBorders>
            <w:shd w:val="clear"/>
            <w:vAlign w:val="bottom"/>
          </w:tcPr>
          <w:p>
            <w:pPr>
              <w:jc w:val="left"/>
              <w:rPr>
                <w:rFonts w:hint="default" w:ascii="Times New Roman" w:hAnsi="Times New Roman" w:cs="Times New Roman"/>
                <w:i w:val="0"/>
                <w:color w:val="000000"/>
                <w:sz w:val="20"/>
                <w:szCs w:val="20"/>
                <w:u w:val="none"/>
              </w:rPr>
            </w:pPr>
          </w:p>
        </w:tc>
        <w:tc>
          <w:tcPr>
            <w:tcW w:w="448" w:type="dxa"/>
            <w:tcBorders>
              <w:top w:val="single" w:color="000000" w:sz="4" w:space="0"/>
              <w:left w:val="single" w:color="000000" w:sz="4" w:space="0"/>
              <w:bottom w:val="single" w:color="000000" w:sz="4" w:space="0"/>
              <w:right w:val="single" w:color="000000" w:sz="4" w:space="0"/>
            </w:tcBorders>
            <w:shd w:val="clear"/>
            <w:vAlign w:val="bottom"/>
          </w:tcPr>
          <w:p>
            <w:pPr>
              <w:jc w:val="left"/>
              <w:rPr>
                <w:rFonts w:hint="default" w:ascii="Times New Roman" w:hAnsi="Times New Roman" w:cs="Times New Roman"/>
                <w:i w:val="0"/>
                <w:color w:val="000000"/>
                <w:sz w:val="20"/>
                <w:szCs w:val="20"/>
                <w:u w:val="none"/>
              </w:rPr>
            </w:pPr>
          </w:p>
        </w:tc>
        <w:tc>
          <w:tcPr>
            <w:tcW w:w="448" w:type="dxa"/>
            <w:tcBorders>
              <w:top w:val="single" w:color="232323" w:sz="4" w:space="0"/>
              <w:left w:val="single" w:color="232323" w:sz="4" w:space="0"/>
              <w:right w:val="single" w:color="232323" w:sz="4" w:space="0"/>
            </w:tcBorders>
            <w:shd w:val="clear"/>
            <w:vAlign w:val="center"/>
          </w:tcPr>
          <w:p>
            <w:pPr>
              <w:keepNext w:val="0"/>
              <w:keepLines w:val="0"/>
              <w:widowControl/>
              <w:suppressLineNumbers w:val="0"/>
              <w:jc w:val="center"/>
              <w:textAlignment w:val="center"/>
              <w:rPr>
                <w:rFonts w:hint="default" w:ascii="Times New Roman" w:hAnsi="Times New Roman"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100%</w:t>
            </w:r>
          </w:p>
        </w:tc>
        <w:tc>
          <w:tcPr>
            <w:tcW w:w="432"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w:t>
            </w:r>
          </w:p>
        </w:tc>
        <w:tc>
          <w:tcPr>
            <w:tcW w:w="28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w:t>
            </w:r>
          </w:p>
        </w:tc>
        <w:tc>
          <w:tcPr>
            <w:tcW w:w="516" w:type="dxa"/>
            <w:tcBorders>
              <w:top w:val="single" w:color="000000" w:sz="4" w:space="0"/>
              <w:left w:val="single" w:color="000000" w:sz="4" w:space="0"/>
              <w:bottom w:val="single" w:color="000000" w:sz="4" w:space="0"/>
              <w:right w:val="single" w:color="000000" w:sz="4" w:space="0"/>
            </w:tcBorders>
            <w:shd w:val="clear"/>
            <w:vAlign w:val="bottom"/>
          </w:tcPr>
          <w:p>
            <w:pPr>
              <w:jc w:val="left"/>
              <w:rPr>
                <w:rFonts w:hint="default" w:ascii="Times New Roman" w:hAnsi="Times New Roman" w:cs="Times New Roman"/>
                <w:i w:val="0"/>
                <w:color w:val="000000"/>
                <w:sz w:val="20"/>
                <w:szCs w:val="20"/>
                <w:u w:val="none"/>
              </w:rPr>
            </w:pPr>
          </w:p>
        </w:tc>
        <w:tc>
          <w:tcPr>
            <w:tcW w:w="480" w:type="dxa"/>
            <w:tcBorders>
              <w:top w:val="single" w:color="000000" w:sz="4" w:space="0"/>
              <w:left w:val="single" w:color="000000" w:sz="4" w:space="0"/>
              <w:bottom w:val="single" w:color="000000" w:sz="4" w:space="0"/>
              <w:right w:val="single" w:color="000000" w:sz="4" w:space="0"/>
            </w:tcBorders>
            <w:shd w:val="clear"/>
            <w:vAlign w:val="bottom"/>
          </w:tcPr>
          <w:p>
            <w:pPr>
              <w:jc w:val="left"/>
              <w:rPr>
                <w:rFonts w:hint="default" w:ascii="Times New Roman" w:hAnsi="Times New Roman" w:cs="Times New Roman"/>
                <w:i w:val="0"/>
                <w:color w:val="000000"/>
                <w:sz w:val="20"/>
                <w:szCs w:val="20"/>
                <w:u w:val="none"/>
              </w:rPr>
            </w:pPr>
          </w:p>
        </w:tc>
        <w:tc>
          <w:tcPr>
            <w:tcW w:w="508" w:type="dxa"/>
            <w:tcBorders>
              <w:top w:val="single" w:color="000000" w:sz="4" w:space="0"/>
              <w:left w:val="single" w:color="000000" w:sz="4" w:space="0"/>
              <w:bottom w:val="single" w:color="000000" w:sz="4" w:space="0"/>
              <w:right w:val="single" w:color="000000" w:sz="4" w:space="0"/>
            </w:tcBorders>
            <w:shd w:val="clear"/>
            <w:vAlign w:val="bottom"/>
          </w:tcPr>
          <w:p>
            <w:pPr>
              <w:jc w:val="left"/>
              <w:rPr>
                <w:rFonts w:hint="default" w:ascii="Times New Roman" w:hAnsi="Times New Roman" w:cs="Times New Roman"/>
                <w:i w:val="0"/>
                <w:color w:val="000000"/>
                <w:sz w:val="20"/>
                <w:szCs w:val="20"/>
                <w:u w:val="none"/>
              </w:rPr>
            </w:pPr>
          </w:p>
        </w:tc>
        <w:tc>
          <w:tcPr>
            <w:tcW w:w="524" w:type="dxa"/>
            <w:tcBorders>
              <w:top w:val="single" w:color="000000" w:sz="4" w:space="0"/>
              <w:left w:val="single" w:color="000000" w:sz="4" w:space="0"/>
              <w:bottom w:val="single" w:color="000000" w:sz="4" w:space="0"/>
              <w:right w:val="single" w:color="000000" w:sz="4" w:space="0"/>
            </w:tcBorders>
            <w:shd w:val="clear"/>
            <w:vAlign w:val="top"/>
          </w:tcPr>
          <w:p>
            <w:pPr>
              <w:jc w:val="left"/>
              <w:rPr>
                <w:rFonts w:hint="default" w:ascii="Times New Roman" w:hAnsi="Times New Roman" w:cs="Times New Roman"/>
                <w:i w:val="0"/>
                <w:color w:val="000000"/>
                <w:sz w:val="20"/>
                <w:szCs w:val="20"/>
                <w:u w:val="none"/>
              </w:rPr>
            </w:pPr>
          </w:p>
        </w:tc>
        <w:tc>
          <w:tcPr>
            <w:tcW w:w="673" w:type="dxa"/>
            <w:tcBorders>
              <w:top w:val="single" w:color="000000" w:sz="4" w:space="0"/>
              <w:left w:val="single" w:color="000000" w:sz="4" w:space="0"/>
              <w:bottom w:val="single" w:color="000000" w:sz="4" w:space="0"/>
              <w:right w:val="single" w:color="000000" w:sz="4" w:space="0"/>
            </w:tcBorders>
            <w:shd w:val="clear"/>
            <w:vAlign w:val="bottom"/>
          </w:tcPr>
          <w:p>
            <w:pPr>
              <w:jc w:val="left"/>
              <w:rPr>
                <w:rFonts w:hint="default" w:ascii="Times New Roman" w:hAnsi="Times New Roman" w:cs="Times New Roman"/>
                <w:i w:val="0"/>
                <w:color w:val="000000"/>
                <w:sz w:val="20"/>
                <w:szCs w:val="20"/>
                <w:u w:val="none"/>
              </w:rPr>
            </w:pPr>
          </w:p>
        </w:tc>
        <w:tc>
          <w:tcPr>
            <w:tcW w:w="1291" w:type="dxa"/>
            <w:gridSpan w:val="3"/>
            <w:tcBorders>
              <w:top w:val="single" w:color="000000" w:sz="4" w:space="0"/>
              <w:left w:val="single" w:color="000000" w:sz="4" w:space="0"/>
              <w:bottom w:val="single" w:color="000000" w:sz="4" w:space="0"/>
              <w:right w:val="single" w:color="000000" w:sz="4" w:space="0"/>
            </w:tcBorders>
            <w:shd w:val="clear"/>
            <w:vAlign w:val="bottom"/>
          </w:tcPr>
          <w:p>
            <w:pPr>
              <w:jc w:val="left"/>
              <w:rPr>
                <w:rFonts w:hint="default" w:ascii="Times New Roman" w:hAnsi="Times New Roman"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70" w:hRule="atLeast"/>
        </w:trPr>
        <w:tc>
          <w:tcPr>
            <w:tcW w:w="409" w:type="dxa"/>
            <w:vMerge w:val="continue"/>
            <w:tcBorders>
              <w:top w:val="single" w:color="232323"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0"/>
                <w:szCs w:val="20"/>
                <w:u w:val="none"/>
              </w:rPr>
            </w:pPr>
          </w:p>
        </w:tc>
        <w:tc>
          <w:tcPr>
            <w:tcW w:w="210" w:type="dxa"/>
            <w:tcBorders>
              <w:top w:val="single" w:color="232323" w:sz="4" w:space="0"/>
              <w:right w:val="single" w:color="232323"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预算执行</w:t>
            </w:r>
          </w:p>
        </w:tc>
        <w:tc>
          <w:tcPr>
            <w:tcW w:w="387" w:type="dxa"/>
            <w:shd w:val="clear"/>
            <w:vAlign w:val="center"/>
          </w:tcPr>
          <w:p>
            <w:pPr>
              <w:keepNext w:val="0"/>
              <w:keepLines w:val="0"/>
              <w:widowControl/>
              <w:suppressLineNumbers w:val="0"/>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预算执行效率</w:t>
            </w:r>
          </w:p>
        </w:tc>
        <w:tc>
          <w:tcPr>
            <w:tcW w:w="756" w:type="dxa"/>
            <w:tcBorders>
              <w:left w:val="single" w:color="232323" w:sz="4" w:space="0"/>
              <w:bottom w:val="single" w:color="232323"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预算完成率</w:t>
            </w:r>
          </w:p>
        </w:tc>
        <w:tc>
          <w:tcPr>
            <w:tcW w:w="147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default" w:ascii="仿宋_GB2312" w:hAnsi="Times New Roman" w:eastAsia="仿宋_GB2312" w:cs="仿宋_GB2312"/>
                <w:i w:val="0"/>
                <w:color w:val="000000"/>
                <w:sz w:val="18"/>
                <w:szCs w:val="18"/>
                <w:u w:val="none"/>
              </w:rPr>
            </w:pPr>
          </w:p>
        </w:tc>
        <w:tc>
          <w:tcPr>
            <w:tcW w:w="372" w:type="dxa"/>
            <w:tcBorders>
              <w:bottom w:val="single" w:color="232323" w:sz="4" w:space="0"/>
              <w:right w:val="single" w:color="232323" w:sz="4" w:space="0"/>
            </w:tcBorders>
            <w:shd w:val="clear"/>
            <w:vAlign w:val="bottom"/>
          </w:tcPr>
          <w:p>
            <w:pPr>
              <w:jc w:val="left"/>
              <w:rPr>
                <w:rFonts w:hint="default" w:ascii="Times New Roman" w:hAnsi="Times New Roman" w:cs="Times New Roman"/>
                <w:i w:val="0"/>
                <w:color w:val="000000"/>
                <w:sz w:val="20"/>
                <w:szCs w:val="20"/>
                <w:u w:val="none"/>
              </w:rPr>
            </w:pPr>
          </w:p>
        </w:tc>
        <w:tc>
          <w:tcPr>
            <w:tcW w:w="329" w:type="dxa"/>
            <w:tcBorders>
              <w:left w:val="single" w:color="232323" w:sz="4" w:space="0"/>
              <w:bottom w:val="single" w:color="232323" w:sz="4" w:space="0"/>
              <w:right w:val="single" w:color="232323" w:sz="4" w:space="0"/>
            </w:tcBorders>
            <w:shd w:val="clear"/>
            <w:vAlign w:val="bottom"/>
          </w:tcPr>
          <w:p>
            <w:pPr>
              <w:jc w:val="left"/>
              <w:rPr>
                <w:rFonts w:hint="default" w:ascii="Times New Roman" w:hAnsi="Times New Roman" w:cs="Times New Roman"/>
                <w:i w:val="0"/>
                <w:color w:val="000000"/>
                <w:sz w:val="20"/>
                <w:szCs w:val="20"/>
                <w:u w:val="none"/>
              </w:rPr>
            </w:pPr>
          </w:p>
        </w:tc>
        <w:tc>
          <w:tcPr>
            <w:tcW w:w="448" w:type="dxa"/>
            <w:tcBorders>
              <w:left w:val="single" w:color="232323" w:sz="4" w:space="0"/>
              <w:bottom w:val="single" w:color="232323" w:sz="4" w:space="0"/>
              <w:right w:val="single" w:color="232323" w:sz="4" w:space="0"/>
            </w:tcBorders>
            <w:shd w:val="clear"/>
            <w:vAlign w:val="bottom"/>
          </w:tcPr>
          <w:p>
            <w:pPr>
              <w:jc w:val="left"/>
              <w:rPr>
                <w:rFonts w:hint="default" w:ascii="Times New Roman" w:hAnsi="Times New Roman" w:cs="Times New Roman"/>
                <w:i w:val="0"/>
                <w:color w:val="000000"/>
                <w:sz w:val="20"/>
                <w:szCs w:val="20"/>
                <w:u w:val="none"/>
              </w:rPr>
            </w:pPr>
          </w:p>
        </w:tc>
        <w:tc>
          <w:tcPr>
            <w:tcW w:w="448" w:type="dxa"/>
            <w:tcBorders>
              <w:top w:val="single" w:color="232323" w:sz="4" w:space="0"/>
              <w:left w:val="single" w:color="232323" w:sz="4" w:space="0"/>
              <w:right w:val="single" w:color="232323" w:sz="4" w:space="0"/>
            </w:tcBorders>
            <w:shd w:val="clear"/>
            <w:vAlign w:val="center"/>
          </w:tcPr>
          <w:p>
            <w:pPr>
              <w:keepNext w:val="0"/>
              <w:keepLines w:val="0"/>
              <w:widowControl/>
              <w:suppressLineNumbers w:val="0"/>
              <w:jc w:val="center"/>
              <w:textAlignment w:val="center"/>
              <w:rPr>
                <w:rFonts w:hint="default" w:ascii="Times New Roman" w:hAnsi="Times New Roman"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67%</w:t>
            </w:r>
          </w:p>
        </w:tc>
        <w:tc>
          <w:tcPr>
            <w:tcW w:w="432" w:type="dxa"/>
            <w:tcBorders>
              <w:left w:val="single" w:color="232323" w:sz="4" w:space="0"/>
              <w:bottom w:val="single" w:color="232323" w:sz="4" w:space="0"/>
              <w:right w:val="single" w:color="232323" w:sz="4" w:space="0"/>
            </w:tcBorders>
            <w:shd w:val="clear"/>
            <w:vAlign w:val="center"/>
          </w:tcPr>
          <w:p>
            <w:pPr>
              <w:keepNext w:val="0"/>
              <w:keepLines w:val="0"/>
              <w:widowControl/>
              <w:suppressLineNumbers w:val="0"/>
              <w:jc w:val="left"/>
              <w:textAlignment w:val="center"/>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w:t>
            </w:r>
          </w:p>
        </w:tc>
        <w:tc>
          <w:tcPr>
            <w:tcW w:w="280" w:type="dxa"/>
            <w:tcBorders>
              <w:left w:val="single" w:color="232323" w:sz="4" w:space="0"/>
              <w:bottom w:val="single" w:color="232323" w:sz="4" w:space="0"/>
              <w:right w:val="single" w:color="232323" w:sz="4" w:space="0"/>
            </w:tcBorders>
            <w:shd w:val="clear"/>
            <w:vAlign w:val="center"/>
          </w:tcPr>
          <w:p>
            <w:pPr>
              <w:keepNext w:val="0"/>
              <w:keepLines w:val="0"/>
              <w:widowControl/>
              <w:suppressLineNumbers w:val="0"/>
              <w:jc w:val="left"/>
              <w:textAlignment w:val="center"/>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6.7</w:t>
            </w:r>
          </w:p>
        </w:tc>
        <w:tc>
          <w:tcPr>
            <w:tcW w:w="516" w:type="dxa"/>
            <w:tcBorders>
              <w:left w:val="single" w:color="232323" w:sz="4" w:space="0"/>
              <w:bottom w:val="single" w:color="232323" w:sz="4" w:space="0"/>
              <w:right w:val="single" w:color="232323" w:sz="4" w:space="0"/>
            </w:tcBorders>
            <w:shd w:val="clear"/>
            <w:vAlign w:val="center"/>
          </w:tcPr>
          <w:p>
            <w:pPr>
              <w:keepNext w:val="0"/>
              <w:keepLines w:val="0"/>
              <w:widowControl/>
              <w:suppressLineNumbers w:val="0"/>
              <w:jc w:val="left"/>
              <w:textAlignment w:val="center"/>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w:t>
            </w:r>
          </w:p>
        </w:tc>
        <w:tc>
          <w:tcPr>
            <w:tcW w:w="480" w:type="dxa"/>
            <w:tcBorders>
              <w:left w:val="single" w:color="232323" w:sz="4" w:space="0"/>
              <w:bottom w:val="single" w:color="232323" w:sz="4" w:space="0"/>
              <w:right w:val="single" w:color="232323" w:sz="4" w:space="0"/>
            </w:tcBorders>
            <w:shd w:val="clear"/>
            <w:vAlign w:val="bottom"/>
          </w:tcPr>
          <w:p>
            <w:pPr>
              <w:jc w:val="left"/>
              <w:rPr>
                <w:rFonts w:hint="default" w:ascii="Times New Roman" w:hAnsi="Times New Roman" w:cs="Times New Roman"/>
                <w:i w:val="0"/>
                <w:color w:val="000000"/>
                <w:sz w:val="20"/>
                <w:szCs w:val="20"/>
                <w:u w:val="none"/>
              </w:rPr>
            </w:pPr>
          </w:p>
        </w:tc>
        <w:tc>
          <w:tcPr>
            <w:tcW w:w="508" w:type="dxa"/>
            <w:tcBorders>
              <w:left w:val="single" w:color="232323" w:sz="4" w:space="0"/>
              <w:bottom w:val="single" w:color="232323" w:sz="4" w:space="0"/>
              <w:right w:val="single" w:color="232323" w:sz="4" w:space="0"/>
            </w:tcBorders>
            <w:shd w:val="clear"/>
            <w:vAlign w:val="bottom"/>
          </w:tcPr>
          <w:p>
            <w:pPr>
              <w:jc w:val="left"/>
              <w:rPr>
                <w:rFonts w:hint="default" w:ascii="Times New Roman" w:hAnsi="Times New Roman" w:cs="Times New Roman"/>
                <w:i w:val="0"/>
                <w:color w:val="000000"/>
                <w:sz w:val="20"/>
                <w:szCs w:val="20"/>
                <w:u w:val="none"/>
              </w:rPr>
            </w:pPr>
          </w:p>
        </w:tc>
        <w:tc>
          <w:tcPr>
            <w:tcW w:w="524" w:type="dxa"/>
            <w:tcBorders>
              <w:left w:val="single" w:color="232323" w:sz="4" w:space="0"/>
              <w:bottom w:val="single" w:color="232323" w:sz="4" w:space="0"/>
              <w:right w:val="single" w:color="232323" w:sz="4" w:space="0"/>
            </w:tcBorders>
            <w:shd w:val="clear"/>
            <w:vAlign w:val="bottom"/>
          </w:tcPr>
          <w:p>
            <w:pPr>
              <w:jc w:val="left"/>
              <w:rPr>
                <w:rFonts w:hint="default" w:ascii="Times New Roman" w:hAnsi="Times New Roman" w:cs="Times New Roman"/>
                <w:i w:val="0"/>
                <w:color w:val="000000"/>
                <w:sz w:val="20"/>
                <w:szCs w:val="20"/>
                <w:u w:val="none"/>
              </w:rPr>
            </w:pPr>
          </w:p>
        </w:tc>
        <w:tc>
          <w:tcPr>
            <w:tcW w:w="673" w:type="dxa"/>
            <w:tcBorders>
              <w:left w:val="single" w:color="232323" w:sz="4" w:space="0"/>
              <w:bottom w:val="single" w:color="232323" w:sz="4" w:space="0"/>
              <w:right w:val="single" w:color="232323" w:sz="4" w:space="0"/>
            </w:tcBorders>
            <w:shd w:val="clear"/>
            <w:vAlign w:val="bottom"/>
          </w:tcPr>
          <w:p>
            <w:pPr>
              <w:jc w:val="left"/>
              <w:rPr>
                <w:rFonts w:hint="default" w:ascii="Times New Roman" w:hAnsi="Times New Roman" w:cs="Times New Roman"/>
                <w:i w:val="0"/>
                <w:color w:val="000000"/>
                <w:sz w:val="20"/>
                <w:szCs w:val="20"/>
                <w:u w:val="none"/>
              </w:rPr>
            </w:pPr>
          </w:p>
        </w:tc>
        <w:tc>
          <w:tcPr>
            <w:tcW w:w="1291" w:type="dxa"/>
            <w:gridSpan w:val="3"/>
            <w:tcBorders>
              <w:left w:val="single" w:color="232323" w:sz="4" w:space="0"/>
              <w:bottom w:val="single" w:color="232323" w:sz="4" w:space="0"/>
              <w:right w:val="single" w:color="232323" w:sz="4" w:space="0"/>
            </w:tcBorders>
            <w:shd w:val="clear"/>
            <w:vAlign w:val="bottom"/>
          </w:tcPr>
          <w:p>
            <w:pPr>
              <w:jc w:val="left"/>
              <w:rPr>
                <w:rFonts w:hint="default" w:ascii="Times New Roman" w:hAnsi="Times New Roman"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81" w:hRule="atLeast"/>
        </w:trPr>
        <w:tc>
          <w:tcPr>
            <w:tcW w:w="409" w:type="dxa"/>
            <w:vMerge w:val="continue"/>
            <w:tcBorders>
              <w:top w:val="single" w:color="232323"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0"/>
                <w:szCs w:val="20"/>
                <w:u w:val="none"/>
              </w:rPr>
            </w:pPr>
          </w:p>
        </w:tc>
        <w:tc>
          <w:tcPr>
            <w:tcW w:w="210" w:type="dxa"/>
            <w:vMerge w:val="restart"/>
            <w:tcBorders>
              <w:top w:val="single" w:color="232323" w:sz="4" w:space="0"/>
              <w:right w:val="single" w:color="232323"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管理效率</w:t>
            </w:r>
          </w:p>
        </w:tc>
        <w:tc>
          <w:tcPr>
            <w:tcW w:w="387" w:type="dxa"/>
            <w:tcBorders>
              <w:top w:val="single" w:color="232323" w:sz="4" w:space="0"/>
              <w:left w:val="single" w:color="232323" w:sz="4" w:space="0"/>
              <w:bottom w:val="single" w:color="232323" w:sz="4" w:space="0"/>
              <w:right w:val="single" w:color="232323"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预算编制管理</w:t>
            </w:r>
          </w:p>
        </w:tc>
        <w:tc>
          <w:tcPr>
            <w:tcW w:w="756" w:type="dxa"/>
            <w:tcBorders>
              <w:top w:val="single" w:color="232323" w:sz="4" w:space="0"/>
              <w:left w:val="single" w:color="232323" w:sz="4" w:space="0"/>
              <w:bottom w:val="single" w:color="232323" w:sz="4" w:space="0"/>
            </w:tcBorders>
            <w:shd w:val="clear"/>
            <w:vAlign w:val="bottom"/>
          </w:tcPr>
          <w:p>
            <w:pPr>
              <w:keepNext w:val="0"/>
              <w:keepLines w:val="0"/>
              <w:widowControl/>
              <w:suppressLineNumbers w:val="0"/>
              <w:jc w:val="left"/>
              <w:textAlignment w:val="bottom"/>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预算编制的规范性、科学性</w:t>
            </w:r>
          </w:p>
        </w:tc>
        <w:tc>
          <w:tcPr>
            <w:tcW w:w="147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default" w:ascii="仿宋_GB2312" w:hAnsi="Times New Roman" w:eastAsia="仿宋_GB2312" w:cs="仿宋_GB2312"/>
                <w:i w:val="0"/>
                <w:color w:val="000000"/>
                <w:sz w:val="18"/>
                <w:szCs w:val="18"/>
                <w:u w:val="none"/>
              </w:rPr>
            </w:pPr>
          </w:p>
        </w:tc>
        <w:tc>
          <w:tcPr>
            <w:tcW w:w="372" w:type="dxa"/>
            <w:tcBorders>
              <w:top w:val="single" w:color="232323" w:sz="4" w:space="0"/>
              <w:bottom w:val="single" w:color="232323" w:sz="4" w:space="0"/>
              <w:right w:val="single" w:color="232323" w:sz="4" w:space="0"/>
            </w:tcBorders>
            <w:shd w:val="clear"/>
            <w:vAlign w:val="bottom"/>
          </w:tcPr>
          <w:p>
            <w:pPr>
              <w:jc w:val="left"/>
              <w:rPr>
                <w:rFonts w:hint="default" w:ascii="Times New Roman" w:hAnsi="Times New Roman" w:cs="Times New Roman"/>
                <w:i w:val="0"/>
                <w:color w:val="000000"/>
                <w:sz w:val="20"/>
                <w:szCs w:val="20"/>
                <w:u w:val="none"/>
              </w:rPr>
            </w:pPr>
          </w:p>
        </w:tc>
        <w:tc>
          <w:tcPr>
            <w:tcW w:w="329" w:type="dxa"/>
            <w:tcBorders>
              <w:top w:val="single" w:color="232323" w:sz="4" w:space="0"/>
              <w:left w:val="single" w:color="232323" w:sz="4" w:space="0"/>
              <w:bottom w:val="single" w:color="232323" w:sz="4" w:space="0"/>
              <w:right w:val="single" w:color="232323" w:sz="4" w:space="0"/>
            </w:tcBorders>
            <w:shd w:val="clear"/>
            <w:vAlign w:val="bottom"/>
          </w:tcPr>
          <w:p>
            <w:pPr>
              <w:jc w:val="left"/>
              <w:rPr>
                <w:rFonts w:hint="default" w:ascii="Times New Roman" w:hAnsi="Times New Roman" w:cs="Times New Roman"/>
                <w:i w:val="0"/>
                <w:color w:val="000000"/>
                <w:sz w:val="20"/>
                <w:szCs w:val="20"/>
                <w:u w:val="none"/>
              </w:rPr>
            </w:pPr>
          </w:p>
        </w:tc>
        <w:tc>
          <w:tcPr>
            <w:tcW w:w="448" w:type="dxa"/>
            <w:tcBorders>
              <w:top w:val="single" w:color="232323" w:sz="4" w:space="0"/>
              <w:left w:val="single" w:color="232323" w:sz="4" w:space="0"/>
              <w:bottom w:val="single" w:color="232323" w:sz="4" w:space="0"/>
              <w:right w:val="single" w:color="232323" w:sz="4" w:space="0"/>
            </w:tcBorders>
            <w:shd w:val="clear"/>
            <w:vAlign w:val="bottom"/>
          </w:tcPr>
          <w:p>
            <w:pPr>
              <w:jc w:val="left"/>
              <w:rPr>
                <w:rFonts w:hint="default" w:ascii="Times New Roman" w:hAnsi="Times New Roman" w:cs="Times New Roman"/>
                <w:i w:val="0"/>
                <w:color w:val="000000"/>
                <w:sz w:val="20"/>
                <w:szCs w:val="20"/>
                <w:u w:val="none"/>
              </w:rPr>
            </w:pPr>
          </w:p>
        </w:tc>
        <w:tc>
          <w:tcPr>
            <w:tcW w:w="448" w:type="dxa"/>
            <w:tcBorders>
              <w:top w:val="single" w:color="232323" w:sz="4" w:space="0"/>
              <w:left w:val="single" w:color="232323" w:sz="4" w:space="0"/>
              <w:right w:val="single" w:color="232323" w:sz="4" w:space="0"/>
            </w:tcBorders>
            <w:shd w:val="clear"/>
            <w:vAlign w:val="center"/>
          </w:tcPr>
          <w:p>
            <w:pPr>
              <w:keepNext w:val="0"/>
              <w:keepLines w:val="0"/>
              <w:widowControl/>
              <w:suppressLineNumbers w:val="0"/>
              <w:jc w:val="center"/>
              <w:textAlignment w:val="center"/>
              <w:rPr>
                <w:rFonts w:hint="default" w:ascii="Times New Roman" w:hAnsi="Times New Roman"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100%</w:t>
            </w:r>
          </w:p>
        </w:tc>
        <w:tc>
          <w:tcPr>
            <w:tcW w:w="432" w:type="dxa"/>
            <w:tcBorders>
              <w:top w:val="single" w:color="232323" w:sz="4" w:space="0"/>
              <w:left w:val="single" w:color="232323" w:sz="4" w:space="0"/>
              <w:bottom w:val="single" w:color="232323" w:sz="4" w:space="0"/>
              <w:right w:val="single" w:color="232323" w:sz="4" w:space="0"/>
            </w:tcBorders>
            <w:shd w:val="clear"/>
            <w:vAlign w:val="center"/>
          </w:tcPr>
          <w:p>
            <w:pPr>
              <w:keepNext w:val="0"/>
              <w:keepLines w:val="0"/>
              <w:widowControl/>
              <w:suppressLineNumbers w:val="0"/>
              <w:jc w:val="left"/>
              <w:textAlignment w:val="center"/>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5</w:t>
            </w:r>
          </w:p>
        </w:tc>
        <w:tc>
          <w:tcPr>
            <w:tcW w:w="280" w:type="dxa"/>
            <w:tcBorders>
              <w:top w:val="single" w:color="232323" w:sz="4" w:space="0"/>
              <w:left w:val="single" w:color="232323" w:sz="4" w:space="0"/>
              <w:bottom w:val="single" w:color="232323" w:sz="4" w:space="0"/>
              <w:right w:val="single" w:color="232323" w:sz="4" w:space="0"/>
            </w:tcBorders>
            <w:shd w:val="clear"/>
            <w:vAlign w:val="center"/>
          </w:tcPr>
          <w:p>
            <w:pPr>
              <w:keepNext w:val="0"/>
              <w:keepLines w:val="0"/>
              <w:widowControl/>
              <w:suppressLineNumbers w:val="0"/>
              <w:jc w:val="left"/>
              <w:textAlignment w:val="center"/>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5</w:t>
            </w:r>
          </w:p>
        </w:tc>
        <w:tc>
          <w:tcPr>
            <w:tcW w:w="516" w:type="dxa"/>
            <w:tcBorders>
              <w:top w:val="single" w:color="232323" w:sz="4" w:space="0"/>
              <w:left w:val="single" w:color="232323" w:sz="4" w:space="0"/>
              <w:bottom w:val="single" w:color="232323" w:sz="4" w:space="0"/>
              <w:right w:val="single" w:color="232323" w:sz="4" w:space="0"/>
            </w:tcBorders>
            <w:shd w:val="clear"/>
            <w:vAlign w:val="bottom"/>
          </w:tcPr>
          <w:p>
            <w:pPr>
              <w:jc w:val="left"/>
              <w:rPr>
                <w:rFonts w:hint="default" w:ascii="Times New Roman" w:hAnsi="Times New Roman" w:cs="Times New Roman"/>
                <w:i w:val="0"/>
                <w:color w:val="000000"/>
                <w:sz w:val="20"/>
                <w:szCs w:val="20"/>
                <w:u w:val="none"/>
              </w:rPr>
            </w:pPr>
          </w:p>
        </w:tc>
        <w:tc>
          <w:tcPr>
            <w:tcW w:w="480" w:type="dxa"/>
            <w:tcBorders>
              <w:top w:val="single" w:color="232323" w:sz="4" w:space="0"/>
              <w:left w:val="single" w:color="232323" w:sz="4" w:space="0"/>
              <w:bottom w:val="single" w:color="232323" w:sz="4" w:space="0"/>
              <w:right w:val="single" w:color="232323" w:sz="4" w:space="0"/>
            </w:tcBorders>
            <w:shd w:val="clear"/>
            <w:vAlign w:val="bottom"/>
          </w:tcPr>
          <w:p>
            <w:pPr>
              <w:jc w:val="left"/>
              <w:rPr>
                <w:rFonts w:hint="default" w:ascii="Times New Roman" w:hAnsi="Times New Roman" w:cs="Times New Roman"/>
                <w:i w:val="0"/>
                <w:color w:val="000000"/>
                <w:sz w:val="20"/>
                <w:szCs w:val="20"/>
                <w:u w:val="none"/>
              </w:rPr>
            </w:pPr>
          </w:p>
        </w:tc>
        <w:tc>
          <w:tcPr>
            <w:tcW w:w="508" w:type="dxa"/>
            <w:tcBorders>
              <w:top w:val="single" w:color="232323" w:sz="4" w:space="0"/>
              <w:left w:val="single" w:color="232323" w:sz="4" w:space="0"/>
              <w:bottom w:val="single" w:color="232323" w:sz="4" w:space="0"/>
              <w:right w:val="single" w:color="232323" w:sz="4" w:space="0"/>
            </w:tcBorders>
            <w:shd w:val="clear"/>
            <w:vAlign w:val="bottom"/>
          </w:tcPr>
          <w:p>
            <w:pPr>
              <w:jc w:val="left"/>
              <w:rPr>
                <w:rFonts w:hint="default" w:ascii="Times New Roman" w:hAnsi="Times New Roman" w:cs="Times New Roman"/>
                <w:i w:val="0"/>
                <w:color w:val="000000"/>
                <w:sz w:val="20"/>
                <w:szCs w:val="20"/>
                <w:u w:val="none"/>
              </w:rPr>
            </w:pPr>
          </w:p>
        </w:tc>
        <w:tc>
          <w:tcPr>
            <w:tcW w:w="524" w:type="dxa"/>
            <w:tcBorders>
              <w:top w:val="single" w:color="232323" w:sz="4" w:space="0"/>
              <w:left w:val="single" w:color="232323" w:sz="4" w:space="0"/>
              <w:bottom w:val="single" w:color="232323" w:sz="4" w:space="0"/>
              <w:right w:val="single" w:color="232323" w:sz="4" w:space="0"/>
            </w:tcBorders>
            <w:shd w:val="clear"/>
            <w:vAlign w:val="bottom"/>
          </w:tcPr>
          <w:p>
            <w:pPr>
              <w:jc w:val="left"/>
              <w:rPr>
                <w:rFonts w:hint="default" w:ascii="Times New Roman" w:hAnsi="Times New Roman" w:cs="Times New Roman"/>
                <w:i w:val="0"/>
                <w:color w:val="000000"/>
                <w:sz w:val="20"/>
                <w:szCs w:val="20"/>
                <w:u w:val="none"/>
              </w:rPr>
            </w:pPr>
          </w:p>
        </w:tc>
        <w:tc>
          <w:tcPr>
            <w:tcW w:w="673" w:type="dxa"/>
            <w:tcBorders>
              <w:top w:val="single" w:color="232323" w:sz="4" w:space="0"/>
              <w:left w:val="single" w:color="232323" w:sz="4" w:space="0"/>
              <w:bottom w:val="single" w:color="232323" w:sz="4" w:space="0"/>
              <w:right w:val="single" w:color="232323" w:sz="4" w:space="0"/>
            </w:tcBorders>
            <w:shd w:val="clear"/>
            <w:vAlign w:val="bottom"/>
          </w:tcPr>
          <w:p>
            <w:pPr>
              <w:jc w:val="left"/>
              <w:rPr>
                <w:rFonts w:hint="default" w:ascii="Times New Roman" w:hAnsi="Times New Roman" w:cs="Times New Roman"/>
                <w:i w:val="0"/>
                <w:color w:val="000000"/>
                <w:sz w:val="20"/>
                <w:szCs w:val="20"/>
                <w:u w:val="none"/>
              </w:rPr>
            </w:pPr>
          </w:p>
        </w:tc>
        <w:tc>
          <w:tcPr>
            <w:tcW w:w="1291" w:type="dxa"/>
            <w:gridSpan w:val="3"/>
            <w:tcBorders>
              <w:top w:val="single" w:color="232323" w:sz="4" w:space="0"/>
              <w:left w:val="single" w:color="232323" w:sz="4" w:space="0"/>
              <w:bottom w:val="single" w:color="232323" w:sz="4" w:space="0"/>
              <w:right w:val="single" w:color="232323" w:sz="4" w:space="0"/>
            </w:tcBorders>
            <w:shd w:val="clear"/>
            <w:vAlign w:val="bottom"/>
          </w:tcPr>
          <w:p>
            <w:pPr>
              <w:jc w:val="left"/>
              <w:rPr>
                <w:rFonts w:hint="default" w:ascii="Times New Roman" w:hAnsi="Times New Roman"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75" w:hRule="atLeast"/>
        </w:trPr>
        <w:tc>
          <w:tcPr>
            <w:tcW w:w="409" w:type="dxa"/>
            <w:vMerge w:val="continue"/>
            <w:tcBorders>
              <w:top w:val="single" w:color="232323"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0"/>
                <w:szCs w:val="20"/>
                <w:u w:val="none"/>
              </w:rPr>
            </w:pPr>
          </w:p>
        </w:tc>
        <w:tc>
          <w:tcPr>
            <w:tcW w:w="210" w:type="dxa"/>
            <w:vMerge w:val="continue"/>
            <w:tcBorders>
              <w:top w:val="single" w:color="232323" w:sz="4" w:space="0"/>
              <w:right w:val="single" w:color="232323" w:sz="4" w:space="0"/>
            </w:tcBorders>
            <w:shd w:val="clear"/>
            <w:vAlign w:val="center"/>
          </w:tcPr>
          <w:p>
            <w:pPr>
              <w:jc w:val="left"/>
              <w:rPr>
                <w:rFonts w:hint="eastAsia" w:ascii="宋体" w:hAnsi="宋体" w:eastAsia="宋体" w:cs="宋体"/>
                <w:i w:val="0"/>
                <w:color w:val="000000"/>
                <w:sz w:val="18"/>
                <w:szCs w:val="18"/>
                <w:u w:val="none"/>
              </w:rPr>
            </w:pPr>
          </w:p>
        </w:tc>
        <w:tc>
          <w:tcPr>
            <w:tcW w:w="387" w:type="dxa"/>
            <w:tcBorders>
              <w:top w:val="single" w:color="232323" w:sz="4" w:space="0"/>
              <w:left w:val="single" w:color="232323" w:sz="4" w:space="0"/>
              <w:bottom w:val="single" w:color="232323" w:sz="4" w:space="0"/>
              <w:right w:val="single" w:color="232323"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预算监督管理</w:t>
            </w:r>
          </w:p>
        </w:tc>
        <w:tc>
          <w:tcPr>
            <w:tcW w:w="756" w:type="dxa"/>
            <w:tcBorders>
              <w:top w:val="single" w:color="232323" w:sz="4" w:space="0"/>
              <w:left w:val="single" w:color="232323" w:sz="4" w:space="0"/>
              <w:bottom w:val="single" w:color="232323" w:sz="4" w:space="0"/>
            </w:tcBorders>
            <w:shd w:val="clear"/>
            <w:vAlign w:val="bottom"/>
          </w:tcPr>
          <w:p>
            <w:pPr>
              <w:keepNext w:val="0"/>
              <w:keepLines w:val="0"/>
              <w:widowControl/>
              <w:suppressLineNumbers w:val="0"/>
              <w:jc w:val="left"/>
              <w:textAlignment w:val="bottom"/>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预决算信息公开程度</w:t>
            </w:r>
          </w:p>
        </w:tc>
        <w:tc>
          <w:tcPr>
            <w:tcW w:w="147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default" w:ascii="仿宋_GB2312" w:hAnsi="Times New Roman" w:eastAsia="仿宋_GB2312" w:cs="仿宋_GB2312"/>
                <w:i w:val="0"/>
                <w:color w:val="000000"/>
                <w:sz w:val="18"/>
                <w:szCs w:val="18"/>
                <w:u w:val="none"/>
              </w:rPr>
            </w:pPr>
          </w:p>
        </w:tc>
        <w:tc>
          <w:tcPr>
            <w:tcW w:w="372" w:type="dxa"/>
            <w:tcBorders>
              <w:top w:val="single" w:color="232323" w:sz="4" w:space="0"/>
              <w:bottom w:val="single" w:color="232323" w:sz="4" w:space="0"/>
              <w:right w:val="single" w:color="232323" w:sz="4" w:space="0"/>
            </w:tcBorders>
            <w:shd w:val="clear"/>
            <w:vAlign w:val="bottom"/>
          </w:tcPr>
          <w:p>
            <w:pPr>
              <w:jc w:val="left"/>
              <w:rPr>
                <w:rFonts w:hint="default" w:ascii="Times New Roman" w:hAnsi="Times New Roman" w:cs="Times New Roman"/>
                <w:i w:val="0"/>
                <w:color w:val="000000"/>
                <w:sz w:val="20"/>
                <w:szCs w:val="20"/>
                <w:u w:val="none"/>
              </w:rPr>
            </w:pPr>
          </w:p>
        </w:tc>
        <w:tc>
          <w:tcPr>
            <w:tcW w:w="329" w:type="dxa"/>
            <w:tcBorders>
              <w:top w:val="single" w:color="232323" w:sz="4" w:space="0"/>
              <w:left w:val="single" w:color="232323" w:sz="4" w:space="0"/>
              <w:bottom w:val="single" w:color="232323" w:sz="4" w:space="0"/>
              <w:right w:val="single" w:color="232323" w:sz="4" w:space="0"/>
            </w:tcBorders>
            <w:shd w:val="clear"/>
            <w:vAlign w:val="bottom"/>
          </w:tcPr>
          <w:p>
            <w:pPr>
              <w:jc w:val="left"/>
              <w:rPr>
                <w:rFonts w:hint="default" w:ascii="Times New Roman" w:hAnsi="Times New Roman" w:cs="Times New Roman"/>
                <w:i w:val="0"/>
                <w:color w:val="000000"/>
                <w:sz w:val="20"/>
                <w:szCs w:val="20"/>
                <w:u w:val="none"/>
              </w:rPr>
            </w:pPr>
          </w:p>
        </w:tc>
        <w:tc>
          <w:tcPr>
            <w:tcW w:w="448" w:type="dxa"/>
            <w:tcBorders>
              <w:top w:val="single" w:color="232323" w:sz="4" w:space="0"/>
              <w:left w:val="single" w:color="232323" w:sz="4" w:space="0"/>
              <w:bottom w:val="single" w:color="232323" w:sz="4" w:space="0"/>
              <w:right w:val="single" w:color="232323" w:sz="4" w:space="0"/>
            </w:tcBorders>
            <w:shd w:val="clear"/>
            <w:vAlign w:val="bottom"/>
          </w:tcPr>
          <w:p>
            <w:pPr>
              <w:jc w:val="left"/>
              <w:rPr>
                <w:rFonts w:hint="default" w:ascii="Times New Roman" w:hAnsi="Times New Roman" w:cs="Times New Roman"/>
                <w:i w:val="0"/>
                <w:color w:val="000000"/>
                <w:sz w:val="20"/>
                <w:szCs w:val="20"/>
                <w:u w:val="none"/>
              </w:rPr>
            </w:pPr>
          </w:p>
        </w:tc>
        <w:tc>
          <w:tcPr>
            <w:tcW w:w="448" w:type="dxa"/>
            <w:tcBorders>
              <w:top w:val="single" w:color="232323" w:sz="4" w:space="0"/>
              <w:left w:val="single" w:color="232323" w:sz="4" w:space="0"/>
              <w:right w:val="single" w:color="232323" w:sz="4" w:space="0"/>
            </w:tcBorders>
            <w:shd w:val="clear"/>
            <w:vAlign w:val="center"/>
          </w:tcPr>
          <w:p>
            <w:pPr>
              <w:keepNext w:val="0"/>
              <w:keepLines w:val="0"/>
              <w:widowControl/>
              <w:suppressLineNumbers w:val="0"/>
              <w:jc w:val="center"/>
              <w:textAlignment w:val="center"/>
              <w:rPr>
                <w:rFonts w:hint="default" w:ascii="Times New Roman" w:hAnsi="Times New Roman"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100%</w:t>
            </w:r>
          </w:p>
        </w:tc>
        <w:tc>
          <w:tcPr>
            <w:tcW w:w="432" w:type="dxa"/>
            <w:tcBorders>
              <w:top w:val="single" w:color="232323" w:sz="4" w:space="0"/>
              <w:left w:val="single" w:color="232323" w:sz="4" w:space="0"/>
              <w:bottom w:val="single" w:color="232323" w:sz="4" w:space="0"/>
              <w:right w:val="single" w:color="232323" w:sz="4" w:space="0"/>
            </w:tcBorders>
            <w:shd w:val="clear"/>
            <w:vAlign w:val="center"/>
          </w:tcPr>
          <w:p>
            <w:pPr>
              <w:keepNext w:val="0"/>
              <w:keepLines w:val="0"/>
              <w:widowControl/>
              <w:suppressLineNumbers w:val="0"/>
              <w:jc w:val="left"/>
              <w:textAlignment w:val="center"/>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5</w:t>
            </w:r>
          </w:p>
        </w:tc>
        <w:tc>
          <w:tcPr>
            <w:tcW w:w="280" w:type="dxa"/>
            <w:tcBorders>
              <w:top w:val="single" w:color="232323" w:sz="4" w:space="0"/>
              <w:left w:val="single" w:color="232323" w:sz="4" w:space="0"/>
              <w:bottom w:val="single" w:color="232323" w:sz="4" w:space="0"/>
              <w:right w:val="single" w:color="232323" w:sz="4" w:space="0"/>
            </w:tcBorders>
            <w:shd w:val="clear"/>
            <w:vAlign w:val="center"/>
          </w:tcPr>
          <w:p>
            <w:pPr>
              <w:keepNext w:val="0"/>
              <w:keepLines w:val="0"/>
              <w:widowControl/>
              <w:suppressLineNumbers w:val="0"/>
              <w:jc w:val="left"/>
              <w:textAlignment w:val="center"/>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5</w:t>
            </w:r>
          </w:p>
        </w:tc>
        <w:tc>
          <w:tcPr>
            <w:tcW w:w="516" w:type="dxa"/>
            <w:tcBorders>
              <w:top w:val="single" w:color="232323" w:sz="4" w:space="0"/>
              <w:left w:val="single" w:color="232323" w:sz="4" w:space="0"/>
              <w:bottom w:val="single" w:color="232323" w:sz="4" w:space="0"/>
              <w:right w:val="single" w:color="232323" w:sz="4" w:space="0"/>
            </w:tcBorders>
            <w:shd w:val="clear"/>
            <w:vAlign w:val="bottom"/>
          </w:tcPr>
          <w:p>
            <w:pPr>
              <w:jc w:val="left"/>
              <w:rPr>
                <w:rFonts w:hint="default" w:ascii="Times New Roman" w:hAnsi="Times New Roman" w:cs="Times New Roman"/>
                <w:i w:val="0"/>
                <w:color w:val="000000"/>
                <w:sz w:val="20"/>
                <w:szCs w:val="20"/>
                <w:u w:val="none"/>
              </w:rPr>
            </w:pPr>
          </w:p>
        </w:tc>
        <w:tc>
          <w:tcPr>
            <w:tcW w:w="480" w:type="dxa"/>
            <w:tcBorders>
              <w:top w:val="single" w:color="232323" w:sz="4" w:space="0"/>
              <w:left w:val="single" w:color="232323" w:sz="4" w:space="0"/>
              <w:bottom w:val="single" w:color="232323" w:sz="4" w:space="0"/>
              <w:right w:val="single" w:color="232323" w:sz="4" w:space="0"/>
            </w:tcBorders>
            <w:shd w:val="clear"/>
            <w:vAlign w:val="bottom"/>
          </w:tcPr>
          <w:p>
            <w:pPr>
              <w:jc w:val="left"/>
              <w:rPr>
                <w:rFonts w:hint="default" w:ascii="Times New Roman" w:hAnsi="Times New Roman" w:cs="Times New Roman"/>
                <w:i w:val="0"/>
                <w:color w:val="000000"/>
                <w:sz w:val="20"/>
                <w:szCs w:val="20"/>
                <w:u w:val="none"/>
              </w:rPr>
            </w:pPr>
          </w:p>
        </w:tc>
        <w:tc>
          <w:tcPr>
            <w:tcW w:w="508" w:type="dxa"/>
            <w:tcBorders>
              <w:top w:val="single" w:color="232323" w:sz="4" w:space="0"/>
              <w:left w:val="single" w:color="232323" w:sz="4" w:space="0"/>
              <w:bottom w:val="single" w:color="232323" w:sz="4" w:space="0"/>
              <w:right w:val="single" w:color="232323" w:sz="4" w:space="0"/>
            </w:tcBorders>
            <w:shd w:val="clear"/>
            <w:vAlign w:val="bottom"/>
          </w:tcPr>
          <w:p>
            <w:pPr>
              <w:jc w:val="left"/>
              <w:rPr>
                <w:rFonts w:hint="default" w:ascii="Times New Roman" w:hAnsi="Times New Roman" w:cs="Times New Roman"/>
                <w:i w:val="0"/>
                <w:color w:val="000000"/>
                <w:sz w:val="20"/>
                <w:szCs w:val="20"/>
                <w:u w:val="none"/>
              </w:rPr>
            </w:pPr>
          </w:p>
        </w:tc>
        <w:tc>
          <w:tcPr>
            <w:tcW w:w="524" w:type="dxa"/>
            <w:tcBorders>
              <w:top w:val="single" w:color="232323" w:sz="4" w:space="0"/>
              <w:left w:val="single" w:color="232323" w:sz="4" w:space="0"/>
              <w:bottom w:val="single" w:color="232323" w:sz="4" w:space="0"/>
              <w:right w:val="single" w:color="232323" w:sz="4" w:space="0"/>
            </w:tcBorders>
            <w:shd w:val="clear"/>
            <w:vAlign w:val="bottom"/>
          </w:tcPr>
          <w:p>
            <w:pPr>
              <w:jc w:val="left"/>
              <w:rPr>
                <w:rFonts w:hint="default" w:ascii="Times New Roman" w:hAnsi="Times New Roman" w:cs="Times New Roman"/>
                <w:i w:val="0"/>
                <w:color w:val="000000"/>
                <w:sz w:val="20"/>
                <w:szCs w:val="20"/>
                <w:u w:val="none"/>
              </w:rPr>
            </w:pPr>
          </w:p>
        </w:tc>
        <w:tc>
          <w:tcPr>
            <w:tcW w:w="673" w:type="dxa"/>
            <w:tcBorders>
              <w:top w:val="single" w:color="232323" w:sz="4" w:space="0"/>
              <w:left w:val="single" w:color="232323" w:sz="4" w:space="0"/>
              <w:bottom w:val="single" w:color="232323" w:sz="4" w:space="0"/>
              <w:right w:val="single" w:color="232323" w:sz="4" w:space="0"/>
            </w:tcBorders>
            <w:shd w:val="clear"/>
            <w:vAlign w:val="bottom"/>
          </w:tcPr>
          <w:p>
            <w:pPr>
              <w:jc w:val="left"/>
              <w:rPr>
                <w:rFonts w:hint="default" w:ascii="Times New Roman" w:hAnsi="Times New Roman" w:cs="Times New Roman"/>
                <w:i w:val="0"/>
                <w:color w:val="000000"/>
                <w:sz w:val="20"/>
                <w:szCs w:val="20"/>
                <w:u w:val="none"/>
              </w:rPr>
            </w:pPr>
          </w:p>
        </w:tc>
        <w:tc>
          <w:tcPr>
            <w:tcW w:w="1291" w:type="dxa"/>
            <w:gridSpan w:val="3"/>
            <w:tcBorders>
              <w:top w:val="single" w:color="232323" w:sz="4" w:space="0"/>
              <w:left w:val="single" w:color="232323" w:sz="4" w:space="0"/>
              <w:bottom w:val="single" w:color="232323" w:sz="4" w:space="0"/>
              <w:right w:val="single" w:color="232323" w:sz="4" w:space="0"/>
            </w:tcBorders>
            <w:shd w:val="clear"/>
            <w:vAlign w:val="bottom"/>
          </w:tcPr>
          <w:p>
            <w:pPr>
              <w:jc w:val="left"/>
              <w:rPr>
                <w:rFonts w:hint="default" w:ascii="Times New Roman" w:hAnsi="Times New Roman"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90" w:hRule="atLeast"/>
        </w:trPr>
        <w:tc>
          <w:tcPr>
            <w:tcW w:w="409" w:type="dxa"/>
            <w:vMerge w:val="continue"/>
            <w:tcBorders>
              <w:top w:val="single" w:color="232323"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0"/>
                <w:szCs w:val="20"/>
                <w:u w:val="none"/>
              </w:rPr>
            </w:pPr>
          </w:p>
        </w:tc>
        <w:tc>
          <w:tcPr>
            <w:tcW w:w="210" w:type="dxa"/>
            <w:tcBorders>
              <w:top w:val="single" w:color="232323" w:sz="4" w:space="0"/>
              <w:right w:val="single" w:color="232323"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运行成本</w:t>
            </w:r>
          </w:p>
        </w:tc>
        <w:tc>
          <w:tcPr>
            <w:tcW w:w="387" w:type="dxa"/>
            <w:tcBorders>
              <w:top w:val="single" w:color="232323" w:sz="4" w:space="0"/>
              <w:left w:val="single" w:color="232323" w:sz="4" w:space="0"/>
              <w:bottom w:val="single" w:color="232323" w:sz="4" w:space="0"/>
              <w:right w:val="single" w:color="232323"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成本控制成效</w:t>
            </w:r>
          </w:p>
        </w:tc>
        <w:tc>
          <w:tcPr>
            <w:tcW w:w="756" w:type="dxa"/>
            <w:tcBorders>
              <w:top w:val="single" w:color="232323" w:sz="4" w:space="0"/>
              <w:left w:val="single" w:color="232323" w:sz="4" w:space="0"/>
              <w:bottom w:val="single" w:color="232323" w:sz="4" w:space="0"/>
            </w:tcBorders>
            <w:shd w:val="clear"/>
            <w:vAlign w:val="bottom"/>
          </w:tcPr>
          <w:p>
            <w:pPr>
              <w:keepNext w:val="0"/>
              <w:keepLines w:val="0"/>
              <w:widowControl/>
              <w:suppressLineNumbers w:val="0"/>
              <w:jc w:val="left"/>
              <w:textAlignment w:val="bottom"/>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在职人员经费变动率</w:t>
            </w:r>
          </w:p>
        </w:tc>
        <w:tc>
          <w:tcPr>
            <w:tcW w:w="147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default" w:ascii="仿宋_GB2312" w:hAnsi="Times New Roman" w:eastAsia="仿宋_GB2312" w:cs="仿宋_GB2312"/>
                <w:i w:val="0"/>
                <w:color w:val="000000"/>
                <w:sz w:val="18"/>
                <w:szCs w:val="18"/>
                <w:u w:val="none"/>
              </w:rPr>
            </w:pPr>
          </w:p>
        </w:tc>
        <w:tc>
          <w:tcPr>
            <w:tcW w:w="372" w:type="dxa"/>
            <w:tcBorders>
              <w:top w:val="single" w:color="232323" w:sz="4" w:space="0"/>
              <w:bottom w:val="single" w:color="232323" w:sz="4" w:space="0"/>
              <w:right w:val="single" w:color="232323" w:sz="4" w:space="0"/>
            </w:tcBorders>
            <w:shd w:val="clear"/>
            <w:vAlign w:val="bottom"/>
          </w:tcPr>
          <w:p>
            <w:pPr>
              <w:jc w:val="left"/>
              <w:rPr>
                <w:rFonts w:hint="default" w:ascii="Times New Roman" w:hAnsi="Times New Roman" w:cs="Times New Roman"/>
                <w:i w:val="0"/>
                <w:color w:val="000000"/>
                <w:sz w:val="20"/>
                <w:szCs w:val="20"/>
                <w:u w:val="none"/>
              </w:rPr>
            </w:pPr>
          </w:p>
        </w:tc>
        <w:tc>
          <w:tcPr>
            <w:tcW w:w="329" w:type="dxa"/>
            <w:tcBorders>
              <w:top w:val="single" w:color="232323" w:sz="4" w:space="0"/>
              <w:left w:val="single" w:color="232323" w:sz="4" w:space="0"/>
              <w:bottom w:val="single" w:color="232323" w:sz="4" w:space="0"/>
              <w:right w:val="single" w:color="232323" w:sz="4" w:space="0"/>
            </w:tcBorders>
            <w:shd w:val="clear"/>
            <w:vAlign w:val="bottom"/>
          </w:tcPr>
          <w:p>
            <w:pPr>
              <w:jc w:val="left"/>
              <w:rPr>
                <w:rFonts w:hint="default" w:ascii="Times New Roman" w:hAnsi="Times New Roman" w:cs="Times New Roman"/>
                <w:i w:val="0"/>
                <w:color w:val="000000"/>
                <w:sz w:val="20"/>
                <w:szCs w:val="20"/>
                <w:u w:val="none"/>
              </w:rPr>
            </w:pPr>
          </w:p>
        </w:tc>
        <w:tc>
          <w:tcPr>
            <w:tcW w:w="448" w:type="dxa"/>
            <w:tcBorders>
              <w:top w:val="single" w:color="232323" w:sz="4" w:space="0"/>
              <w:left w:val="single" w:color="232323" w:sz="4" w:space="0"/>
              <w:bottom w:val="single" w:color="232323" w:sz="4" w:space="0"/>
              <w:right w:val="single" w:color="232323" w:sz="4" w:space="0"/>
            </w:tcBorders>
            <w:shd w:val="clear"/>
            <w:vAlign w:val="bottom"/>
          </w:tcPr>
          <w:p>
            <w:pPr>
              <w:jc w:val="left"/>
              <w:rPr>
                <w:rFonts w:hint="default" w:ascii="Times New Roman" w:hAnsi="Times New Roman" w:cs="Times New Roman"/>
                <w:i w:val="0"/>
                <w:color w:val="000000"/>
                <w:sz w:val="20"/>
                <w:szCs w:val="20"/>
                <w:u w:val="none"/>
              </w:rPr>
            </w:pPr>
          </w:p>
        </w:tc>
        <w:tc>
          <w:tcPr>
            <w:tcW w:w="448" w:type="dxa"/>
            <w:tcBorders>
              <w:top w:val="single" w:color="232323" w:sz="4" w:space="0"/>
              <w:left w:val="single" w:color="232323" w:sz="4" w:space="0"/>
              <w:right w:val="single" w:color="232323" w:sz="4" w:space="0"/>
            </w:tcBorders>
            <w:shd w:val="clear"/>
            <w:vAlign w:val="center"/>
          </w:tcPr>
          <w:p>
            <w:pPr>
              <w:keepNext w:val="0"/>
              <w:keepLines w:val="0"/>
              <w:widowControl/>
              <w:suppressLineNumbers w:val="0"/>
              <w:jc w:val="center"/>
              <w:textAlignment w:val="center"/>
              <w:rPr>
                <w:rFonts w:hint="default" w:ascii="Times New Roman" w:hAnsi="Times New Roman"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10%</w:t>
            </w:r>
          </w:p>
        </w:tc>
        <w:tc>
          <w:tcPr>
            <w:tcW w:w="432" w:type="dxa"/>
            <w:tcBorders>
              <w:top w:val="single" w:color="232323" w:sz="4" w:space="0"/>
              <w:left w:val="single" w:color="232323" w:sz="4" w:space="0"/>
              <w:bottom w:val="single" w:color="232323" w:sz="4" w:space="0"/>
              <w:right w:val="single" w:color="232323" w:sz="4" w:space="0"/>
            </w:tcBorders>
            <w:shd w:val="clear"/>
            <w:vAlign w:val="center"/>
          </w:tcPr>
          <w:p>
            <w:pPr>
              <w:keepNext w:val="0"/>
              <w:keepLines w:val="0"/>
              <w:widowControl/>
              <w:suppressLineNumbers w:val="0"/>
              <w:jc w:val="left"/>
              <w:textAlignment w:val="center"/>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w:t>
            </w:r>
          </w:p>
        </w:tc>
        <w:tc>
          <w:tcPr>
            <w:tcW w:w="280" w:type="dxa"/>
            <w:tcBorders>
              <w:top w:val="single" w:color="232323" w:sz="4" w:space="0"/>
              <w:left w:val="single" w:color="232323" w:sz="4" w:space="0"/>
              <w:bottom w:val="single" w:color="232323" w:sz="4" w:space="0"/>
              <w:right w:val="single" w:color="232323" w:sz="4" w:space="0"/>
            </w:tcBorders>
            <w:shd w:val="clear"/>
            <w:vAlign w:val="center"/>
          </w:tcPr>
          <w:p>
            <w:pPr>
              <w:keepNext w:val="0"/>
              <w:keepLines w:val="0"/>
              <w:widowControl/>
              <w:suppressLineNumbers w:val="0"/>
              <w:jc w:val="left"/>
              <w:textAlignment w:val="center"/>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8</w:t>
            </w:r>
          </w:p>
        </w:tc>
        <w:tc>
          <w:tcPr>
            <w:tcW w:w="516" w:type="dxa"/>
            <w:tcBorders>
              <w:top w:val="single" w:color="232323" w:sz="4" w:space="0"/>
              <w:left w:val="single" w:color="232323" w:sz="4" w:space="0"/>
              <w:bottom w:val="single" w:color="232323" w:sz="4" w:space="0"/>
              <w:right w:val="single" w:color="232323" w:sz="4" w:space="0"/>
            </w:tcBorders>
            <w:shd w:val="clear"/>
            <w:vAlign w:val="bottom"/>
          </w:tcPr>
          <w:p>
            <w:pPr>
              <w:jc w:val="left"/>
              <w:rPr>
                <w:rFonts w:hint="default" w:ascii="Times New Roman" w:hAnsi="Times New Roman" w:cs="Times New Roman"/>
                <w:i w:val="0"/>
                <w:color w:val="000000"/>
                <w:sz w:val="20"/>
                <w:szCs w:val="20"/>
                <w:u w:val="none"/>
              </w:rPr>
            </w:pPr>
          </w:p>
        </w:tc>
        <w:tc>
          <w:tcPr>
            <w:tcW w:w="480" w:type="dxa"/>
            <w:tcBorders>
              <w:top w:val="single" w:color="232323" w:sz="4" w:space="0"/>
              <w:left w:val="single" w:color="232323" w:sz="4" w:space="0"/>
              <w:bottom w:val="single" w:color="232323" w:sz="4" w:space="0"/>
              <w:right w:val="single" w:color="232323" w:sz="4" w:space="0"/>
            </w:tcBorders>
            <w:shd w:val="clear"/>
            <w:vAlign w:val="bottom"/>
          </w:tcPr>
          <w:p>
            <w:pPr>
              <w:jc w:val="left"/>
              <w:rPr>
                <w:rFonts w:hint="default" w:ascii="Times New Roman" w:hAnsi="Times New Roman" w:cs="Times New Roman"/>
                <w:i w:val="0"/>
                <w:color w:val="000000"/>
                <w:sz w:val="20"/>
                <w:szCs w:val="20"/>
                <w:u w:val="none"/>
              </w:rPr>
            </w:pPr>
          </w:p>
        </w:tc>
        <w:tc>
          <w:tcPr>
            <w:tcW w:w="508" w:type="dxa"/>
            <w:tcBorders>
              <w:top w:val="single" w:color="232323" w:sz="4" w:space="0"/>
              <w:left w:val="single" w:color="232323" w:sz="4" w:space="0"/>
              <w:bottom w:val="single" w:color="232323" w:sz="4" w:space="0"/>
              <w:right w:val="single" w:color="232323" w:sz="4" w:space="0"/>
            </w:tcBorders>
            <w:shd w:val="clear"/>
            <w:vAlign w:val="bottom"/>
          </w:tcPr>
          <w:p>
            <w:pPr>
              <w:jc w:val="left"/>
              <w:rPr>
                <w:rFonts w:hint="default" w:ascii="Times New Roman" w:hAnsi="Times New Roman" w:cs="Times New Roman"/>
                <w:i w:val="0"/>
                <w:color w:val="000000"/>
                <w:sz w:val="20"/>
                <w:szCs w:val="20"/>
                <w:u w:val="none"/>
              </w:rPr>
            </w:pPr>
          </w:p>
        </w:tc>
        <w:tc>
          <w:tcPr>
            <w:tcW w:w="524" w:type="dxa"/>
            <w:tcBorders>
              <w:top w:val="single" w:color="232323" w:sz="4" w:space="0"/>
              <w:left w:val="single" w:color="232323" w:sz="4" w:space="0"/>
              <w:bottom w:val="single" w:color="232323" w:sz="4" w:space="0"/>
              <w:right w:val="single" w:color="232323" w:sz="4" w:space="0"/>
            </w:tcBorders>
            <w:shd w:val="cle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w:t>
            </w:r>
          </w:p>
        </w:tc>
        <w:tc>
          <w:tcPr>
            <w:tcW w:w="673" w:type="dxa"/>
            <w:tcBorders>
              <w:top w:val="single" w:color="232323" w:sz="4" w:space="0"/>
              <w:left w:val="single" w:color="232323" w:sz="4" w:space="0"/>
              <w:bottom w:val="single" w:color="232323" w:sz="4" w:space="0"/>
              <w:right w:val="single" w:color="232323"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人员变动幅度较小</w:t>
            </w:r>
          </w:p>
        </w:tc>
        <w:tc>
          <w:tcPr>
            <w:tcW w:w="1291" w:type="dxa"/>
            <w:gridSpan w:val="3"/>
            <w:tcBorders>
              <w:top w:val="single" w:color="232323" w:sz="4" w:space="0"/>
              <w:left w:val="single" w:color="232323" w:sz="4" w:space="0"/>
              <w:bottom w:val="single" w:color="232323" w:sz="4" w:space="0"/>
              <w:right w:val="single" w:color="232323" w:sz="4" w:space="0"/>
            </w:tcBorders>
            <w:shd w:val="clear"/>
            <w:vAlign w:val="bottom"/>
          </w:tcPr>
          <w:p>
            <w:pPr>
              <w:jc w:val="left"/>
              <w:rPr>
                <w:rFonts w:hint="default" w:ascii="Times New Roman" w:hAnsi="Times New Roman"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91" w:hRule="atLeast"/>
        </w:trPr>
        <w:tc>
          <w:tcPr>
            <w:tcW w:w="409" w:type="dxa"/>
            <w:vMerge w:val="continue"/>
            <w:tcBorders>
              <w:top w:val="single" w:color="232323"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0"/>
                <w:szCs w:val="20"/>
                <w:u w:val="none"/>
              </w:rPr>
            </w:pPr>
          </w:p>
        </w:tc>
        <w:tc>
          <w:tcPr>
            <w:tcW w:w="210" w:type="dxa"/>
            <w:tcBorders>
              <w:top w:val="single" w:color="232323" w:sz="4" w:space="0"/>
              <w:right w:val="single" w:color="232323"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社会效应</w:t>
            </w:r>
          </w:p>
        </w:tc>
        <w:tc>
          <w:tcPr>
            <w:tcW w:w="387" w:type="dxa"/>
            <w:shd w:val="clear"/>
            <w:vAlign w:val="center"/>
          </w:tcPr>
          <w:p>
            <w:pPr>
              <w:keepNext w:val="0"/>
              <w:keepLines w:val="0"/>
              <w:widowControl/>
              <w:suppressLineNumbers w:val="0"/>
              <w:jc w:val="both"/>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社会效益</w:t>
            </w:r>
          </w:p>
        </w:tc>
        <w:tc>
          <w:tcPr>
            <w:tcW w:w="756" w:type="dxa"/>
            <w:tcBorders>
              <w:top w:val="single" w:color="232323" w:sz="4" w:space="0"/>
              <w:left w:val="single" w:color="232323" w:sz="4" w:space="0"/>
              <w:bottom w:val="single" w:color="232323" w:sz="4" w:space="0"/>
            </w:tcBorders>
            <w:shd w:val="clear"/>
            <w:vAlign w:val="bottom"/>
          </w:tcPr>
          <w:p>
            <w:pPr>
              <w:keepNext w:val="0"/>
              <w:keepLines w:val="0"/>
              <w:widowControl/>
              <w:suppressLineNumbers w:val="0"/>
              <w:jc w:val="left"/>
              <w:textAlignment w:val="bottom"/>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为全区水利与农业提供技术与保障</w:t>
            </w:r>
          </w:p>
        </w:tc>
        <w:tc>
          <w:tcPr>
            <w:tcW w:w="147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default" w:ascii="仿宋_GB2312" w:hAnsi="Times New Roman" w:eastAsia="仿宋_GB2312" w:cs="仿宋_GB2312"/>
                <w:i w:val="0"/>
                <w:color w:val="000000"/>
                <w:sz w:val="18"/>
                <w:szCs w:val="18"/>
                <w:u w:val="none"/>
              </w:rPr>
            </w:pPr>
          </w:p>
        </w:tc>
        <w:tc>
          <w:tcPr>
            <w:tcW w:w="372" w:type="dxa"/>
            <w:tcBorders>
              <w:top w:val="single" w:color="232323" w:sz="4" w:space="0"/>
              <w:bottom w:val="single" w:color="232323" w:sz="4" w:space="0"/>
              <w:right w:val="single" w:color="232323" w:sz="4" w:space="0"/>
            </w:tcBorders>
            <w:shd w:val="clear"/>
            <w:vAlign w:val="bottom"/>
          </w:tcPr>
          <w:p>
            <w:pPr>
              <w:jc w:val="left"/>
              <w:rPr>
                <w:rFonts w:hint="default" w:ascii="Times New Roman" w:hAnsi="Times New Roman" w:cs="Times New Roman"/>
                <w:i w:val="0"/>
                <w:color w:val="000000"/>
                <w:sz w:val="20"/>
                <w:szCs w:val="20"/>
                <w:u w:val="none"/>
              </w:rPr>
            </w:pPr>
          </w:p>
        </w:tc>
        <w:tc>
          <w:tcPr>
            <w:tcW w:w="329" w:type="dxa"/>
            <w:tcBorders>
              <w:top w:val="single" w:color="232323" w:sz="4" w:space="0"/>
              <w:left w:val="single" w:color="232323" w:sz="4" w:space="0"/>
              <w:bottom w:val="single" w:color="232323" w:sz="4" w:space="0"/>
              <w:right w:val="single" w:color="232323" w:sz="4" w:space="0"/>
            </w:tcBorders>
            <w:shd w:val="clear"/>
            <w:vAlign w:val="bottom"/>
          </w:tcPr>
          <w:p>
            <w:pPr>
              <w:jc w:val="left"/>
              <w:rPr>
                <w:rFonts w:hint="default" w:ascii="Times New Roman" w:hAnsi="Times New Roman" w:cs="Times New Roman"/>
                <w:i w:val="0"/>
                <w:color w:val="000000"/>
                <w:sz w:val="20"/>
                <w:szCs w:val="20"/>
                <w:u w:val="none"/>
              </w:rPr>
            </w:pPr>
          </w:p>
        </w:tc>
        <w:tc>
          <w:tcPr>
            <w:tcW w:w="448" w:type="dxa"/>
            <w:tcBorders>
              <w:top w:val="single" w:color="232323" w:sz="4" w:space="0"/>
              <w:left w:val="single" w:color="232323" w:sz="4" w:space="0"/>
              <w:bottom w:val="single" w:color="232323" w:sz="4" w:space="0"/>
              <w:right w:val="single" w:color="232323" w:sz="4" w:space="0"/>
            </w:tcBorders>
            <w:shd w:val="clear"/>
            <w:vAlign w:val="bottom"/>
          </w:tcPr>
          <w:p>
            <w:pPr>
              <w:jc w:val="left"/>
              <w:rPr>
                <w:rFonts w:hint="default" w:ascii="Times New Roman" w:hAnsi="Times New Roman" w:cs="Times New Roman"/>
                <w:i w:val="0"/>
                <w:color w:val="000000"/>
                <w:sz w:val="20"/>
                <w:szCs w:val="20"/>
                <w:u w:val="none"/>
              </w:rPr>
            </w:pPr>
          </w:p>
        </w:tc>
        <w:tc>
          <w:tcPr>
            <w:tcW w:w="448" w:type="dxa"/>
            <w:tcBorders>
              <w:top w:val="single" w:color="232323" w:sz="4" w:space="0"/>
              <w:left w:val="single" w:color="232323" w:sz="4" w:space="0"/>
              <w:right w:val="single" w:color="232323" w:sz="4" w:space="0"/>
            </w:tcBorders>
            <w:shd w:val="clear"/>
            <w:vAlign w:val="center"/>
          </w:tcPr>
          <w:p>
            <w:pPr>
              <w:keepNext w:val="0"/>
              <w:keepLines w:val="0"/>
              <w:widowControl/>
              <w:suppressLineNumbers w:val="0"/>
              <w:jc w:val="center"/>
              <w:textAlignment w:val="center"/>
              <w:rPr>
                <w:rFonts w:hint="default" w:ascii="Times New Roman" w:hAnsi="Times New Roman"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100%</w:t>
            </w:r>
          </w:p>
        </w:tc>
        <w:tc>
          <w:tcPr>
            <w:tcW w:w="432" w:type="dxa"/>
            <w:tcBorders>
              <w:top w:val="single" w:color="232323" w:sz="4" w:space="0"/>
              <w:left w:val="single" w:color="232323" w:sz="4" w:space="0"/>
              <w:bottom w:val="single" w:color="232323" w:sz="4" w:space="0"/>
              <w:right w:val="single" w:color="232323" w:sz="4" w:space="0"/>
            </w:tcBorders>
            <w:shd w:val="clear"/>
            <w:vAlign w:val="center"/>
          </w:tcPr>
          <w:p>
            <w:pPr>
              <w:keepNext w:val="0"/>
              <w:keepLines w:val="0"/>
              <w:widowControl/>
              <w:suppressLineNumbers w:val="0"/>
              <w:jc w:val="left"/>
              <w:textAlignment w:val="center"/>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w:t>
            </w:r>
          </w:p>
        </w:tc>
        <w:tc>
          <w:tcPr>
            <w:tcW w:w="280" w:type="dxa"/>
            <w:tcBorders>
              <w:top w:val="single" w:color="232323" w:sz="4" w:space="0"/>
              <w:left w:val="single" w:color="232323" w:sz="4" w:space="0"/>
              <w:bottom w:val="single" w:color="232323" w:sz="4" w:space="0"/>
              <w:right w:val="single" w:color="232323" w:sz="4" w:space="0"/>
            </w:tcBorders>
            <w:shd w:val="clear"/>
            <w:vAlign w:val="center"/>
          </w:tcPr>
          <w:p>
            <w:pPr>
              <w:keepNext w:val="0"/>
              <w:keepLines w:val="0"/>
              <w:widowControl/>
              <w:suppressLineNumbers w:val="0"/>
              <w:jc w:val="left"/>
              <w:textAlignment w:val="center"/>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w:t>
            </w:r>
          </w:p>
        </w:tc>
        <w:tc>
          <w:tcPr>
            <w:tcW w:w="516" w:type="dxa"/>
            <w:tcBorders>
              <w:top w:val="single" w:color="232323" w:sz="4" w:space="0"/>
              <w:left w:val="single" w:color="232323" w:sz="4" w:space="0"/>
              <w:bottom w:val="single" w:color="232323" w:sz="4" w:space="0"/>
              <w:right w:val="single" w:color="232323" w:sz="4" w:space="0"/>
            </w:tcBorders>
            <w:shd w:val="clear"/>
            <w:vAlign w:val="bottom"/>
          </w:tcPr>
          <w:p>
            <w:pPr>
              <w:jc w:val="left"/>
              <w:rPr>
                <w:rFonts w:hint="default" w:ascii="Times New Roman" w:hAnsi="Times New Roman" w:cs="Times New Roman"/>
                <w:i w:val="0"/>
                <w:color w:val="000000"/>
                <w:sz w:val="20"/>
                <w:szCs w:val="20"/>
                <w:u w:val="none"/>
              </w:rPr>
            </w:pPr>
          </w:p>
        </w:tc>
        <w:tc>
          <w:tcPr>
            <w:tcW w:w="480" w:type="dxa"/>
            <w:tcBorders>
              <w:top w:val="single" w:color="232323" w:sz="4" w:space="0"/>
              <w:left w:val="single" w:color="232323" w:sz="4" w:space="0"/>
              <w:bottom w:val="single" w:color="232323" w:sz="4" w:space="0"/>
              <w:right w:val="single" w:color="232323" w:sz="4" w:space="0"/>
            </w:tcBorders>
            <w:shd w:val="clear"/>
            <w:vAlign w:val="bottom"/>
          </w:tcPr>
          <w:p>
            <w:pPr>
              <w:jc w:val="left"/>
              <w:rPr>
                <w:rFonts w:hint="default" w:ascii="Times New Roman" w:hAnsi="Times New Roman" w:cs="Times New Roman"/>
                <w:i w:val="0"/>
                <w:color w:val="000000"/>
                <w:sz w:val="20"/>
                <w:szCs w:val="20"/>
                <w:u w:val="none"/>
              </w:rPr>
            </w:pPr>
          </w:p>
        </w:tc>
        <w:tc>
          <w:tcPr>
            <w:tcW w:w="508" w:type="dxa"/>
            <w:tcBorders>
              <w:top w:val="single" w:color="232323" w:sz="4" w:space="0"/>
              <w:left w:val="single" w:color="232323" w:sz="4" w:space="0"/>
              <w:bottom w:val="single" w:color="232323" w:sz="4" w:space="0"/>
              <w:right w:val="single" w:color="232323" w:sz="4" w:space="0"/>
            </w:tcBorders>
            <w:shd w:val="clear"/>
            <w:vAlign w:val="bottom"/>
          </w:tcPr>
          <w:p>
            <w:pPr>
              <w:jc w:val="left"/>
              <w:rPr>
                <w:rFonts w:hint="default" w:ascii="Times New Roman" w:hAnsi="Times New Roman" w:cs="Times New Roman"/>
                <w:i w:val="0"/>
                <w:color w:val="000000"/>
                <w:sz w:val="20"/>
                <w:szCs w:val="20"/>
                <w:u w:val="none"/>
              </w:rPr>
            </w:pPr>
          </w:p>
        </w:tc>
        <w:tc>
          <w:tcPr>
            <w:tcW w:w="524" w:type="dxa"/>
            <w:tcBorders>
              <w:top w:val="single" w:color="232323" w:sz="4" w:space="0"/>
              <w:left w:val="single" w:color="232323" w:sz="4" w:space="0"/>
              <w:bottom w:val="single" w:color="232323" w:sz="4" w:space="0"/>
              <w:right w:val="single" w:color="232323" w:sz="4" w:space="0"/>
            </w:tcBorders>
            <w:shd w:val="clear"/>
            <w:vAlign w:val="bottom"/>
          </w:tcPr>
          <w:p>
            <w:pPr>
              <w:jc w:val="left"/>
              <w:rPr>
                <w:rFonts w:hint="default" w:ascii="Times New Roman" w:hAnsi="Times New Roman" w:cs="Times New Roman"/>
                <w:i w:val="0"/>
                <w:color w:val="000000"/>
                <w:sz w:val="20"/>
                <w:szCs w:val="20"/>
                <w:u w:val="none"/>
              </w:rPr>
            </w:pPr>
          </w:p>
        </w:tc>
        <w:tc>
          <w:tcPr>
            <w:tcW w:w="673" w:type="dxa"/>
            <w:tcBorders>
              <w:top w:val="single" w:color="232323" w:sz="4" w:space="0"/>
              <w:left w:val="single" w:color="232323" w:sz="4" w:space="0"/>
              <w:bottom w:val="single" w:color="232323" w:sz="4" w:space="0"/>
              <w:right w:val="single" w:color="232323" w:sz="4" w:space="0"/>
            </w:tcBorders>
            <w:shd w:val="clear"/>
            <w:vAlign w:val="bottom"/>
          </w:tcPr>
          <w:p>
            <w:pPr>
              <w:jc w:val="left"/>
              <w:rPr>
                <w:rFonts w:hint="default" w:ascii="Times New Roman" w:hAnsi="Times New Roman" w:cs="Times New Roman"/>
                <w:i w:val="0"/>
                <w:color w:val="000000"/>
                <w:sz w:val="20"/>
                <w:szCs w:val="20"/>
                <w:u w:val="none"/>
              </w:rPr>
            </w:pPr>
          </w:p>
        </w:tc>
        <w:tc>
          <w:tcPr>
            <w:tcW w:w="1291" w:type="dxa"/>
            <w:gridSpan w:val="3"/>
            <w:tcBorders>
              <w:top w:val="single" w:color="232323" w:sz="4" w:space="0"/>
              <w:left w:val="single" w:color="232323" w:sz="4" w:space="0"/>
              <w:bottom w:val="single" w:color="232323" w:sz="4" w:space="0"/>
              <w:right w:val="single" w:color="232323" w:sz="4" w:space="0"/>
            </w:tcBorders>
            <w:shd w:val="clear"/>
            <w:vAlign w:val="bottom"/>
          </w:tcPr>
          <w:p>
            <w:pPr>
              <w:jc w:val="left"/>
              <w:rPr>
                <w:rFonts w:hint="default" w:ascii="Times New Roman" w:hAnsi="Times New Roman"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531" w:hRule="atLeast"/>
        </w:trPr>
        <w:tc>
          <w:tcPr>
            <w:tcW w:w="409" w:type="dxa"/>
            <w:vMerge w:val="continue"/>
            <w:tcBorders>
              <w:top w:val="single" w:color="232323" w:sz="4" w:space="0"/>
              <w:left w:val="single" w:color="000000" w:sz="4" w:space="0"/>
              <w:bottom w:val="single" w:color="000000" w:sz="4" w:space="0"/>
              <w:right w:val="single" w:color="000000" w:sz="4" w:space="0"/>
            </w:tcBorders>
            <w:shd w:val="clear"/>
            <w:vAlign w:val="center"/>
          </w:tcPr>
          <w:p>
            <w:pPr>
              <w:jc w:val="left"/>
              <w:rPr>
                <w:rFonts w:hint="eastAsia" w:ascii="宋体" w:hAnsi="宋体" w:eastAsia="宋体" w:cs="宋体"/>
                <w:i w:val="0"/>
                <w:color w:val="000000"/>
                <w:sz w:val="20"/>
                <w:szCs w:val="20"/>
                <w:u w:val="none"/>
              </w:rPr>
            </w:pPr>
          </w:p>
        </w:tc>
        <w:tc>
          <w:tcPr>
            <w:tcW w:w="210" w:type="dxa"/>
            <w:tcBorders>
              <w:top w:val="single" w:color="232323" w:sz="4" w:space="0"/>
              <w:right w:val="single" w:color="232323"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可持续性</w:t>
            </w:r>
          </w:p>
        </w:tc>
        <w:tc>
          <w:tcPr>
            <w:tcW w:w="387" w:type="dxa"/>
            <w:shd w:val="cle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创新驱动发展</w:t>
            </w:r>
          </w:p>
        </w:tc>
        <w:tc>
          <w:tcPr>
            <w:tcW w:w="756" w:type="dxa"/>
            <w:tcBorders>
              <w:top w:val="single" w:color="232323" w:sz="4" w:space="0"/>
              <w:left w:val="single" w:color="232323" w:sz="4" w:space="0"/>
              <w:bottom w:val="single" w:color="232323" w:sz="4" w:space="0"/>
            </w:tcBorders>
            <w:shd w:val="clear"/>
            <w:vAlign w:val="bottom"/>
          </w:tcPr>
          <w:p>
            <w:pPr>
              <w:keepNext w:val="0"/>
              <w:keepLines w:val="0"/>
              <w:widowControl/>
              <w:suppressLineNumbers w:val="0"/>
              <w:jc w:val="left"/>
              <w:textAlignment w:val="bottom"/>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为全区农业和水利服务业做好保障</w:t>
            </w:r>
          </w:p>
        </w:tc>
        <w:tc>
          <w:tcPr>
            <w:tcW w:w="1477"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both"/>
              <w:rPr>
                <w:rFonts w:hint="default" w:ascii="仿宋_GB2312" w:hAnsi="Times New Roman" w:eastAsia="仿宋_GB2312" w:cs="仿宋_GB2312"/>
                <w:i w:val="0"/>
                <w:color w:val="000000"/>
                <w:sz w:val="18"/>
                <w:szCs w:val="18"/>
                <w:u w:val="none"/>
              </w:rPr>
            </w:pPr>
          </w:p>
        </w:tc>
        <w:tc>
          <w:tcPr>
            <w:tcW w:w="372" w:type="dxa"/>
            <w:tcBorders>
              <w:top w:val="single" w:color="232323" w:sz="4" w:space="0"/>
              <w:bottom w:val="single" w:color="232323" w:sz="4" w:space="0"/>
              <w:right w:val="single" w:color="232323" w:sz="4" w:space="0"/>
            </w:tcBorders>
            <w:shd w:val="clear"/>
            <w:vAlign w:val="bottom"/>
          </w:tcPr>
          <w:p>
            <w:pPr>
              <w:jc w:val="left"/>
              <w:rPr>
                <w:rFonts w:hint="default" w:ascii="Times New Roman" w:hAnsi="Times New Roman" w:cs="Times New Roman"/>
                <w:i w:val="0"/>
                <w:color w:val="000000"/>
                <w:sz w:val="20"/>
                <w:szCs w:val="20"/>
                <w:u w:val="none"/>
              </w:rPr>
            </w:pPr>
          </w:p>
        </w:tc>
        <w:tc>
          <w:tcPr>
            <w:tcW w:w="329" w:type="dxa"/>
            <w:tcBorders>
              <w:top w:val="single" w:color="232323" w:sz="4" w:space="0"/>
              <w:left w:val="single" w:color="232323" w:sz="4" w:space="0"/>
              <w:bottom w:val="single" w:color="232323" w:sz="4" w:space="0"/>
              <w:right w:val="single" w:color="232323" w:sz="4" w:space="0"/>
            </w:tcBorders>
            <w:shd w:val="clear"/>
            <w:vAlign w:val="bottom"/>
          </w:tcPr>
          <w:p>
            <w:pPr>
              <w:jc w:val="left"/>
              <w:rPr>
                <w:rFonts w:hint="default" w:ascii="Times New Roman" w:hAnsi="Times New Roman" w:cs="Times New Roman"/>
                <w:i w:val="0"/>
                <w:color w:val="000000"/>
                <w:sz w:val="20"/>
                <w:szCs w:val="20"/>
                <w:u w:val="none"/>
              </w:rPr>
            </w:pPr>
          </w:p>
        </w:tc>
        <w:tc>
          <w:tcPr>
            <w:tcW w:w="448" w:type="dxa"/>
            <w:tcBorders>
              <w:top w:val="single" w:color="232323" w:sz="4" w:space="0"/>
              <w:left w:val="single" w:color="232323" w:sz="4" w:space="0"/>
              <w:bottom w:val="single" w:color="232323" w:sz="4" w:space="0"/>
              <w:right w:val="single" w:color="232323" w:sz="4" w:space="0"/>
            </w:tcBorders>
            <w:shd w:val="clear"/>
            <w:vAlign w:val="bottom"/>
          </w:tcPr>
          <w:p>
            <w:pPr>
              <w:jc w:val="left"/>
              <w:rPr>
                <w:rFonts w:hint="default" w:ascii="Times New Roman" w:hAnsi="Times New Roman" w:cs="Times New Roman"/>
                <w:i w:val="0"/>
                <w:color w:val="000000"/>
                <w:sz w:val="20"/>
                <w:szCs w:val="20"/>
                <w:u w:val="none"/>
              </w:rPr>
            </w:pPr>
          </w:p>
        </w:tc>
        <w:tc>
          <w:tcPr>
            <w:tcW w:w="448" w:type="dxa"/>
            <w:tcBorders>
              <w:top w:val="single" w:color="232323" w:sz="4" w:space="0"/>
              <w:left w:val="single" w:color="232323" w:sz="4" w:space="0"/>
              <w:right w:val="single" w:color="232323" w:sz="4" w:space="0"/>
            </w:tcBorders>
            <w:shd w:val="clear"/>
            <w:vAlign w:val="center"/>
          </w:tcPr>
          <w:p>
            <w:pPr>
              <w:keepNext w:val="0"/>
              <w:keepLines w:val="0"/>
              <w:widowControl/>
              <w:suppressLineNumbers w:val="0"/>
              <w:jc w:val="center"/>
              <w:textAlignment w:val="center"/>
              <w:rPr>
                <w:rFonts w:hint="default" w:ascii="Times New Roman" w:hAnsi="Times New Roman" w:cs="Times New Roman"/>
                <w:i w:val="0"/>
                <w:color w:val="000000"/>
                <w:sz w:val="16"/>
                <w:szCs w:val="16"/>
                <w:u w:val="none"/>
              </w:rPr>
            </w:pPr>
            <w:r>
              <w:rPr>
                <w:rFonts w:hint="default" w:ascii="Times New Roman" w:hAnsi="Times New Roman" w:eastAsia="宋体" w:cs="Times New Roman"/>
                <w:i w:val="0"/>
                <w:color w:val="000000"/>
                <w:kern w:val="0"/>
                <w:sz w:val="16"/>
                <w:szCs w:val="16"/>
                <w:u w:val="none"/>
                <w:lang w:val="en-US" w:eastAsia="zh-CN" w:bidi="ar"/>
              </w:rPr>
              <w:t>100%</w:t>
            </w:r>
          </w:p>
        </w:tc>
        <w:tc>
          <w:tcPr>
            <w:tcW w:w="432" w:type="dxa"/>
            <w:tcBorders>
              <w:top w:val="single" w:color="232323" w:sz="4" w:space="0"/>
              <w:left w:val="single" w:color="232323" w:sz="4" w:space="0"/>
              <w:bottom w:val="single" w:color="232323" w:sz="4" w:space="0"/>
              <w:right w:val="single" w:color="232323" w:sz="4" w:space="0"/>
            </w:tcBorders>
            <w:shd w:val="clear"/>
            <w:vAlign w:val="center"/>
          </w:tcPr>
          <w:p>
            <w:pPr>
              <w:keepNext w:val="0"/>
              <w:keepLines w:val="0"/>
              <w:widowControl/>
              <w:suppressLineNumbers w:val="0"/>
              <w:jc w:val="left"/>
              <w:textAlignment w:val="center"/>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w:t>
            </w:r>
          </w:p>
        </w:tc>
        <w:tc>
          <w:tcPr>
            <w:tcW w:w="280" w:type="dxa"/>
            <w:tcBorders>
              <w:top w:val="single" w:color="232323" w:sz="4" w:space="0"/>
              <w:left w:val="single" w:color="232323" w:sz="4" w:space="0"/>
              <w:bottom w:val="single" w:color="232323" w:sz="4" w:space="0"/>
              <w:right w:val="single" w:color="232323" w:sz="4" w:space="0"/>
            </w:tcBorders>
            <w:shd w:val="clear"/>
            <w:vAlign w:val="center"/>
          </w:tcPr>
          <w:p>
            <w:pPr>
              <w:keepNext w:val="0"/>
              <w:keepLines w:val="0"/>
              <w:widowControl/>
              <w:suppressLineNumbers w:val="0"/>
              <w:jc w:val="left"/>
              <w:textAlignment w:val="center"/>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w:t>
            </w:r>
          </w:p>
        </w:tc>
        <w:tc>
          <w:tcPr>
            <w:tcW w:w="516" w:type="dxa"/>
            <w:tcBorders>
              <w:top w:val="single" w:color="232323" w:sz="4" w:space="0"/>
              <w:left w:val="single" w:color="232323" w:sz="4" w:space="0"/>
              <w:bottom w:val="single" w:color="232323" w:sz="4" w:space="0"/>
              <w:right w:val="single" w:color="232323" w:sz="4" w:space="0"/>
            </w:tcBorders>
            <w:shd w:val="clear"/>
            <w:vAlign w:val="bottom"/>
          </w:tcPr>
          <w:p>
            <w:pPr>
              <w:jc w:val="left"/>
              <w:rPr>
                <w:rFonts w:hint="default" w:ascii="Times New Roman" w:hAnsi="Times New Roman" w:cs="Times New Roman"/>
                <w:i w:val="0"/>
                <w:color w:val="000000"/>
                <w:sz w:val="20"/>
                <w:szCs w:val="20"/>
                <w:u w:val="none"/>
              </w:rPr>
            </w:pPr>
          </w:p>
        </w:tc>
        <w:tc>
          <w:tcPr>
            <w:tcW w:w="480" w:type="dxa"/>
            <w:tcBorders>
              <w:top w:val="single" w:color="232323" w:sz="4" w:space="0"/>
              <w:left w:val="single" w:color="232323" w:sz="4" w:space="0"/>
              <w:bottom w:val="single" w:color="232323" w:sz="4" w:space="0"/>
              <w:right w:val="single" w:color="232323" w:sz="4" w:space="0"/>
            </w:tcBorders>
            <w:shd w:val="clear"/>
            <w:vAlign w:val="bottom"/>
          </w:tcPr>
          <w:p>
            <w:pPr>
              <w:jc w:val="left"/>
              <w:rPr>
                <w:rFonts w:hint="default" w:ascii="Times New Roman" w:hAnsi="Times New Roman" w:cs="Times New Roman"/>
                <w:i w:val="0"/>
                <w:color w:val="000000"/>
                <w:sz w:val="20"/>
                <w:szCs w:val="20"/>
                <w:u w:val="none"/>
              </w:rPr>
            </w:pPr>
          </w:p>
        </w:tc>
        <w:tc>
          <w:tcPr>
            <w:tcW w:w="508" w:type="dxa"/>
            <w:tcBorders>
              <w:top w:val="single" w:color="232323" w:sz="4" w:space="0"/>
              <w:left w:val="single" w:color="232323" w:sz="4" w:space="0"/>
              <w:bottom w:val="single" w:color="232323" w:sz="4" w:space="0"/>
              <w:right w:val="single" w:color="232323" w:sz="4" w:space="0"/>
            </w:tcBorders>
            <w:shd w:val="clear"/>
            <w:vAlign w:val="bottom"/>
          </w:tcPr>
          <w:p>
            <w:pPr>
              <w:jc w:val="left"/>
              <w:rPr>
                <w:rFonts w:hint="default" w:ascii="Times New Roman" w:hAnsi="Times New Roman" w:cs="Times New Roman"/>
                <w:i w:val="0"/>
                <w:color w:val="000000"/>
                <w:sz w:val="20"/>
                <w:szCs w:val="20"/>
                <w:u w:val="none"/>
              </w:rPr>
            </w:pPr>
          </w:p>
        </w:tc>
        <w:tc>
          <w:tcPr>
            <w:tcW w:w="524" w:type="dxa"/>
            <w:tcBorders>
              <w:top w:val="single" w:color="232323" w:sz="4" w:space="0"/>
              <w:left w:val="single" w:color="232323" w:sz="4" w:space="0"/>
              <w:bottom w:val="single" w:color="232323" w:sz="4" w:space="0"/>
              <w:right w:val="single" w:color="232323" w:sz="4" w:space="0"/>
            </w:tcBorders>
            <w:shd w:val="clear"/>
            <w:vAlign w:val="bottom"/>
          </w:tcPr>
          <w:p>
            <w:pPr>
              <w:jc w:val="left"/>
              <w:rPr>
                <w:rFonts w:hint="default" w:ascii="Times New Roman" w:hAnsi="Times New Roman" w:cs="Times New Roman"/>
                <w:i w:val="0"/>
                <w:color w:val="000000"/>
                <w:sz w:val="20"/>
                <w:szCs w:val="20"/>
                <w:u w:val="none"/>
              </w:rPr>
            </w:pPr>
          </w:p>
        </w:tc>
        <w:tc>
          <w:tcPr>
            <w:tcW w:w="673" w:type="dxa"/>
            <w:tcBorders>
              <w:top w:val="single" w:color="232323" w:sz="4" w:space="0"/>
              <w:left w:val="single" w:color="232323" w:sz="4" w:space="0"/>
              <w:bottom w:val="single" w:color="232323" w:sz="4" w:space="0"/>
              <w:right w:val="single" w:color="232323" w:sz="4" w:space="0"/>
            </w:tcBorders>
            <w:shd w:val="clear"/>
            <w:vAlign w:val="bottom"/>
          </w:tcPr>
          <w:p>
            <w:pPr>
              <w:jc w:val="left"/>
              <w:rPr>
                <w:rFonts w:hint="default" w:ascii="Times New Roman" w:hAnsi="Times New Roman" w:cs="Times New Roman"/>
                <w:i w:val="0"/>
                <w:color w:val="000000"/>
                <w:sz w:val="20"/>
                <w:szCs w:val="20"/>
                <w:u w:val="none"/>
              </w:rPr>
            </w:pPr>
          </w:p>
        </w:tc>
        <w:tc>
          <w:tcPr>
            <w:tcW w:w="1291" w:type="dxa"/>
            <w:gridSpan w:val="3"/>
            <w:tcBorders>
              <w:top w:val="single" w:color="232323" w:sz="4" w:space="0"/>
              <w:left w:val="single" w:color="232323" w:sz="4" w:space="0"/>
              <w:bottom w:val="single" w:color="232323" w:sz="4" w:space="0"/>
              <w:right w:val="single" w:color="232323" w:sz="4" w:space="0"/>
            </w:tcBorders>
            <w:shd w:val="clear"/>
            <w:vAlign w:val="bottom"/>
          </w:tcPr>
          <w:p>
            <w:pPr>
              <w:jc w:val="left"/>
              <w:rPr>
                <w:rFonts w:hint="default" w:ascii="Times New Roman" w:hAnsi="Times New Roman"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5548" w:type="dxa"/>
            <w:gridSpan w:val="11"/>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总评价得分</w:t>
            </w:r>
          </w:p>
        </w:tc>
        <w:tc>
          <w:tcPr>
            <w:tcW w:w="3992" w:type="dxa"/>
            <w:gridSpan w:val="8"/>
            <w:tcBorders>
              <w:top w:val="single" w:color="232323" w:sz="4" w:space="0"/>
              <w:bottom w:val="single" w:color="232323" w:sz="4" w:space="0"/>
              <w:right w:val="single" w:color="232323" w:sz="4" w:space="0"/>
            </w:tcBorders>
            <w:shd w:val="clear"/>
            <w:vAlign w:val="bottom"/>
          </w:tcPr>
          <w:p>
            <w:pPr>
              <w:keepNext w:val="0"/>
              <w:keepLines w:val="0"/>
              <w:widowControl/>
              <w:suppressLineNumbers w:val="0"/>
              <w:jc w:val="center"/>
              <w:textAlignment w:val="bottom"/>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94.7</w:t>
            </w:r>
          </w:p>
        </w:tc>
      </w:tr>
    </w:tbl>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firstLine="0" w:firstLineChars="0"/>
        <w:jc w:val="center"/>
        <w:textAlignment w:val="auto"/>
        <w:rPr>
          <w:rFonts w:hint="eastAsia" w:ascii="仿宋_GB2312" w:hAnsi="宋体" w:eastAsia="仿宋_GB2312" w:cs="仿宋_GB2312"/>
          <w:color w:val="auto"/>
          <w:kern w:val="2"/>
          <w:sz w:val="32"/>
          <w:szCs w:val="32"/>
          <w:highlight w:val="none"/>
          <w:shd w:val="clear" w:color="auto" w:fill="auto"/>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firstLine="0" w:firstLineChars="0"/>
        <w:jc w:val="center"/>
        <w:textAlignment w:val="auto"/>
        <w:rPr>
          <w:rFonts w:hint="eastAsia" w:ascii="仿宋_GB2312" w:hAnsi="宋体" w:eastAsia="仿宋_GB2312" w:cs="仿宋_GB2312"/>
          <w:color w:val="auto"/>
          <w:kern w:val="2"/>
          <w:sz w:val="32"/>
          <w:szCs w:val="32"/>
          <w:highlight w:val="none"/>
          <w:shd w:val="clear" w:color="auto" w:fill="auto"/>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firstLine="0" w:firstLineChars="0"/>
        <w:jc w:val="center"/>
        <w:textAlignment w:val="auto"/>
        <w:rPr>
          <w:rFonts w:hint="eastAsia" w:ascii="仿宋_GB2312" w:hAnsi="宋体" w:eastAsia="仿宋_GB2312" w:cs="仿宋_GB2312"/>
          <w:color w:val="auto"/>
          <w:kern w:val="2"/>
          <w:sz w:val="32"/>
          <w:szCs w:val="32"/>
          <w:highlight w:val="none"/>
          <w:shd w:val="clear" w:color="auto" w:fill="auto"/>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firstLine="0" w:firstLineChars="0"/>
        <w:jc w:val="center"/>
        <w:textAlignment w:val="auto"/>
        <w:rPr>
          <w:rFonts w:hint="eastAsia" w:ascii="仿宋_GB2312" w:hAnsi="宋体" w:eastAsia="仿宋_GB2312" w:cs="仿宋_GB2312"/>
          <w:color w:val="auto"/>
          <w:kern w:val="2"/>
          <w:sz w:val="32"/>
          <w:szCs w:val="32"/>
          <w:highlight w:val="none"/>
          <w:shd w:val="clear" w:color="auto" w:fill="auto"/>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firstLine="0" w:firstLineChars="0"/>
        <w:jc w:val="center"/>
        <w:textAlignment w:val="auto"/>
        <w:rPr>
          <w:rFonts w:hint="eastAsia" w:ascii="仿宋_GB2312" w:hAnsi="宋体" w:eastAsia="仿宋_GB2312" w:cs="仿宋_GB2312"/>
          <w:color w:val="auto"/>
          <w:kern w:val="2"/>
          <w:sz w:val="32"/>
          <w:szCs w:val="32"/>
          <w:highlight w:val="none"/>
          <w:shd w:val="clear" w:color="auto" w:fill="auto"/>
          <w:lang w:val="en-US" w:eastAsia="zh-CN" w:bidi="ar"/>
        </w:rPr>
      </w:pPr>
    </w:p>
    <w:tbl>
      <w:tblPr>
        <w:tblW w:w="90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
      <w:tblGrid>
        <w:gridCol w:w="378"/>
        <w:gridCol w:w="210"/>
        <w:gridCol w:w="546"/>
        <w:gridCol w:w="440"/>
        <w:gridCol w:w="1651"/>
        <w:gridCol w:w="351"/>
        <w:gridCol w:w="361"/>
        <w:gridCol w:w="528"/>
        <w:gridCol w:w="497"/>
        <w:gridCol w:w="520"/>
        <w:gridCol w:w="254"/>
        <w:gridCol w:w="440"/>
        <w:gridCol w:w="423"/>
        <w:gridCol w:w="449"/>
        <w:gridCol w:w="440"/>
        <w:gridCol w:w="453"/>
        <w:gridCol w:w="441"/>
        <w:gridCol w:w="67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660" w:hRule="atLeast"/>
        </w:trPr>
        <w:tc>
          <w:tcPr>
            <w:tcW w:w="9060" w:type="dxa"/>
            <w:gridSpan w:val="18"/>
            <w:tcBorders>
              <w:bottom w:val="single" w:color="232323" w:sz="4" w:space="0"/>
            </w:tcBorders>
            <w:shd w:val="cle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预算项目（政策）绩效目标自评表</w:t>
            </w:r>
            <w:r>
              <w:rPr>
                <w:rStyle w:val="9"/>
                <w:lang w:val="en-US" w:eastAsia="zh-CN" w:bidi="ar"/>
              </w:rPr>
              <w:br w:type="textWrapping"/>
            </w:r>
            <w:r>
              <w:rPr>
                <w:rStyle w:val="9"/>
                <w:lang w:val="en-US" w:eastAsia="zh-CN" w:bidi="ar"/>
              </w:rPr>
              <w:t xml:space="preserve">                     （2021年度）            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360" w:hRule="atLeast"/>
        </w:trPr>
        <w:tc>
          <w:tcPr>
            <w:tcW w:w="1574" w:type="dxa"/>
            <w:gridSpan w:val="4"/>
            <w:tcBorders>
              <w:top w:val="single" w:color="232323" w:sz="4" w:space="0"/>
              <w:left w:val="single" w:color="232323" w:sz="4" w:space="0"/>
              <w:bottom w:val="single" w:color="232323" w:sz="4" w:space="0"/>
              <w:right w:val="single" w:color="232323"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项目（政策）名称</w:t>
            </w:r>
          </w:p>
        </w:tc>
        <w:tc>
          <w:tcPr>
            <w:tcW w:w="7486" w:type="dxa"/>
            <w:gridSpan w:val="14"/>
            <w:tcBorders>
              <w:top w:val="single" w:color="232323" w:sz="4" w:space="0"/>
              <w:left w:val="single" w:color="232323" w:sz="4" w:space="0"/>
              <w:bottom w:val="single" w:color="232323" w:sz="4" w:space="0"/>
              <w:right w:val="single" w:color="232323"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堤坝维护费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1574" w:type="dxa"/>
            <w:gridSpan w:val="4"/>
            <w:tcBorders>
              <w:top w:val="single" w:color="232323" w:sz="4" w:space="0"/>
              <w:left w:val="single" w:color="232323" w:sz="4" w:space="0"/>
              <w:bottom w:val="single" w:color="232323" w:sz="4" w:space="0"/>
              <w:right w:val="single" w:color="232323"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主管单位</w:t>
            </w:r>
          </w:p>
        </w:tc>
        <w:tc>
          <w:tcPr>
            <w:tcW w:w="7486" w:type="dxa"/>
            <w:gridSpan w:val="14"/>
            <w:tcBorders>
              <w:top w:val="single" w:color="232323" w:sz="4" w:space="0"/>
              <w:left w:val="single" w:color="232323" w:sz="4" w:space="0"/>
              <w:bottom w:val="single" w:color="232323" w:sz="4" w:space="0"/>
              <w:right w:val="single" w:color="232323"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兴隆台区农业和水利服务中心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60" w:hRule="atLeast"/>
        </w:trPr>
        <w:tc>
          <w:tcPr>
            <w:tcW w:w="1574" w:type="dxa"/>
            <w:gridSpan w:val="4"/>
            <w:tcBorders>
              <w:top w:val="single" w:color="232323" w:sz="4" w:space="0"/>
              <w:left w:val="single" w:color="232323" w:sz="4" w:space="0"/>
              <w:right w:val="single" w:color="232323"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实施单位</w:t>
            </w:r>
          </w:p>
        </w:tc>
        <w:tc>
          <w:tcPr>
            <w:tcW w:w="7486" w:type="dxa"/>
            <w:gridSpan w:val="14"/>
            <w:tcBorders>
              <w:top w:val="single" w:color="232323" w:sz="4" w:space="0"/>
              <w:left w:val="single" w:color="232323" w:sz="4" w:space="0"/>
              <w:right w:val="single" w:color="232323"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兴隆台区农业和水利服务中心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720" w:hRule="atLeast"/>
        </w:trPr>
        <w:tc>
          <w:tcPr>
            <w:tcW w:w="1574"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项目预算金额（万元）</w:t>
            </w:r>
          </w:p>
        </w:tc>
        <w:tc>
          <w:tcPr>
            <w:tcW w:w="2363"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7</w:t>
            </w:r>
          </w:p>
        </w:tc>
        <w:tc>
          <w:tcPr>
            <w:tcW w:w="1545"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全年执行数</w:t>
            </w:r>
          </w:p>
        </w:tc>
        <w:tc>
          <w:tcPr>
            <w:tcW w:w="1566" w:type="dxa"/>
            <w:gridSpan w:val="4"/>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6.26</w:t>
            </w:r>
          </w:p>
        </w:tc>
        <w:tc>
          <w:tcPr>
            <w:tcW w:w="893"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执行率</w:t>
            </w:r>
          </w:p>
        </w:tc>
        <w:tc>
          <w:tcPr>
            <w:tcW w:w="1119"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default" w:ascii="Times New Roman" w:hAnsi="Times New Roman" w:cs="Times New Roman"/>
                <w:i w:val="0"/>
                <w:color w:val="000000"/>
                <w:sz w:val="18"/>
                <w:szCs w:val="18"/>
                <w:u w:val="none"/>
              </w:rPr>
            </w:pPr>
            <w:r>
              <w:rPr>
                <w:rFonts w:hint="default" w:ascii="Times New Roman" w:hAnsi="Times New Roman" w:eastAsia="宋体" w:cs="Times New Roman"/>
                <w:i w:val="0"/>
                <w:color w:val="000000"/>
                <w:kern w:val="0"/>
                <w:sz w:val="18"/>
                <w:szCs w:val="18"/>
                <w:u w:val="none"/>
                <w:lang w:val="en-US" w:eastAsia="zh-CN" w:bidi="ar"/>
              </w:rPr>
              <w:t>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30" w:hRule="atLeast"/>
        </w:trPr>
        <w:tc>
          <w:tcPr>
            <w:tcW w:w="378" w:type="dxa"/>
            <w:vMerge w:val="restart"/>
            <w:tcBorders>
              <w:left w:val="single" w:color="232323" w:sz="4" w:space="0"/>
              <w:bottom w:val="single" w:color="232323"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年度总体目标</w:t>
            </w:r>
          </w:p>
        </w:tc>
        <w:tc>
          <w:tcPr>
            <w:tcW w:w="5104" w:type="dxa"/>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年初设定目标</w:t>
            </w:r>
          </w:p>
        </w:tc>
        <w:tc>
          <w:tcPr>
            <w:tcW w:w="3578" w:type="dxa"/>
            <w:gridSpan w:val="8"/>
            <w:tcBorders>
              <w:right w:val="single" w:color="232323"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全年实际完成情况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855" w:hRule="atLeast"/>
        </w:trPr>
        <w:tc>
          <w:tcPr>
            <w:tcW w:w="378" w:type="dxa"/>
            <w:vMerge w:val="continue"/>
            <w:tcBorders>
              <w:left w:val="single" w:color="232323" w:sz="4" w:space="0"/>
              <w:bottom w:val="single" w:color="232323" w:sz="4" w:space="0"/>
            </w:tcBorders>
            <w:shd w:val="clear"/>
            <w:vAlign w:val="center"/>
          </w:tcPr>
          <w:p>
            <w:pPr>
              <w:jc w:val="center"/>
              <w:rPr>
                <w:rFonts w:hint="eastAsia" w:ascii="宋体" w:hAnsi="宋体" w:eastAsia="宋体" w:cs="宋体"/>
                <w:i w:val="0"/>
                <w:color w:val="000000"/>
                <w:sz w:val="18"/>
                <w:szCs w:val="18"/>
                <w:u w:val="none"/>
              </w:rPr>
            </w:pPr>
          </w:p>
        </w:tc>
        <w:tc>
          <w:tcPr>
            <w:tcW w:w="5104" w:type="dxa"/>
            <w:gridSpan w:val="9"/>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堤坝灭鼠、除草费，保护堤坝安全</w:t>
            </w:r>
          </w:p>
        </w:tc>
        <w:tc>
          <w:tcPr>
            <w:tcW w:w="3578" w:type="dxa"/>
            <w:gridSpan w:val="8"/>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项目已完成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450" w:hRule="atLeast"/>
        </w:trPr>
        <w:tc>
          <w:tcPr>
            <w:tcW w:w="378" w:type="dxa"/>
            <w:vMerge w:val="restart"/>
            <w:tcBorders>
              <w:top w:val="single" w:color="232323" w:sz="4" w:space="0"/>
              <w:lef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绩效指标</w:t>
            </w:r>
          </w:p>
        </w:tc>
        <w:tc>
          <w:tcPr>
            <w:tcW w:w="210" w:type="dxa"/>
            <w:vMerge w:val="restart"/>
            <w:tcBorders>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一级指标</w:t>
            </w:r>
          </w:p>
        </w:tc>
        <w:tc>
          <w:tcPr>
            <w:tcW w:w="546" w:type="dxa"/>
            <w:vMerge w:val="restart"/>
            <w:tcBorders>
              <w:bottom w:val="single" w:color="232323" w:sz="4" w:space="0"/>
              <w:right w:val="single" w:color="232323"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二级指标</w:t>
            </w:r>
          </w:p>
        </w:tc>
        <w:tc>
          <w:tcPr>
            <w:tcW w:w="440" w:type="dxa"/>
            <w:vMerge w:val="restart"/>
            <w:tcBorders>
              <w:left w:val="single" w:color="232323" w:sz="4" w:space="0"/>
              <w:bottom w:val="single" w:color="232323" w:sz="4" w:space="0"/>
              <w:right w:val="single" w:color="232323"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三级指标</w:t>
            </w:r>
          </w:p>
        </w:tc>
        <w:tc>
          <w:tcPr>
            <w:tcW w:w="2363" w:type="dxa"/>
            <w:gridSpan w:val="3"/>
            <w:tcBorders>
              <w:left w:val="single" w:color="232323" w:sz="4" w:space="0"/>
              <w:right w:val="single" w:color="232323"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年度目标值</w:t>
            </w:r>
          </w:p>
        </w:tc>
        <w:tc>
          <w:tcPr>
            <w:tcW w:w="528" w:type="dxa"/>
            <w:vMerge w:val="restart"/>
            <w:tcBorders>
              <w:left w:val="single" w:color="232323" w:sz="4" w:space="0"/>
              <w:bottom w:val="single" w:color="232323" w:sz="4" w:space="0"/>
              <w:right w:val="single" w:color="232323"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全年完成值</w:t>
            </w:r>
          </w:p>
        </w:tc>
        <w:tc>
          <w:tcPr>
            <w:tcW w:w="497" w:type="dxa"/>
            <w:vMerge w:val="restart"/>
            <w:tcBorders>
              <w:left w:val="single" w:color="232323" w:sz="4" w:space="0"/>
              <w:bottom w:val="single" w:color="232323" w:sz="4" w:space="0"/>
              <w:right w:val="single" w:color="232323"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完成程度</w:t>
            </w:r>
          </w:p>
        </w:tc>
        <w:tc>
          <w:tcPr>
            <w:tcW w:w="520" w:type="dxa"/>
            <w:vMerge w:val="restart"/>
            <w:tcBorders>
              <w:left w:val="single" w:color="232323" w:sz="4" w:space="0"/>
              <w:bottom w:val="single" w:color="232323" w:sz="4" w:space="0"/>
              <w:right w:val="single" w:color="232323"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分值</w:t>
            </w:r>
          </w:p>
        </w:tc>
        <w:tc>
          <w:tcPr>
            <w:tcW w:w="254" w:type="dxa"/>
            <w:vMerge w:val="restart"/>
            <w:tcBorders>
              <w:left w:val="single" w:color="232323" w:sz="4" w:space="0"/>
              <w:bottom w:val="single" w:color="232323" w:sz="4" w:space="0"/>
              <w:right w:val="single" w:color="232323"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得分</w:t>
            </w:r>
          </w:p>
        </w:tc>
        <w:tc>
          <w:tcPr>
            <w:tcW w:w="2646" w:type="dxa"/>
            <w:gridSpan w:val="6"/>
            <w:tcBorders>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未完成原因分析</w:t>
            </w:r>
          </w:p>
        </w:tc>
        <w:tc>
          <w:tcPr>
            <w:tcW w:w="678" w:type="dxa"/>
            <w:vMerge w:val="restart"/>
            <w:tcBorders>
              <w:bottom w:val="single" w:color="232323" w:sz="4" w:space="0"/>
              <w:right w:val="single" w:color="232323"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改进措施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15" w:hRule="atLeast"/>
        </w:trPr>
        <w:tc>
          <w:tcPr>
            <w:tcW w:w="378" w:type="dxa"/>
            <w:vMerge w:val="continue"/>
            <w:tcBorders>
              <w:top w:val="single" w:color="232323" w:sz="4" w:space="0"/>
              <w:lef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210" w:type="dxa"/>
            <w:vMerge w:val="continue"/>
            <w:tcBorders>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546" w:type="dxa"/>
            <w:vMerge w:val="continue"/>
            <w:tcBorders>
              <w:bottom w:val="single" w:color="232323" w:sz="4" w:space="0"/>
              <w:right w:val="single" w:color="232323" w:sz="4" w:space="0"/>
            </w:tcBorders>
            <w:shd w:val="clear"/>
            <w:vAlign w:val="center"/>
          </w:tcPr>
          <w:p>
            <w:pPr>
              <w:jc w:val="center"/>
              <w:rPr>
                <w:rFonts w:hint="eastAsia" w:ascii="宋体" w:hAnsi="宋体" w:eastAsia="宋体" w:cs="宋体"/>
                <w:i w:val="0"/>
                <w:color w:val="000000"/>
                <w:sz w:val="18"/>
                <w:szCs w:val="18"/>
                <w:u w:val="none"/>
              </w:rPr>
            </w:pPr>
          </w:p>
        </w:tc>
        <w:tc>
          <w:tcPr>
            <w:tcW w:w="440" w:type="dxa"/>
            <w:vMerge w:val="continue"/>
            <w:tcBorders>
              <w:left w:val="single" w:color="232323" w:sz="4" w:space="0"/>
              <w:bottom w:val="single" w:color="232323" w:sz="4" w:space="0"/>
              <w:right w:val="single" w:color="232323" w:sz="4" w:space="0"/>
            </w:tcBorders>
            <w:shd w:val="clear"/>
            <w:vAlign w:val="center"/>
          </w:tcPr>
          <w:p>
            <w:pPr>
              <w:jc w:val="center"/>
              <w:rPr>
                <w:rFonts w:hint="eastAsia" w:ascii="宋体" w:hAnsi="宋体" w:eastAsia="宋体" w:cs="宋体"/>
                <w:i w:val="0"/>
                <w:color w:val="000000"/>
                <w:sz w:val="18"/>
                <w:szCs w:val="18"/>
                <w:u w:val="none"/>
              </w:rPr>
            </w:pPr>
          </w:p>
        </w:tc>
        <w:tc>
          <w:tcPr>
            <w:tcW w:w="1651" w:type="dxa"/>
            <w:tcBorders>
              <w:top w:val="single" w:color="232323" w:sz="4" w:space="0"/>
              <w:left w:val="single" w:color="232323" w:sz="4" w:space="0"/>
              <w:right w:val="single" w:color="232323"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运算符号</w:t>
            </w:r>
          </w:p>
        </w:tc>
        <w:tc>
          <w:tcPr>
            <w:tcW w:w="351" w:type="dxa"/>
            <w:tcBorders>
              <w:top w:val="single" w:color="232323" w:sz="4" w:space="0"/>
              <w:left w:val="single" w:color="232323" w:sz="4" w:space="0"/>
              <w:right w:val="single" w:color="232323"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内容</w:t>
            </w:r>
          </w:p>
        </w:tc>
        <w:tc>
          <w:tcPr>
            <w:tcW w:w="361" w:type="dxa"/>
            <w:tcBorders>
              <w:top w:val="single" w:color="232323" w:sz="4" w:space="0"/>
              <w:left w:val="single" w:color="232323" w:sz="4" w:space="0"/>
              <w:right w:val="single" w:color="232323"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度量单位</w:t>
            </w:r>
          </w:p>
        </w:tc>
        <w:tc>
          <w:tcPr>
            <w:tcW w:w="528" w:type="dxa"/>
            <w:vMerge w:val="continue"/>
            <w:tcBorders>
              <w:left w:val="single" w:color="232323" w:sz="4" w:space="0"/>
              <w:bottom w:val="single" w:color="232323" w:sz="4" w:space="0"/>
              <w:right w:val="single" w:color="232323" w:sz="4" w:space="0"/>
            </w:tcBorders>
            <w:shd w:val="clear"/>
            <w:vAlign w:val="center"/>
          </w:tcPr>
          <w:p>
            <w:pPr>
              <w:jc w:val="center"/>
              <w:rPr>
                <w:rFonts w:hint="eastAsia" w:ascii="宋体" w:hAnsi="宋体" w:eastAsia="宋体" w:cs="宋体"/>
                <w:i w:val="0"/>
                <w:color w:val="000000"/>
                <w:sz w:val="18"/>
                <w:szCs w:val="18"/>
                <w:u w:val="none"/>
              </w:rPr>
            </w:pPr>
          </w:p>
        </w:tc>
        <w:tc>
          <w:tcPr>
            <w:tcW w:w="497" w:type="dxa"/>
            <w:vMerge w:val="continue"/>
            <w:tcBorders>
              <w:left w:val="single" w:color="232323" w:sz="4" w:space="0"/>
              <w:bottom w:val="single" w:color="232323" w:sz="4" w:space="0"/>
              <w:right w:val="single" w:color="232323" w:sz="4" w:space="0"/>
            </w:tcBorders>
            <w:shd w:val="clear"/>
            <w:vAlign w:val="center"/>
          </w:tcPr>
          <w:p>
            <w:pPr>
              <w:jc w:val="center"/>
              <w:rPr>
                <w:rFonts w:hint="eastAsia" w:ascii="宋体" w:hAnsi="宋体" w:eastAsia="宋体" w:cs="宋体"/>
                <w:i w:val="0"/>
                <w:color w:val="000000"/>
                <w:sz w:val="18"/>
                <w:szCs w:val="18"/>
                <w:u w:val="none"/>
              </w:rPr>
            </w:pPr>
          </w:p>
        </w:tc>
        <w:tc>
          <w:tcPr>
            <w:tcW w:w="520" w:type="dxa"/>
            <w:vMerge w:val="continue"/>
            <w:tcBorders>
              <w:left w:val="single" w:color="232323" w:sz="4" w:space="0"/>
              <w:bottom w:val="single" w:color="232323" w:sz="4" w:space="0"/>
              <w:right w:val="single" w:color="232323" w:sz="4" w:space="0"/>
            </w:tcBorders>
            <w:shd w:val="clear"/>
            <w:vAlign w:val="center"/>
          </w:tcPr>
          <w:p>
            <w:pPr>
              <w:jc w:val="center"/>
              <w:rPr>
                <w:rFonts w:hint="eastAsia" w:ascii="宋体" w:hAnsi="宋体" w:eastAsia="宋体" w:cs="宋体"/>
                <w:i w:val="0"/>
                <w:color w:val="000000"/>
                <w:sz w:val="18"/>
                <w:szCs w:val="18"/>
                <w:u w:val="none"/>
              </w:rPr>
            </w:pPr>
          </w:p>
        </w:tc>
        <w:tc>
          <w:tcPr>
            <w:tcW w:w="254" w:type="dxa"/>
            <w:vMerge w:val="continue"/>
            <w:tcBorders>
              <w:left w:val="single" w:color="232323" w:sz="4" w:space="0"/>
              <w:bottom w:val="single" w:color="232323" w:sz="4" w:space="0"/>
              <w:right w:val="single" w:color="232323" w:sz="4" w:space="0"/>
            </w:tcBorders>
            <w:shd w:val="clear"/>
            <w:vAlign w:val="center"/>
          </w:tcPr>
          <w:p>
            <w:pPr>
              <w:jc w:val="center"/>
              <w:rPr>
                <w:rFonts w:hint="eastAsia" w:ascii="宋体" w:hAnsi="宋体" w:eastAsia="宋体" w:cs="宋体"/>
                <w:i w:val="0"/>
                <w:color w:val="000000"/>
                <w:sz w:val="18"/>
                <w:szCs w:val="18"/>
                <w:u w:val="none"/>
              </w:rPr>
            </w:pPr>
          </w:p>
        </w:tc>
        <w:tc>
          <w:tcPr>
            <w:tcW w:w="440" w:type="dxa"/>
            <w:tcBorders>
              <w:left w:val="single" w:color="232323" w:sz="4" w:space="0"/>
              <w:bottom w:val="single" w:color="232323" w:sz="4" w:space="0"/>
              <w:right w:val="single" w:color="232323"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经费保障</w:t>
            </w:r>
          </w:p>
        </w:tc>
        <w:tc>
          <w:tcPr>
            <w:tcW w:w="423" w:type="dxa"/>
            <w:tcBorders>
              <w:left w:val="single" w:color="232323" w:sz="4" w:space="0"/>
              <w:bottom w:val="single" w:color="232323" w:sz="4" w:space="0"/>
              <w:right w:val="single" w:color="232323"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制度保障</w:t>
            </w:r>
          </w:p>
        </w:tc>
        <w:tc>
          <w:tcPr>
            <w:tcW w:w="449" w:type="dxa"/>
            <w:tcBorders>
              <w:left w:val="single" w:color="232323" w:sz="4" w:space="0"/>
              <w:bottom w:val="single" w:color="232323" w:sz="4" w:space="0"/>
              <w:right w:val="single" w:color="232323"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人员保障</w:t>
            </w:r>
          </w:p>
        </w:tc>
        <w:tc>
          <w:tcPr>
            <w:tcW w:w="440" w:type="dxa"/>
            <w:tcBorders>
              <w:left w:val="single" w:color="232323" w:sz="4" w:space="0"/>
              <w:bottom w:val="single" w:color="232323" w:sz="4" w:space="0"/>
              <w:right w:val="single" w:color="232323"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硬件条件保障</w:t>
            </w:r>
          </w:p>
        </w:tc>
        <w:tc>
          <w:tcPr>
            <w:tcW w:w="453" w:type="dxa"/>
            <w:tcBorders>
              <w:left w:val="single" w:color="232323" w:sz="4" w:space="0"/>
              <w:bottom w:val="single" w:color="232323"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w:t>
            </w:r>
          </w:p>
        </w:tc>
        <w:tc>
          <w:tcPr>
            <w:tcW w:w="441" w:type="dxa"/>
            <w:tcBorders>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原因说明</w:t>
            </w:r>
          </w:p>
        </w:tc>
        <w:tc>
          <w:tcPr>
            <w:tcW w:w="678" w:type="dxa"/>
            <w:vMerge w:val="continue"/>
            <w:tcBorders>
              <w:bottom w:val="single" w:color="232323" w:sz="4" w:space="0"/>
              <w:right w:val="single" w:color="232323" w:sz="4" w:space="0"/>
            </w:tcBorders>
            <w:shd w:val="cle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870" w:hRule="atLeast"/>
        </w:trPr>
        <w:tc>
          <w:tcPr>
            <w:tcW w:w="378" w:type="dxa"/>
            <w:vMerge w:val="continue"/>
            <w:tcBorders>
              <w:top w:val="single" w:color="232323" w:sz="4" w:space="0"/>
              <w:lef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210" w:type="dxa"/>
            <w:vMerge w:val="restart"/>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产出</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指标</w:t>
            </w:r>
          </w:p>
        </w:tc>
        <w:tc>
          <w:tcPr>
            <w:tcW w:w="546" w:type="dxa"/>
            <w:tcBorders>
              <w:top w:val="single" w:color="232323" w:sz="4" w:space="0"/>
              <w:bottom w:val="single" w:color="232323" w:sz="4" w:space="0"/>
              <w:right w:val="single" w:color="232323"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Style w:val="9"/>
                <w:lang w:val="en-US" w:eastAsia="zh-CN" w:bidi="ar"/>
              </w:rPr>
              <w:t>数量</w:t>
            </w:r>
            <w:r>
              <w:rPr>
                <w:rStyle w:val="10"/>
                <w:rFonts w:eastAsia="宋体"/>
                <w:lang w:val="en-US" w:eastAsia="zh-CN" w:bidi="ar"/>
              </w:rPr>
              <w:br w:type="textWrapping"/>
            </w:r>
            <w:r>
              <w:rPr>
                <w:rStyle w:val="9"/>
                <w:lang w:val="en-US" w:eastAsia="zh-CN" w:bidi="ar"/>
              </w:rPr>
              <w:t>指标</w:t>
            </w:r>
          </w:p>
        </w:tc>
        <w:tc>
          <w:tcPr>
            <w:tcW w:w="440" w:type="dxa"/>
            <w:tcBorders>
              <w:top w:val="single" w:color="232323" w:sz="4" w:space="0"/>
              <w:left w:val="single" w:color="232323" w:sz="4" w:space="0"/>
              <w:bottom w:val="single" w:color="232323" w:sz="4" w:space="0"/>
              <w:right w:val="single" w:color="232323"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项目数量</w:t>
            </w:r>
          </w:p>
        </w:tc>
        <w:tc>
          <w:tcPr>
            <w:tcW w:w="1651" w:type="dxa"/>
            <w:vMerge w:val="restart"/>
            <w:tcBorders>
              <w:top w:val="single" w:color="232323" w:sz="4" w:space="0"/>
              <w:left w:val="single" w:color="232323" w:sz="4" w:space="0"/>
              <w:bottom w:val="single" w:color="232323" w:sz="4" w:space="0"/>
              <w:right w:val="single" w:color="232323" w:sz="4" w:space="0"/>
            </w:tcBorders>
            <w:shd w:val="cle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w:t>
            </w:r>
          </w:p>
        </w:tc>
        <w:tc>
          <w:tcPr>
            <w:tcW w:w="351" w:type="dxa"/>
            <w:tcBorders>
              <w:top w:val="single" w:color="232323" w:sz="4" w:space="0"/>
              <w:left w:val="single" w:color="232323" w:sz="4" w:space="0"/>
              <w:bottom w:val="single" w:color="232323" w:sz="4" w:space="0"/>
              <w:right w:val="single" w:color="232323"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w:t>
            </w:r>
          </w:p>
        </w:tc>
        <w:tc>
          <w:tcPr>
            <w:tcW w:w="361" w:type="dxa"/>
            <w:tcBorders>
              <w:top w:val="single" w:color="232323" w:sz="4" w:space="0"/>
              <w:left w:val="single" w:color="232323" w:sz="4" w:space="0"/>
              <w:bottom w:val="single" w:color="232323" w:sz="4" w:space="0"/>
              <w:right w:val="single" w:color="232323"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项</w:t>
            </w:r>
          </w:p>
        </w:tc>
        <w:tc>
          <w:tcPr>
            <w:tcW w:w="528" w:type="dxa"/>
            <w:tcBorders>
              <w:top w:val="single" w:color="232323" w:sz="4" w:space="0"/>
              <w:left w:val="single" w:color="232323" w:sz="4" w:space="0"/>
              <w:bottom w:val="single" w:color="232323" w:sz="4" w:space="0"/>
              <w:right w:val="single" w:color="232323" w:sz="4" w:space="0"/>
            </w:tcBorders>
            <w:shd w:val="clear"/>
            <w:vAlign w:val="center"/>
          </w:tcPr>
          <w:p>
            <w:pPr>
              <w:jc w:val="left"/>
              <w:rPr>
                <w:rFonts w:hint="eastAsia" w:ascii="宋体" w:hAnsi="宋体" w:eastAsia="宋体" w:cs="宋体"/>
                <w:i w:val="0"/>
                <w:color w:val="000000"/>
                <w:sz w:val="16"/>
                <w:szCs w:val="16"/>
                <w:u w:val="none"/>
              </w:rPr>
            </w:pPr>
          </w:p>
        </w:tc>
        <w:tc>
          <w:tcPr>
            <w:tcW w:w="497" w:type="dxa"/>
            <w:tcBorders>
              <w:top w:val="single" w:color="232323" w:sz="4" w:space="0"/>
              <w:left w:val="single" w:color="232323" w:sz="4" w:space="0"/>
              <w:bottom w:val="single" w:color="232323" w:sz="4" w:space="0"/>
              <w:right w:val="single" w:color="232323"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100%</w:t>
            </w:r>
          </w:p>
        </w:tc>
        <w:tc>
          <w:tcPr>
            <w:tcW w:w="520" w:type="dxa"/>
            <w:tcBorders>
              <w:top w:val="single" w:color="232323" w:sz="4" w:space="0"/>
              <w:left w:val="single" w:color="232323" w:sz="4" w:space="0"/>
              <w:bottom w:val="single" w:color="232323" w:sz="4" w:space="0"/>
              <w:right w:val="single" w:color="232323"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40</w:t>
            </w:r>
          </w:p>
        </w:tc>
        <w:tc>
          <w:tcPr>
            <w:tcW w:w="254" w:type="dxa"/>
            <w:tcBorders>
              <w:top w:val="single" w:color="232323" w:sz="4" w:space="0"/>
              <w:left w:val="single" w:color="232323" w:sz="4" w:space="0"/>
              <w:bottom w:val="single" w:color="232323" w:sz="4" w:space="0"/>
              <w:right w:val="single" w:color="232323"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40</w:t>
            </w:r>
          </w:p>
        </w:tc>
        <w:tc>
          <w:tcPr>
            <w:tcW w:w="440" w:type="dxa"/>
            <w:tcBorders>
              <w:top w:val="single" w:color="232323" w:sz="4" w:space="0"/>
              <w:left w:val="single" w:color="232323" w:sz="4" w:space="0"/>
              <w:bottom w:val="single" w:color="232323" w:sz="4" w:space="0"/>
              <w:right w:val="single" w:color="232323" w:sz="4" w:space="0"/>
            </w:tcBorders>
            <w:shd w:val="clear"/>
            <w:vAlign w:val="center"/>
          </w:tcPr>
          <w:p>
            <w:pPr>
              <w:jc w:val="left"/>
              <w:rPr>
                <w:rFonts w:hint="eastAsia" w:ascii="宋体" w:hAnsi="宋体" w:eastAsia="宋体" w:cs="宋体"/>
                <w:i w:val="0"/>
                <w:color w:val="000000"/>
                <w:sz w:val="16"/>
                <w:szCs w:val="16"/>
                <w:u w:val="none"/>
              </w:rPr>
            </w:pPr>
          </w:p>
        </w:tc>
        <w:tc>
          <w:tcPr>
            <w:tcW w:w="423" w:type="dxa"/>
            <w:tcBorders>
              <w:top w:val="single" w:color="232323" w:sz="4" w:space="0"/>
              <w:left w:val="single" w:color="232323" w:sz="4" w:space="0"/>
              <w:bottom w:val="single" w:color="232323" w:sz="4" w:space="0"/>
              <w:right w:val="single" w:color="232323" w:sz="4" w:space="0"/>
            </w:tcBorders>
            <w:shd w:val="clear"/>
            <w:vAlign w:val="center"/>
          </w:tcPr>
          <w:p>
            <w:pPr>
              <w:jc w:val="left"/>
              <w:rPr>
                <w:rFonts w:hint="eastAsia" w:ascii="宋体" w:hAnsi="宋体" w:eastAsia="宋体" w:cs="宋体"/>
                <w:i w:val="0"/>
                <w:color w:val="000000"/>
                <w:sz w:val="16"/>
                <w:szCs w:val="16"/>
                <w:u w:val="none"/>
              </w:rPr>
            </w:pPr>
          </w:p>
        </w:tc>
        <w:tc>
          <w:tcPr>
            <w:tcW w:w="449" w:type="dxa"/>
            <w:tcBorders>
              <w:top w:val="single" w:color="232323" w:sz="4" w:space="0"/>
              <w:left w:val="single" w:color="232323" w:sz="4" w:space="0"/>
              <w:bottom w:val="single" w:color="232323" w:sz="4" w:space="0"/>
              <w:right w:val="single" w:color="232323" w:sz="4" w:space="0"/>
            </w:tcBorders>
            <w:shd w:val="clear"/>
            <w:vAlign w:val="center"/>
          </w:tcPr>
          <w:p>
            <w:pPr>
              <w:jc w:val="left"/>
              <w:rPr>
                <w:rFonts w:hint="eastAsia" w:ascii="宋体" w:hAnsi="宋体" w:eastAsia="宋体" w:cs="宋体"/>
                <w:i w:val="0"/>
                <w:color w:val="000000"/>
                <w:sz w:val="16"/>
                <w:szCs w:val="16"/>
                <w:u w:val="none"/>
              </w:rPr>
            </w:pPr>
          </w:p>
        </w:tc>
        <w:tc>
          <w:tcPr>
            <w:tcW w:w="440" w:type="dxa"/>
            <w:tcBorders>
              <w:top w:val="single" w:color="232323" w:sz="4" w:space="0"/>
              <w:left w:val="single" w:color="232323" w:sz="4" w:space="0"/>
              <w:bottom w:val="single" w:color="232323" w:sz="4" w:space="0"/>
              <w:right w:val="single" w:color="232323" w:sz="4" w:space="0"/>
            </w:tcBorders>
            <w:shd w:val="clear"/>
            <w:vAlign w:val="center"/>
          </w:tcPr>
          <w:p>
            <w:pPr>
              <w:jc w:val="left"/>
              <w:rPr>
                <w:rFonts w:hint="eastAsia" w:ascii="宋体" w:hAnsi="宋体" w:eastAsia="宋体" w:cs="宋体"/>
                <w:i w:val="0"/>
                <w:color w:val="000000"/>
                <w:sz w:val="16"/>
                <w:szCs w:val="16"/>
                <w:u w:val="none"/>
              </w:rPr>
            </w:pPr>
          </w:p>
        </w:tc>
        <w:tc>
          <w:tcPr>
            <w:tcW w:w="453" w:type="dxa"/>
            <w:tcBorders>
              <w:top w:val="single" w:color="232323" w:sz="4" w:space="0"/>
              <w:left w:val="single" w:color="232323" w:sz="4" w:space="0"/>
              <w:bottom w:val="single" w:color="232323" w:sz="4" w:space="0"/>
            </w:tcBorders>
            <w:shd w:val="clear"/>
            <w:vAlign w:val="center"/>
          </w:tcPr>
          <w:p>
            <w:pPr>
              <w:jc w:val="left"/>
              <w:rPr>
                <w:rFonts w:hint="eastAsia" w:ascii="宋体" w:hAnsi="宋体" w:eastAsia="宋体" w:cs="宋体"/>
                <w:i w:val="0"/>
                <w:color w:val="000000"/>
                <w:sz w:val="16"/>
                <w:szCs w:val="16"/>
                <w:u w:val="none"/>
              </w:rPr>
            </w:pPr>
          </w:p>
        </w:tc>
        <w:tc>
          <w:tcPr>
            <w:tcW w:w="441" w:type="dxa"/>
            <w:tcBorders>
              <w:top w:val="single" w:color="000000" w:sz="4" w:space="0"/>
              <w:left w:val="single" w:color="000000" w:sz="4" w:space="0"/>
              <w:bottom w:val="single" w:color="000000" w:sz="4" w:space="0"/>
              <w:right w:val="single" w:color="000000" w:sz="4" w:space="0"/>
            </w:tcBorders>
            <w:shd w:val="clear"/>
            <w:vAlign w:val="center"/>
          </w:tcPr>
          <w:p>
            <w:pPr>
              <w:rPr>
                <w:rFonts w:hint="eastAsia" w:ascii="宋体" w:hAnsi="宋体" w:eastAsia="宋体" w:cs="宋体"/>
                <w:i w:val="0"/>
                <w:color w:val="000000"/>
                <w:sz w:val="16"/>
                <w:szCs w:val="16"/>
                <w:u w:val="none"/>
              </w:rPr>
            </w:pPr>
          </w:p>
        </w:tc>
        <w:tc>
          <w:tcPr>
            <w:tcW w:w="678" w:type="dxa"/>
            <w:tcBorders>
              <w:bottom w:val="single" w:color="232323" w:sz="4" w:space="0"/>
              <w:right w:val="single" w:color="232323" w:sz="4" w:space="0"/>
            </w:tcBorders>
            <w:shd w:val="clear"/>
            <w:vAlign w:val="center"/>
          </w:tcPr>
          <w:p>
            <w:pPr>
              <w:jc w:val="center"/>
              <w:rPr>
                <w:rFonts w:hint="eastAsia" w:ascii="宋体" w:hAnsi="宋体" w:eastAsia="宋体" w:cs="宋体"/>
                <w:i w:val="0"/>
                <w:color w:val="000000"/>
                <w:sz w:val="16"/>
                <w:szCs w:val="16"/>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15" w:hRule="atLeast"/>
        </w:trPr>
        <w:tc>
          <w:tcPr>
            <w:tcW w:w="378" w:type="dxa"/>
            <w:vMerge w:val="continue"/>
            <w:tcBorders>
              <w:top w:val="single" w:color="232323" w:sz="4" w:space="0"/>
              <w:lef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210" w:type="dxa"/>
            <w:vMerge w:val="continue"/>
            <w:tcBorders>
              <w:top w:val="single" w:color="000000" w:sz="4" w:space="0"/>
              <w:left w:val="single" w:color="000000" w:sz="4" w:space="0"/>
              <w:bottom w:val="single" w:color="000000" w:sz="4" w:space="0"/>
              <w:right w:val="single" w:color="000000" w:sz="4" w:space="0"/>
            </w:tcBorders>
            <w:shd w:val="clear"/>
            <w:vAlign w:val="center"/>
          </w:tcPr>
          <w:p>
            <w:pPr>
              <w:jc w:val="center"/>
              <w:rPr>
                <w:rFonts w:hint="eastAsia" w:ascii="宋体" w:hAnsi="宋体" w:eastAsia="宋体" w:cs="宋体"/>
                <w:i w:val="0"/>
                <w:color w:val="000000"/>
                <w:sz w:val="18"/>
                <w:szCs w:val="18"/>
                <w:u w:val="none"/>
              </w:rPr>
            </w:pPr>
          </w:p>
        </w:tc>
        <w:tc>
          <w:tcPr>
            <w:tcW w:w="546" w:type="dxa"/>
            <w:tcBorders>
              <w:top w:val="single" w:color="232323" w:sz="4" w:space="0"/>
              <w:right w:val="single" w:color="232323"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成本</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指标</w:t>
            </w:r>
          </w:p>
        </w:tc>
        <w:tc>
          <w:tcPr>
            <w:tcW w:w="440" w:type="dxa"/>
            <w:tcBorders>
              <w:top w:val="single" w:color="232323" w:sz="4" w:space="0"/>
              <w:left w:val="single" w:color="232323" w:sz="4" w:space="0"/>
              <w:right w:val="single" w:color="232323"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预算资金执行</w:t>
            </w:r>
          </w:p>
        </w:tc>
        <w:tc>
          <w:tcPr>
            <w:tcW w:w="1651" w:type="dxa"/>
            <w:vMerge w:val="continue"/>
            <w:tcBorders>
              <w:top w:val="single" w:color="232323" w:sz="4" w:space="0"/>
              <w:left w:val="single" w:color="232323" w:sz="4" w:space="0"/>
              <w:bottom w:val="single" w:color="232323" w:sz="4" w:space="0"/>
              <w:right w:val="single" w:color="232323" w:sz="4" w:space="0"/>
            </w:tcBorders>
            <w:shd w:val="clear"/>
            <w:vAlign w:val="center"/>
          </w:tcPr>
          <w:p>
            <w:pPr>
              <w:jc w:val="center"/>
              <w:rPr>
                <w:rFonts w:hint="default" w:ascii="Times New Roman" w:hAnsi="Times New Roman" w:cs="Times New Roman"/>
                <w:i w:val="0"/>
                <w:color w:val="000000"/>
                <w:sz w:val="20"/>
                <w:szCs w:val="20"/>
                <w:u w:val="none"/>
              </w:rPr>
            </w:pPr>
          </w:p>
        </w:tc>
        <w:tc>
          <w:tcPr>
            <w:tcW w:w="351" w:type="dxa"/>
            <w:tcBorders>
              <w:top w:val="single" w:color="232323" w:sz="4" w:space="0"/>
              <w:left w:val="single" w:color="232323" w:sz="4" w:space="0"/>
              <w:right w:val="single" w:color="232323" w:sz="4" w:space="0"/>
            </w:tcBorders>
            <w:shd w:val="cle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7</w:t>
            </w:r>
          </w:p>
        </w:tc>
        <w:tc>
          <w:tcPr>
            <w:tcW w:w="361" w:type="dxa"/>
            <w:tcBorders>
              <w:top w:val="single" w:color="232323" w:sz="4" w:space="0"/>
              <w:left w:val="single" w:color="232323" w:sz="4" w:space="0"/>
              <w:right w:val="single" w:color="232323"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万元</w:t>
            </w:r>
          </w:p>
        </w:tc>
        <w:tc>
          <w:tcPr>
            <w:tcW w:w="528" w:type="dxa"/>
            <w:tcBorders>
              <w:top w:val="single" w:color="232323" w:sz="4" w:space="0"/>
              <w:left w:val="single" w:color="232323" w:sz="4" w:space="0"/>
              <w:right w:val="single" w:color="232323" w:sz="4" w:space="0"/>
            </w:tcBorders>
            <w:shd w:val="cle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6.26</w:t>
            </w:r>
          </w:p>
        </w:tc>
        <w:tc>
          <w:tcPr>
            <w:tcW w:w="497" w:type="dxa"/>
            <w:tcBorders>
              <w:top w:val="single" w:color="232323" w:sz="4" w:space="0"/>
              <w:left w:val="single" w:color="232323" w:sz="4" w:space="0"/>
              <w:right w:val="single" w:color="232323" w:sz="4" w:space="0"/>
            </w:tcBorders>
            <w:shd w:val="cle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89%</w:t>
            </w:r>
          </w:p>
        </w:tc>
        <w:tc>
          <w:tcPr>
            <w:tcW w:w="520" w:type="dxa"/>
            <w:tcBorders>
              <w:top w:val="single" w:color="232323" w:sz="4" w:space="0"/>
              <w:left w:val="single" w:color="232323" w:sz="4" w:space="0"/>
              <w:right w:val="single" w:color="232323" w:sz="4" w:space="0"/>
            </w:tcBorders>
            <w:shd w:val="cle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w:t>
            </w:r>
          </w:p>
        </w:tc>
        <w:tc>
          <w:tcPr>
            <w:tcW w:w="254" w:type="dxa"/>
            <w:tcBorders>
              <w:top w:val="single" w:color="232323" w:sz="4" w:space="0"/>
              <w:left w:val="single" w:color="232323" w:sz="4" w:space="0"/>
              <w:right w:val="single" w:color="232323" w:sz="4" w:space="0"/>
            </w:tcBorders>
            <w:shd w:val="clear"/>
            <w:vAlign w:val="center"/>
          </w:tcPr>
          <w:p>
            <w:pPr>
              <w:keepNext w:val="0"/>
              <w:keepLines w:val="0"/>
              <w:widowControl/>
              <w:suppressLineNumbers w:val="0"/>
              <w:jc w:val="center"/>
              <w:textAlignment w:val="center"/>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w:t>
            </w:r>
          </w:p>
        </w:tc>
        <w:tc>
          <w:tcPr>
            <w:tcW w:w="440" w:type="dxa"/>
            <w:tcBorders>
              <w:top w:val="single" w:color="232323" w:sz="4" w:space="0"/>
              <w:left w:val="single" w:color="232323" w:sz="4" w:space="0"/>
              <w:right w:val="single" w:color="232323" w:sz="4" w:space="0"/>
            </w:tcBorders>
            <w:shd w:val="clear"/>
            <w:vAlign w:val="center"/>
          </w:tcPr>
          <w:p>
            <w:pPr>
              <w:jc w:val="center"/>
              <w:rPr>
                <w:rFonts w:hint="default" w:ascii="Times New Roman" w:hAnsi="Times New Roman" w:cs="Times New Roman"/>
                <w:i w:val="0"/>
                <w:color w:val="000000"/>
                <w:sz w:val="20"/>
                <w:szCs w:val="20"/>
                <w:u w:val="none"/>
              </w:rPr>
            </w:pPr>
          </w:p>
        </w:tc>
        <w:tc>
          <w:tcPr>
            <w:tcW w:w="423" w:type="dxa"/>
            <w:tcBorders>
              <w:top w:val="single" w:color="232323" w:sz="4" w:space="0"/>
              <w:left w:val="single" w:color="232323" w:sz="4" w:space="0"/>
              <w:right w:val="single" w:color="232323" w:sz="4" w:space="0"/>
            </w:tcBorders>
            <w:shd w:val="clear"/>
            <w:vAlign w:val="center"/>
          </w:tcPr>
          <w:p>
            <w:pPr>
              <w:jc w:val="center"/>
              <w:rPr>
                <w:rFonts w:hint="default" w:ascii="Times New Roman" w:hAnsi="Times New Roman" w:cs="Times New Roman"/>
                <w:i w:val="0"/>
                <w:color w:val="000000"/>
                <w:sz w:val="20"/>
                <w:szCs w:val="20"/>
                <w:u w:val="none"/>
              </w:rPr>
            </w:pPr>
          </w:p>
        </w:tc>
        <w:tc>
          <w:tcPr>
            <w:tcW w:w="449" w:type="dxa"/>
            <w:tcBorders>
              <w:top w:val="single" w:color="232323" w:sz="4" w:space="0"/>
              <w:left w:val="single" w:color="232323" w:sz="4" w:space="0"/>
              <w:right w:val="single" w:color="232323" w:sz="4" w:space="0"/>
            </w:tcBorders>
            <w:shd w:val="clear"/>
            <w:vAlign w:val="center"/>
          </w:tcPr>
          <w:p>
            <w:pPr>
              <w:jc w:val="center"/>
              <w:rPr>
                <w:rFonts w:hint="default" w:ascii="Times New Roman" w:hAnsi="Times New Roman" w:cs="Times New Roman"/>
                <w:i w:val="0"/>
                <w:color w:val="000000"/>
                <w:sz w:val="20"/>
                <w:szCs w:val="20"/>
                <w:u w:val="none"/>
              </w:rPr>
            </w:pPr>
          </w:p>
        </w:tc>
        <w:tc>
          <w:tcPr>
            <w:tcW w:w="440" w:type="dxa"/>
            <w:tcBorders>
              <w:top w:val="single" w:color="232323" w:sz="4" w:space="0"/>
              <w:left w:val="single" w:color="232323" w:sz="4" w:space="0"/>
              <w:right w:val="single" w:color="232323" w:sz="4" w:space="0"/>
            </w:tcBorders>
            <w:shd w:val="clear"/>
            <w:vAlign w:val="center"/>
          </w:tcPr>
          <w:p>
            <w:pPr>
              <w:jc w:val="center"/>
              <w:rPr>
                <w:rFonts w:hint="default" w:ascii="Times New Roman" w:hAnsi="Times New Roman" w:cs="Times New Roman"/>
                <w:i w:val="0"/>
                <w:color w:val="000000"/>
                <w:sz w:val="20"/>
                <w:szCs w:val="20"/>
                <w:u w:val="none"/>
              </w:rPr>
            </w:pPr>
          </w:p>
        </w:tc>
        <w:tc>
          <w:tcPr>
            <w:tcW w:w="453" w:type="dxa"/>
            <w:shd w:val="clear"/>
            <w:vAlign w:val="center"/>
          </w:tcPr>
          <w:p>
            <w:pPr>
              <w:keepNext w:val="0"/>
              <w:keepLines w:val="0"/>
              <w:widowControl/>
              <w:suppressLineNumbers w:val="0"/>
              <w:jc w:val="both"/>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w:t>
            </w:r>
          </w:p>
        </w:tc>
        <w:tc>
          <w:tcPr>
            <w:tcW w:w="441"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节约经费</w:t>
            </w:r>
          </w:p>
        </w:tc>
        <w:tc>
          <w:tcPr>
            <w:tcW w:w="678" w:type="dxa"/>
            <w:tcBorders>
              <w:top w:val="single" w:color="232323" w:sz="4" w:space="0"/>
              <w:right w:val="single" w:color="232323" w:sz="4" w:space="0"/>
            </w:tcBorders>
            <w:shd w:val="clear"/>
            <w:vAlign w:val="center"/>
          </w:tcPr>
          <w:p>
            <w:pPr>
              <w:jc w:val="center"/>
              <w:rPr>
                <w:rFonts w:hint="default" w:ascii="Times New Roman" w:hAnsi="Times New Roman"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1050" w:hRule="atLeast"/>
        </w:trPr>
        <w:tc>
          <w:tcPr>
            <w:tcW w:w="378" w:type="dxa"/>
            <w:vMerge w:val="continue"/>
            <w:tcBorders>
              <w:top w:val="single" w:color="232323" w:sz="4" w:space="0"/>
              <w:lef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2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效益</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指标</w:t>
            </w:r>
          </w:p>
        </w:tc>
        <w:tc>
          <w:tcPr>
            <w:tcW w:w="546" w:type="dxa"/>
            <w:tcBorders>
              <w:top w:val="single" w:color="232323" w:sz="4" w:space="0"/>
              <w:bottom w:val="single" w:color="232323" w:sz="4" w:space="0"/>
              <w:right w:val="single" w:color="232323"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社会效益指标</w:t>
            </w:r>
          </w:p>
        </w:tc>
        <w:tc>
          <w:tcPr>
            <w:tcW w:w="440" w:type="dxa"/>
            <w:tcBorders>
              <w:top w:val="single" w:color="232323" w:sz="4" w:space="0"/>
              <w:left w:val="single" w:color="232323" w:sz="4" w:space="0"/>
              <w:bottom w:val="single" w:color="232323" w:sz="4" w:space="0"/>
              <w:right w:val="single" w:color="232323"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16"/>
                <w:szCs w:val="16"/>
                <w:u w:val="none"/>
              </w:rPr>
            </w:pPr>
            <w:r>
              <w:rPr>
                <w:rFonts w:hint="eastAsia" w:ascii="宋体" w:hAnsi="宋体" w:eastAsia="宋体" w:cs="宋体"/>
                <w:i w:val="0"/>
                <w:color w:val="000000"/>
                <w:kern w:val="0"/>
                <w:sz w:val="16"/>
                <w:szCs w:val="16"/>
                <w:u w:val="none"/>
                <w:lang w:val="en-US" w:eastAsia="zh-CN" w:bidi="ar"/>
              </w:rPr>
              <w:t>维护堤坝安全</w:t>
            </w:r>
          </w:p>
        </w:tc>
        <w:tc>
          <w:tcPr>
            <w:tcW w:w="1651" w:type="dxa"/>
            <w:vMerge w:val="continue"/>
            <w:tcBorders>
              <w:top w:val="single" w:color="232323" w:sz="4" w:space="0"/>
              <w:left w:val="single" w:color="232323" w:sz="4" w:space="0"/>
              <w:bottom w:val="single" w:color="232323" w:sz="4" w:space="0"/>
              <w:right w:val="single" w:color="232323" w:sz="4" w:space="0"/>
            </w:tcBorders>
            <w:shd w:val="clear"/>
            <w:vAlign w:val="center"/>
          </w:tcPr>
          <w:p>
            <w:pPr>
              <w:jc w:val="center"/>
              <w:rPr>
                <w:rFonts w:hint="default" w:ascii="Times New Roman" w:hAnsi="Times New Roman" w:cs="Times New Roman"/>
                <w:i w:val="0"/>
                <w:color w:val="000000"/>
                <w:sz w:val="20"/>
                <w:szCs w:val="20"/>
                <w:u w:val="none"/>
              </w:rPr>
            </w:pPr>
          </w:p>
        </w:tc>
        <w:tc>
          <w:tcPr>
            <w:tcW w:w="351" w:type="dxa"/>
            <w:tcBorders>
              <w:top w:val="single" w:color="232323" w:sz="4" w:space="0"/>
              <w:left w:val="single" w:color="232323" w:sz="4" w:space="0"/>
              <w:bottom w:val="single" w:color="232323" w:sz="4" w:space="0"/>
              <w:right w:val="single" w:color="232323" w:sz="4" w:space="0"/>
            </w:tcBorders>
            <w:shd w:val="clear"/>
            <w:vAlign w:val="bottom"/>
          </w:tcPr>
          <w:p>
            <w:pPr>
              <w:jc w:val="left"/>
              <w:rPr>
                <w:rFonts w:hint="default" w:ascii="Times New Roman" w:hAnsi="Times New Roman" w:cs="Times New Roman"/>
                <w:i w:val="0"/>
                <w:color w:val="000000"/>
                <w:sz w:val="20"/>
                <w:szCs w:val="20"/>
                <w:u w:val="none"/>
              </w:rPr>
            </w:pPr>
          </w:p>
        </w:tc>
        <w:tc>
          <w:tcPr>
            <w:tcW w:w="361" w:type="dxa"/>
            <w:tcBorders>
              <w:top w:val="single" w:color="232323" w:sz="4" w:space="0"/>
              <w:left w:val="single" w:color="232323" w:sz="4" w:space="0"/>
              <w:bottom w:val="single" w:color="232323" w:sz="4" w:space="0"/>
              <w:right w:val="single" w:color="232323" w:sz="4" w:space="0"/>
            </w:tcBorders>
            <w:shd w:val="clear"/>
            <w:vAlign w:val="bottom"/>
          </w:tcPr>
          <w:p>
            <w:pPr>
              <w:jc w:val="left"/>
              <w:rPr>
                <w:rFonts w:hint="default" w:ascii="Times New Roman" w:hAnsi="Times New Roman" w:cs="Times New Roman"/>
                <w:i w:val="0"/>
                <w:color w:val="000000"/>
                <w:sz w:val="20"/>
                <w:szCs w:val="20"/>
                <w:u w:val="none"/>
              </w:rPr>
            </w:pPr>
          </w:p>
        </w:tc>
        <w:tc>
          <w:tcPr>
            <w:tcW w:w="528" w:type="dxa"/>
            <w:tcBorders>
              <w:top w:val="single" w:color="232323" w:sz="4" w:space="0"/>
              <w:left w:val="single" w:color="232323" w:sz="4" w:space="0"/>
              <w:bottom w:val="single" w:color="232323" w:sz="4" w:space="0"/>
              <w:right w:val="single" w:color="232323" w:sz="4" w:space="0"/>
            </w:tcBorders>
            <w:shd w:val="clear"/>
            <w:vAlign w:val="bottom"/>
          </w:tcPr>
          <w:p>
            <w:pPr>
              <w:jc w:val="left"/>
              <w:rPr>
                <w:rFonts w:hint="default" w:ascii="Times New Roman" w:hAnsi="Times New Roman" w:cs="Times New Roman"/>
                <w:i w:val="0"/>
                <w:color w:val="000000"/>
                <w:sz w:val="20"/>
                <w:szCs w:val="20"/>
                <w:u w:val="none"/>
              </w:rPr>
            </w:pPr>
          </w:p>
        </w:tc>
        <w:tc>
          <w:tcPr>
            <w:tcW w:w="497" w:type="dxa"/>
            <w:tcBorders>
              <w:top w:val="single" w:color="232323" w:sz="4" w:space="0"/>
              <w:left w:val="single" w:color="232323" w:sz="4" w:space="0"/>
              <w:bottom w:val="single" w:color="232323" w:sz="4" w:space="0"/>
              <w:right w:val="single" w:color="232323" w:sz="4" w:space="0"/>
            </w:tcBorders>
            <w:shd w:val="clear"/>
            <w:vAlign w:val="center"/>
          </w:tcPr>
          <w:p>
            <w:pPr>
              <w:keepNext w:val="0"/>
              <w:keepLines w:val="0"/>
              <w:widowControl/>
              <w:suppressLineNumbers w:val="0"/>
              <w:jc w:val="left"/>
              <w:textAlignment w:val="center"/>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100%</w:t>
            </w:r>
          </w:p>
        </w:tc>
        <w:tc>
          <w:tcPr>
            <w:tcW w:w="520" w:type="dxa"/>
            <w:tcBorders>
              <w:top w:val="single" w:color="232323" w:sz="4" w:space="0"/>
              <w:left w:val="single" w:color="232323" w:sz="4" w:space="0"/>
              <w:bottom w:val="single" w:color="232323" w:sz="4" w:space="0"/>
              <w:right w:val="single" w:color="232323" w:sz="4" w:space="0"/>
            </w:tcBorders>
            <w:shd w:val="clear"/>
            <w:vAlign w:val="center"/>
          </w:tcPr>
          <w:p>
            <w:pPr>
              <w:keepNext w:val="0"/>
              <w:keepLines w:val="0"/>
              <w:widowControl/>
              <w:suppressLineNumbers w:val="0"/>
              <w:jc w:val="left"/>
              <w:textAlignment w:val="center"/>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30</w:t>
            </w:r>
          </w:p>
        </w:tc>
        <w:tc>
          <w:tcPr>
            <w:tcW w:w="254" w:type="dxa"/>
            <w:tcBorders>
              <w:top w:val="single" w:color="232323" w:sz="4" w:space="0"/>
              <w:left w:val="single" w:color="232323" w:sz="4" w:space="0"/>
              <w:bottom w:val="single" w:color="232323" w:sz="4" w:space="0"/>
              <w:right w:val="single" w:color="232323" w:sz="4" w:space="0"/>
            </w:tcBorders>
            <w:shd w:val="clear"/>
            <w:vAlign w:val="center"/>
          </w:tcPr>
          <w:p>
            <w:pPr>
              <w:keepNext w:val="0"/>
              <w:keepLines w:val="0"/>
              <w:widowControl/>
              <w:suppressLineNumbers w:val="0"/>
              <w:jc w:val="left"/>
              <w:textAlignment w:val="center"/>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30</w:t>
            </w:r>
          </w:p>
        </w:tc>
        <w:tc>
          <w:tcPr>
            <w:tcW w:w="440" w:type="dxa"/>
            <w:tcBorders>
              <w:top w:val="single" w:color="232323" w:sz="4" w:space="0"/>
              <w:left w:val="single" w:color="232323" w:sz="4" w:space="0"/>
              <w:bottom w:val="single" w:color="232323" w:sz="4" w:space="0"/>
              <w:right w:val="single" w:color="232323" w:sz="4" w:space="0"/>
            </w:tcBorders>
            <w:shd w:val="clear"/>
            <w:vAlign w:val="bottom"/>
          </w:tcPr>
          <w:p>
            <w:pPr>
              <w:jc w:val="left"/>
              <w:rPr>
                <w:rFonts w:hint="default" w:ascii="Times New Roman" w:hAnsi="Times New Roman" w:cs="Times New Roman"/>
                <w:i w:val="0"/>
                <w:color w:val="000000"/>
                <w:sz w:val="20"/>
                <w:szCs w:val="20"/>
                <w:u w:val="none"/>
              </w:rPr>
            </w:pPr>
          </w:p>
        </w:tc>
        <w:tc>
          <w:tcPr>
            <w:tcW w:w="423" w:type="dxa"/>
            <w:tcBorders>
              <w:top w:val="single" w:color="232323" w:sz="4" w:space="0"/>
              <w:left w:val="single" w:color="232323" w:sz="4" w:space="0"/>
              <w:bottom w:val="single" w:color="232323" w:sz="4" w:space="0"/>
              <w:right w:val="single" w:color="232323" w:sz="4" w:space="0"/>
            </w:tcBorders>
            <w:shd w:val="clear"/>
            <w:vAlign w:val="bottom"/>
          </w:tcPr>
          <w:p>
            <w:pPr>
              <w:jc w:val="left"/>
              <w:rPr>
                <w:rFonts w:hint="default" w:ascii="Times New Roman" w:hAnsi="Times New Roman" w:cs="Times New Roman"/>
                <w:i w:val="0"/>
                <w:color w:val="000000"/>
                <w:sz w:val="20"/>
                <w:szCs w:val="20"/>
                <w:u w:val="none"/>
              </w:rPr>
            </w:pPr>
          </w:p>
        </w:tc>
        <w:tc>
          <w:tcPr>
            <w:tcW w:w="449" w:type="dxa"/>
            <w:tcBorders>
              <w:top w:val="single" w:color="232323" w:sz="4" w:space="0"/>
              <w:left w:val="single" w:color="232323" w:sz="4" w:space="0"/>
              <w:bottom w:val="single" w:color="232323" w:sz="4" w:space="0"/>
              <w:right w:val="single" w:color="232323" w:sz="4" w:space="0"/>
            </w:tcBorders>
            <w:shd w:val="clear"/>
            <w:vAlign w:val="bottom"/>
          </w:tcPr>
          <w:p>
            <w:pPr>
              <w:jc w:val="left"/>
              <w:rPr>
                <w:rFonts w:hint="default" w:ascii="Times New Roman" w:hAnsi="Times New Roman" w:cs="Times New Roman"/>
                <w:i w:val="0"/>
                <w:color w:val="000000"/>
                <w:sz w:val="20"/>
                <w:szCs w:val="20"/>
                <w:u w:val="none"/>
              </w:rPr>
            </w:pPr>
          </w:p>
        </w:tc>
        <w:tc>
          <w:tcPr>
            <w:tcW w:w="440" w:type="dxa"/>
            <w:tcBorders>
              <w:top w:val="single" w:color="232323" w:sz="4" w:space="0"/>
              <w:left w:val="single" w:color="232323" w:sz="4" w:space="0"/>
              <w:bottom w:val="single" w:color="232323" w:sz="4" w:space="0"/>
              <w:right w:val="single" w:color="232323" w:sz="4" w:space="0"/>
            </w:tcBorders>
            <w:shd w:val="clear"/>
            <w:vAlign w:val="bottom"/>
          </w:tcPr>
          <w:p>
            <w:pPr>
              <w:jc w:val="left"/>
              <w:rPr>
                <w:rFonts w:hint="default" w:ascii="Times New Roman" w:hAnsi="Times New Roman" w:cs="Times New Roman"/>
                <w:i w:val="0"/>
                <w:color w:val="000000"/>
                <w:sz w:val="20"/>
                <w:szCs w:val="20"/>
                <w:u w:val="none"/>
              </w:rPr>
            </w:pPr>
          </w:p>
        </w:tc>
        <w:tc>
          <w:tcPr>
            <w:tcW w:w="453" w:type="dxa"/>
            <w:tcBorders>
              <w:top w:val="single" w:color="232323" w:sz="4" w:space="0"/>
              <w:left w:val="single" w:color="232323" w:sz="4" w:space="0"/>
              <w:bottom w:val="single" w:color="232323" w:sz="4" w:space="0"/>
            </w:tcBorders>
            <w:shd w:val="clear"/>
            <w:vAlign w:val="bottom"/>
          </w:tcPr>
          <w:p>
            <w:pPr>
              <w:jc w:val="left"/>
              <w:rPr>
                <w:rFonts w:hint="default" w:ascii="Times New Roman" w:hAnsi="Times New Roman" w:cs="Times New Roman"/>
                <w:i w:val="0"/>
                <w:color w:val="000000"/>
                <w:sz w:val="20"/>
                <w:szCs w:val="20"/>
                <w:u w:val="none"/>
              </w:rPr>
            </w:pPr>
          </w:p>
        </w:tc>
        <w:tc>
          <w:tcPr>
            <w:tcW w:w="441" w:type="dxa"/>
            <w:tcBorders>
              <w:top w:val="single" w:color="000000" w:sz="4" w:space="0"/>
              <w:left w:val="single" w:color="000000" w:sz="4" w:space="0"/>
              <w:bottom w:val="single" w:color="000000" w:sz="4" w:space="0"/>
              <w:right w:val="single" w:color="000000" w:sz="4" w:space="0"/>
            </w:tcBorders>
            <w:shd w:val="clear"/>
            <w:vAlign w:val="bottom"/>
          </w:tcPr>
          <w:p>
            <w:pPr>
              <w:rPr>
                <w:rFonts w:hint="default" w:ascii="Times New Roman" w:hAnsi="Times New Roman" w:cs="Times New Roman"/>
                <w:i w:val="0"/>
                <w:color w:val="000000"/>
                <w:sz w:val="20"/>
                <w:szCs w:val="20"/>
                <w:u w:val="none"/>
              </w:rPr>
            </w:pPr>
          </w:p>
        </w:tc>
        <w:tc>
          <w:tcPr>
            <w:tcW w:w="678" w:type="dxa"/>
            <w:tcBorders>
              <w:top w:val="single" w:color="232323" w:sz="4" w:space="0"/>
              <w:bottom w:val="single" w:color="232323" w:sz="4" w:space="0"/>
              <w:right w:val="single" w:color="232323" w:sz="4" w:space="0"/>
            </w:tcBorders>
            <w:shd w:val="clear"/>
            <w:vAlign w:val="bottom"/>
          </w:tcPr>
          <w:p>
            <w:pPr>
              <w:jc w:val="center"/>
              <w:rPr>
                <w:rFonts w:hint="default" w:ascii="Times New Roman" w:hAnsi="Times New Roman"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15" w:type="dxa"/>
            <w:left w:w="15" w:type="dxa"/>
            <w:bottom w:w="15" w:type="dxa"/>
            <w:right w:w="15" w:type="dxa"/>
          </w:tblCellMar>
        </w:tblPrEx>
        <w:trPr>
          <w:trHeight w:val="1200" w:hRule="atLeast"/>
        </w:trPr>
        <w:tc>
          <w:tcPr>
            <w:tcW w:w="378" w:type="dxa"/>
            <w:vMerge w:val="continue"/>
            <w:tcBorders>
              <w:top w:val="single" w:color="232323" w:sz="4" w:space="0"/>
              <w:left w:val="single" w:color="000000" w:sz="4" w:space="0"/>
            </w:tcBorders>
            <w:shd w:val="clear"/>
            <w:vAlign w:val="center"/>
          </w:tcPr>
          <w:p>
            <w:pPr>
              <w:jc w:val="center"/>
              <w:rPr>
                <w:rFonts w:hint="eastAsia" w:ascii="宋体" w:hAnsi="宋体" w:eastAsia="宋体" w:cs="宋体"/>
                <w:i w:val="0"/>
                <w:color w:val="000000"/>
                <w:sz w:val="20"/>
                <w:szCs w:val="20"/>
                <w:u w:val="none"/>
              </w:rPr>
            </w:pPr>
          </w:p>
        </w:tc>
        <w:tc>
          <w:tcPr>
            <w:tcW w:w="210" w:type="dxa"/>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满意度指标</w:t>
            </w:r>
          </w:p>
        </w:tc>
        <w:tc>
          <w:tcPr>
            <w:tcW w:w="546" w:type="dxa"/>
            <w:tcBorders>
              <w:top w:val="single" w:color="232323" w:sz="4" w:space="0"/>
              <w:bottom w:val="single" w:color="232323" w:sz="4" w:space="0"/>
              <w:right w:val="single" w:color="232323" w:sz="4" w:space="0"/>
            </w:tcBorders>
            <w:shd w:val="clear"/>
            <w:vAlign w:val="bottom"/>
          </w:tcPr>
          <w:p>
            <w:pPr>
              <w:keepNext w:val="0"/>
              <w:keepLines w:val="0"/>
              <w:widowControl/>
              <w:suppressLineNumbers w:val="0"/>
              <w:jc w:val="left"/>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服务对象满意度指标</w:t>
            </w:r>
          </w:p>
        </w:tc>
        <w:tc>
          <w:tcPr>
            <w:tcW w:w="440" w:type="dxa"/>
            <w:tcBorders>
              <w:top w:val="single" w:color="232323" w:sz="4" w:space="0"/>
              <w:left w:val="single" w:color="232323" w:sz="4" w:space="0"/>
              <w:bottom w:val="single" w:color="232323" w:sz="4" w:space="0"/>
              <w:right w:val="single" w:color="232323" w:sz="4" w:space="0"/>
            </w:tcBorders>
            <w:shd w:val="clear"/>
            <w:vAlign w:val="bottom"/>
          </w:tcPr>
          <w:p>
            <w:pPr>
              <w:jc w:val="left"/>
              <w:rPr>
                <w:rFonts w:hint="default" w:ascii="Times New Roman" w:hAnsi="Times New Roman" w:cs="Times New Roman"/>
                <w:i w:val="0"/>
                <w:color w:val="000000"/>
                <w:sz w:val="20"/>
                <w:szCs w:val="20"/>
                <w:u w:val="none"/>
              </w:rPr>
            </w:pPr>
          </w:p>
        </w:tc>
        <w:tc>
          <w:tcPr>
            <w:tcW w:w="1651" w:type="dxa"/>
            <w:vMerge w:val="continue"/>
            <w:tcBorders>
              <w:top w:val="single" w:color="232323" w:sz="4" w:space="0"/>
              <w:left w:val="single" w:color="232323" w:sz="4" w:space="0"/>
              <w:bottom w:val="single" w:color="232323" w:sz="4" w:space="0"/>
              <w:right w:val="single" w:color="232323" w:sz="4" w:space="0"/>
            </w:tcBorders>
            <w:shd w:val="clear"/>
            <w:vAlign w:val="center"/>
          </w:tcPr>
          <w:p>
            <w:pPr>
              <w:jc w:val="center"/>
              <w:rPr>
                <w:rFonts w:hint="default" w:ascii="Times New Roman" w:hAnsi="Times New Roman" w:cs="Times New Roman"/>
                <w:i w:val="0"/>
                <w:color w:val="000000"/>
                <w:sz w:val="20"/>
                <w:szCs w:val="20"/>
                <w:u w:val="none"/>
              </w:rPr>
            </w:pPr>
          </w:p>
        </w:tc>
        <w:tc>
          <w:tcPr>
            <w:tcW w:w="351" w:type="dxa"/>
            <w:tcBorders>
              <w:top w:val="single" w:color="232323" w:sz="4" w:space="0"/>
              <w:left w:val="single" w:color="232323" w:sz="4" w:space="0"/>
              <w:bottom w:val="single" w:color="232323" w:sz="4" w:space="0"/>
              <w:right w:val="single" w:color="232323"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全区</w:t>
            </w:r>
          </w:p>
        </w:tc>
        <w:tc>
          <w:tcPr>
            <w:tcW w:w="361" w:type="dxa"/>
            <w:tcBorders>
              <w:top w:val="single" w:color="232323" w:sz="4" w:space="0"/>
              <w:left w:val="single" w:color="232323" w:sz="4" w:space="0"/>
              <w:bottom w:val="single" w:color="232323" w:sz="4" w:space="0"/>
              <w:right w:val="single" w:color="232323" w:sz="4" w:space="0"/>
            </w:tcBorders>
            <w:shd w:val="clear"/>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w:t>
            </w:r>
          </w:p>
        </w:tc>
        <w:tc>
          <w:tcPr>
            <w:tcW w:w="528" w:type="dxa"/>
            <w:tcBorders>
              <w:top w:val="single" w:color="232323" w:sz="4" w:space="0"/>
              <w:left w:val="single" w:color="232323" w:sz="4" w:space="0"/>
              <w:bottom w:val="single" w:color="232323" w:sz="4" w:space="0"/>
              <w:right w:val="single" w:color="232323" w:sz="4" w:space="0"/>
            </w:tcBorders>
            <w:shd w:val="clear"/>
            <w:vAlign w:val="bottom"/>
          </w:tcPr>
          <w:p>
            <w:pPr>
              <w:jc w:val="left"/>
              <w:rPr>
                <w:rFonts w:hint="default" w:ascii="Times New Roman" w:hAnsi="Times New Roman" w:cs="Times New Roman"/>
                <w:i w:val="0"/>
                <w:color w:val="000000"/>
                <w:sz w:val="20"/>
                <w:szCs w:val="20"/>
                <w:u w:val="none"/>
              </w:rPr>
            </w:pPr>
          </w:p>
        </w:tc>
        <w:tc>
          <w:tcPr>
            <w:tcW w:w="497" w:type="dxa"/>
            <w:tcBorders>
              <w:top w:val="single" w:color="232323" w:sz="4" w:space="0"/>
              <w:left w:val="single" w:color="232323" w:sz="4" w:space="0"/>
              <w:bottom w:val="single" w:color="232323" w:sz="4" w:space="0"/>
              <w:right w:val="single" w:color="232323" w:sz="4" w:space="0"/>
            </w:tcBorders>
            <w:shd w:val="clear"/>
            <w:vAlign w:val="center"/>
          </w:tcPr>
          <w:p>
            <w:pPr>
              <w:keepNext w:val="0"/>
              <w:keepLines w:val="0"/>
              <w:widowControl/>
              <w:suppressLineNumbers w:val="0"/>
              <w:jc w:val="left"/>
              <w:textAlignment w:val="center"/>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100%</w:t>
            </w:r>
          </w:p>
        </w:tc>
        <w:tc>
          <w:tcPr>
            <w:tcW w:w="520" w:type="dxa"/>
            <w:tcBorders>
              <w:top w:val="single" w:color="232323" w:sz="4" w:space="0"/>
              <w:left w:val="single" w:color="232323" w:sz="4" w:space="0"/>
              <w:bottom w:val="single" w:color="232323" w:sz="4" w:space="0"/>
              <w:right w:val="single" w:color="232323" w:sz="4" w:space="0"/>
            </w:tcBorders>
            <w:shd w:val="clear"/>
            <w:vAlign w:val="center"/>
          </w:tcPr>
          <w:p>
            <w:pPr>
              <w:keepNext w:val="0"/>
              <w:keepLines w:val="0"/>
              <w:widowControl/>
              <w:suppressLineNumbers w:val="0"/>
              <w:jc w:val="left"/>
              <w:textAlignment w:val="center"/>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w:t>
            </w:r>
          </w:p>
        </w:tc>
        <w:tc>
          <w:tcPr>
            <w:tcW w:w="254" w:type="dxa"/>
            <w:tcBorders>
              <w:top w:val="single" w:color="232323" w:sz="4" w:space="0"/>
              <w:left w:val="single" w:color="232323" w:sz="4" w:space="0"/>
              <w:bottom w:val="single" w:color="232323" w:sz="4" w:space="0"/>
              <w:right w:val="single" w:color="232323" w:sz="4" w:space="0"/>
            </w:tcBorders>
            <w:shd w:val="clear"/>
            <w:vAlign w:val="center"/>
          </w:tcPr>
          <w:p>
            <w:pPr>
              <w:keepNext w:val="0"/>
              <w:keepLines w:val="0"/>
              <w:widowControl/>
              <w:suppressLineNumbers w:val="0"/>
              <w:jc w:val="left"/>
              <w:textAlignment w:val="center"/>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w:t>
            </w:r>
          </w:p>
        </w:tc>
        <w:tc>
          <w:tcPr>
            <w:tcW w:w="440" w:type="dxa"/>
            <w:tcBorders>
              <w:top w:val="single" w:color="232323" w:sz="4" w:space="0"/>
              <w:left w:val="single" w:color="232323" w:sz="4" w:space="0"/>
              <w:bottom w:val="single" w:color="232323" w:sz="4" w:space="0"/>
              <w:right w:val="single" w:color="232323" w:sz="4" w:space="0"/>
            </w:tcBorders>
            <w:shd w:val="clear"/>
            <w:vAlign w:val="bottom"/>
          </w:tcPr>
          <w:p>
            <w:pPr>
              <w:jc w:val="left"/>
              <w:rPr>
                <w:rFonts w:hint="default" w:ascii="Times New Roman" w:hAnsi="Times New Roman" w:cs="Times New Roman"/>
                <w:i w:val="0"/>
                <w:color w:val="000000"/>
                <w:sz w:val="20"/>
                <w:szCs w:val="20"/>
                <w:u w:val="none"/>
              </w:rPr>
            </w:pPr>
          </w:p>
        </w:tc>
        <w:tc>
          <w:tcPr>
            <w:tcW w:w="423" w:type="dxa"/>
            <w:tcBorders>
              <w:top w:val="single" w:color="232323" w:sz="4" w:space="0"/>
              <w:left w:val="single" w:color="232323" w:sz="4" w:space="0"/>
              <w:bottom w:val="single" w:color="232323" w:sz="4" w:space="0"/>
              <w:right w:val="single" w:color="232323" w:sz="4" w:space="0"/>
            </w:tcBorders>
            <w:shd w:val="clear"/>
            <w:vAlign w:val="bottom"/>
          </w:tcPr>
          <w:p>
            <w:pPr>
              <w:jc w:val="left"/>
              <w:rPr>
                <w:rFonts w:hint="default" w:ascii="Times New Roman" w:hAnsi="Times New Roman" w:cs="Times New Roman"/>
                <w:i w:val="0"/>
                <w:color w:val="000000"/>
                <w:sz w:val="20"/>
                <w:szCs w:val="20"/>
                <w:u w:val="none"/>
              </w:rPr>
            </w:pPr>
          </w:p>
        </w:tc>
        <w:tc>
          <w:tcPr>
            <w:tcW w:w="449" w:type="dxa"/>
            <w:tcBorders>
              <w:top w:val="single" w:color="232323" w:sz="4" w:space="0"/>
              <w:left w:val="single" w:color="232323" w:sz="4" w:space="0"/>
              <w:bottom w:val="single" w:color="232323" w:sz="4" w:space="0"/>
              <w:right w:val="single" w:color="232323" w:sz="4" w:space="0"/>
            </w:tcBorders>
            <w:shd w:val="clear"/>
            <w:vAlign w:val="bottom"/>
          </w:tcPr>
          <w:p>
            <w:pPr>
              <w:jc w:val="left"/>
              <w:rPr>
                <w:rFonts w:hint="default" w:ascii="Times New Roman" w:hAnsi="Times New Roman" w:cs="Times New Roman"/>
                <w:i w:val="0"/>
                <w:color w:val="000000"/>
                <w:sz w:val="20"/>
                <w:szCs w:val="20"/>
                <w:u w:val="none"/>
              </w:rPr>
            </w:pPr>
          </w:p>
        </w:tc>
        <w:tc>
          <w:tcPr>
            <w:tcW w:w="440" w:type="dxa"/>
            <w:tcBorders>
              <w:top w:val="single" w:color="232323" w:sz="4" w:space="0"/>
              <w:left w:val="single" w:color="232323" w:sz="4" w:space="0"/>
              <w:bottom w:val="single" w:color="232323" w:sz="4" w:space="0"/>
              <w:right w:val="single" w:color="232323" w:sz="4" w:space="0"/>
            </w:tcBorders>
            <w:shd w:val="clear"/>
            <w:vAlign w:val="bottom"/>
          </w:tcPr>
          <w:p>
            <w:pPr>
              <w:jc w:val="left"/>
              <w:rPr>
                <w:rFonts w:hint="default" w:ascii="Times New Roman" w:hAnsi="Times New Roman" w:cs="Times New Roman"/>
                <w:i w:val="0"/>
                <w:color w:val="000000"/>
                <w:sz w:val="20"/>
                <w:szCs w:val="20"/>
                <w:u w:val="none"/>
              </w:rPr>
            </w:pPr>
          </w:p>
        </w:tc>
        <w:tc>
          <w:tcPr>
            <w:tcW w:w="453" w:type="dxa"/>
            <w:tcBorders>
              <w:top w:val="single" w:color="232323" w:sz="4" w:space="0"/>
              <w:left w:val="single" w:color="232323" w:sz="4" w:space="0"/>
              <w:bottom w:val="single" w:color="232323" w:sz="4" w:space="0"/>
            </w:tcBorders>
            <w:shd w:val="clear"/>
            <w:vAlign w:val="bottom"/>
          </w:tcPr>
          <w:p>
            <w:pPr>
              <w:jc w:val="left"/>
              <w:rPr>
                <w:rFonts w:hint="default" w:ascii="Times New Roman" w:hAnsi="Times New Roman" w:cs="Times New Roman"/>
                <w:i w:val="0"/>
                <w:color w:val="000000"/>
                <w:sz w:val="20"/>
                <w:szCs w:val="20"/>
                <w:u w:val="none"/>
              </w:rPr>
            </w:pPr>
          </w:p>
        </w:tc>
        <w:tc>
          <w:tcPr>
            <w:tcW w:w="441" w:type="dxa"/>
            <w:tcBorders>
              <w:top w:val="single" w:color="000000" w:sz="4" w:space="0"/>
              <w:left w:val="single" w:color="000000" w:sz="4" w:space="0"/>
              <w:bottom w:val="single" w:color="000000" w:sz="4" w:space="0"/>
              <w:right w:val="single" w:color="000000" w:sz="4" w:space="0"/>
            </w:tcBorders>
            <w:shd w:val="clear"/>
            <w:vAlign w:val="bottom"/>
          </w:tcPr>
          <w:p>
            <w:pPr>
              <w:rPr>
                <w:rFonts w:hint="default" w:ascii="Times New Roman" w:hAnsi="Times New Roman" w:cs="Times New Roman"/>
                <w:i w:val="0"/>
                <w:color w:val="000000"/>
                <w:sz w:val="20"/>
                <w:szCs w:val="20"/>
                <w:u w:val="none"/>
              </w:rPr>
            </w:pPr>
          </w:p>
        </w:tc>
        <w:tc>
          <w:tcPr>
            <w:tcW w:w="678" w:type="dxa"/>
            <w:tcBorders>
              <w:top w:val="single" w:color="232323" w:sz="4" w:space="0"/>
              <w:bottom w:val="single" w:color="232323" w:sz="4" w:space="0"/>
              <w:right w:val="single" w:color="232323" w:sz="4" w:space="0"/>
            </w:tcBorders>
            <w:shd w:val="clear"/>
            <w:vAlign w:val="bottom"/>
          </w:tcPr>
          <w:p>
            <w:pPr>
              <w:jc w:val="center"/>
              <w:rPr>
                <w:rFonts w:hint="default" w:ascii="Times New Roman" w:hAnsi="Times New Roman"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1134"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指标自评得分小计</w:t>
            </w:r>
          </w:p>
        </w:tc>
        <w:tc>
          <w:tcPr>
            <w:tcW w:w="2091"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1240" w:type="dxa"/>
            <w:gridSpan w:val="3"/>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预算执行率得分</w:t>
            </w:r>
          </w:p>
        </w:tc>
        <w:tc>
          <w:tcPr>
            <w:tcW w:w="1017"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8.9</w:t>
            </w:r>
          </w:p>
        </w:tc>
        <w:tc>
          <w:tcPr>
            <w:tcW w:w="694" w:type="dxa"/>
            <w:gridSpan w:val="2"/>
            <w:tcBorders>
              <w:top w:val="single" w:color="000000" w:sz="4" w:space="0"/>
              <w:left w:val="single" w:color="000000" w:sz="4" w:space="0"/>
              <w:bottom w:val="single" w:color="000000" w:sz="4" w:space="0"/>
              <w:right w:val="single" w:color="000000" w:sz="4" w:space="0"/>
            </w:tcBorders>
            <w:shd w:val="cle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减分项</w:t>
            </w:r>
          </w:p>
        </w:tc>
        <w:tc>
          <w:tcPr>
            <w:tcW w:w="423" w:type="dxa"/>
            <w:tcBorders>
              <w:top w:val="single" w:color="232323" w:sz="4" w:space="0"/>
              <w:bottom w:val="single" w:color="232323" w:sz="4" w:space="0"/>
            </w:tcBorders>
            <w:shd w:val="clear"/>
            <w:vAlign w:val="bottom"/>
          </w:tcPr>
          <w:p>
            <w:pPr>
              <w:rPr>
                <w:rFonts w:hint="default" w:ascii="Times New Roman" w:hAnsi="Times New Roman" w:cs="Times New Roman"/>
                <w:i w:val="0"/>
                <w:color w:val="000000"/>
                <w:sz w:val="20"/>
                <w:szCs w:val="20"/>
                <w:u w:val="none"/>
              </w:rPr>
            </w:pPr>
          </w:p>
        </w:tc>
        <w:tc>
          <w:tcPr>
            <w:tcW w:w="449" w:type="dxa"/>
            <w:tcBorders>
              <w:top w:val="single" w:color="232323" w:sz="4" w:space="0"/>
              <w:bottom w:val="single" w:color="232323" w:sz="4" w:space="0"/>
            </w:tcBorders>
            <w:shd w:val="clear"/>
            <w:vAlign w:val="bottom"/>
          </w:tcPr>
          <w:p>
            <w:pPr>
              <w:rPr>
                <w:rFonts w:hint="default" w:ascii="Times New Roman" w:hAnsi="Times New Roman" w:cs="Times New Roman"/>
                <w:i w:val="0"/>
                <w:color w:val="000000"/>
                <w:sz w:val="20"/>
                <w:szCs w:val="20"/>
                <w:u w:val="none"/>
              </w:rPr>
            </w:pPr>
          </w:p>
        </w:tc>
        <w:tc>
          <w:tcPr>
            <w:tcW w:w="1334" w:type="dxa"/>
            <w:gridSpan w:val="3"/>
            <w:tcBorders>
              <w:top w:val="single" w:color="000000" w:sz="4" w:space="0"/>
              <w:left w:val="single" w:color="000000" w:sz="4" w:space="0"/>
              <w:bottom w:val="single" w:color="000000" w:sz="4" w:space="0"/>
              <w:right w:val="single" w:color="000000" w:sz="4" w:space="0"/>
            </w:tcBorders>
            <w:shd w:val="cle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绩效自评总得分</w:t>
            </w:r>
          </w:p>
        </w:tc>
        <w:tc>
          <w:tcPr>
            <w:tcW w:w="678" w:type="dxa"/>
            <w:tcBorders>
              <w:top w:val="single" w:color="232323" w:sz="4" w:space="0"/>
              <w:bottom w:val="single" w:color="232323" w:sz="4" w:space="0"/>
              <w:right w:val="single" w:color="232323" w:sz="4" w:space="0"/>
            </w:tcBorders>
            <w:shd w:val="clear"/>
            <w:vAlign w:val="bottom"/>
          </w:tcPr>
          <w:p>
            <w:pPr>
              <w:keepNext w:val="0"/>
              <w:keepLines w:val="0"/>
              <w:widowControl/>
              <w:suppressLineNumbers w:val="0"/>
              <w:jc w:val="center"/>
              <w:textAlignment w:val="bottom"/>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98.8</w:t>
            </w:r>
          </w:p>
        </w:tc>
      </w:tr>
    </w:tbl>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firstLine="0" w:firstLineChars="0"/>
        <w:jc w:val="center"/>
        <w:textAlignment w:val="auto"/>
        <w:rPr>
          <w:rFonts w:hint="eastAsia" w:ascii="仿宋_GB2312" w:hAnsi="宋体" w:eastAsia="仿宋_GB2312" w:cs="仿宋_GB2312"/>
          <w:color w:val="auto"/>
          <w:kern w:val="2"/>
          <w:sz w:val="32"/>
          <w:szCs w:val="32"/>
          <w:highlight w:val="none"/>
          <w:shd w:val="clear" w:color="auto" w:fill="auto"/>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40" w:lineRule="auto"/>
        <w:ind w:right="0" w:rightChars="0" w:firstLine="0" w:firstLineChars="0"/>
        <w:jc w:val="center"/>
        <w:textAlignment w:val="auto"/>
        <w:rPr>
          <w:rFonts w:hint="eastAsia" w:ascii="仿宋_GB2312" w:hAnsi="宋体" w:eastAsia="仿宋_GB2312" w:cs="仿宋_GB2312"/>
          <w:color w:val="auto"/>
          <w:kern w:val="2"/>
          <w:sz w:val="32"/>
          <w:szCs w:val="32"/>
          <w:highlight w:val="none"/>
          <w:shd w:val="clear" w:color="auto" w:fill="auto"/>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20" w:lineRule="exact"/>
        <w:ind w:right="0"/>
        <w:jc w:val="center"/>
        <w:textAlignment w:val="auto"/>
        <w:rPr>
          <w:rFonts w:ascii="宋体" w:hAnsi="宋体"/>
          <w:b/>
          <w:sz w:val="36"/>
          <w:szCs w:val="36"/>
        </w:rPr>
      </w:pPr>
      <w:bookmarkStart w:id="0" w:name="_GoBack"/>
      <w:bookmarkEnd w:id="0"/>
      <w:r>
        <w:rPr>
          <w:rFonts w:hint="eastAsia" w:ascii="仿宋_GB2312" w:hAnsi="宋体" w:eastAsia="仿宋_GB2312" w:cs="仿宋_GB2312"/>
          <w:color w:val="auto"/>
          <w:kern w:val="2"/>
          <w:sz w:val="32"/>
          <w:szCs w:val="32"/>
          <w:highlight w:val="none"/>
          <w:shd w:val="clear" w:color="auto" w:fill="auto"/>
          <w:lang w:val="en-US" w:eastAsia="zh-CN" w:bidi="ar"/>
        </w:rPr>
        <w:drawing>
          <wp:anchor distT="0" distB="0" distL="114300" distR="114300" simplePos="0" relativeHeight="251660288" behindDoc="0" locked="0" layoutInCell="1" allowOverlap="1">
            <wp:simplePos x="0" y="0"/>
            <wp:positionH relativeFrom="column">
              <wp:posOffset>-379095</wp:posOffset>
            </wp:positionH>
            <wp:positionV relativeFrom="paragraph">
              <wp:posOffset>1703070</wp:posOffset>
            </wp:positionV>
            <wp:extent cx="6411595" cy="6794500"/>
            <wp:effectExtent l="0" t="0" r="8255" b="6350"/>
            <wp:wrapNone/>
            <wp:docPr id="3" name="图片 4" descr="整体自评表模版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整体自评表模版_00"/>
                    <pic:cNvPicPr>
                      <a:picLocks noChangeAspect="1"/>
                    </pic:cNvPicPr>
                  </pic:nvPicPr>
                  <pic:blipFill>
                    <a:blip r:embed="rId6"/>
                    <a:srcRect t="8415" b="16714"/>
                    <a:stretch>
                      <a:fillRect/>
                    </a:stretch>
                  </pic:blipFill>
                  <pic:spPr>
                    <a:xfrm>
                      <a:off x="0" y="0"/>
                      <a:ext cx="6411595" cy="6794500"/>
                    </a:xfrm>
                    <a:prstGeom prst="rect">
                      <a:avLst/>
                    </a:prstGeom>
                    <a:noFill/>
                    <a:ln w="9525">
                      <a:noFill/>
                    </a:ln>
                  </pic:spPr>
                </pic:pic>
              </a:graphicData>
            </a:graphic>
          </wp:anchor>
        </w:drawing>
      </w:r>
      <w:r>
        <w:rPr>
          <w:rFonts w:hint="eastAsia" w:ascii="仿宋_GB2312" w:hAnsi="宋体" w:eastAsia="仿宋_GB2312" w:cs="仿宋_GB2312"/>
          <w:b/>
          <w:bCs/>
          <w:color w:val="auto"/>
          <w:kern w:val="2"/>
          <w:sz w:val="32"/>
          <w:szCs w:val="32"/>
          <w:highlight w:val="none"/>
          <w:shd w:val="clear" w:color="auto" w:fill="auto"/>
          <w:lang w:val="en-US" w:eastAsia="zh-CN" w:bidi="ar"/>
        </w:rPr>
        <w:br w:type="page"/>
      </w:r>
      <w:r>
        <w:rPr>
          <w:rFonts w:ascii="宋体" w:hAnsi="宋体"/>
          <w:b/>
          <w:sz w:val="36"/>
          <w:szCs w:val="36"/>
        </w:rPr>
        <w:drawing>
          <wp:anchor distT="0" distB="0" distL="114300" distR="114300" simplePos="0" relativeHeight="251659264" behindDoc="0" locked="0" layoutInCell="1" allowOverlap="1">
            <wp:simplePos x="0" y="0"/>
            <wp:positionH relativeFrom="page">
              <wp:posOffset>1118870</wp:posOffset>
            </wp:positionH>
            <wp:positionV relativeFrom="page">
              <wp:posOffset>419100</wp:posOffset>
            </wp:positionV>
            <wp:extent cx="5757545" cy="8148955"/>
            <wp:effectExtent l="0" t="0" r="14605" b="4445"/>
            <wp:wrapNone/>
            <wp:docPr id="2" name="图片 3" descr="项目自评表模版_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项目自评表模版_00"/>
                    <pic:cNvPicPr>
                      <a:picLocks noChangeAspect="1"/>
                    </pic:cNvPicPr>
                  </pic:nvPicPr>
                  <pic:blipFill>
                    <a:blip r:embed="rId7"/>
                    <a:stretch>
                      <a:fillRect/>
                    </a:stretch>
                  </pic:blipFill>
                  <pic:spPr>
                    <a:xfrm>
                      <a:off x="0" y="0"/>
                      <a:ext cx="5757545" cy="8148955"/>
                    </a:xfrm>
                    <a:prstGeom prst="rect">
                      <a:avLst/>
                    </a:prstGeom>
                    <a:noFill/>
                    <a:ln w="9525">
                      <a:noFill/>
                    </a:ln>
                  </pic:spPr>
                </pic:pic>
              </a:graphicData>
            </a:graphic>
          </wp:anchor>
        </w:drawing>
      </w:r>
      <w:r>
        <w:rPr>
          <w:rFonts w:hint="eastAsia" w:ascii="仿宋_GB2312" w:hAnsi="宋体" w:eastAsia="仿宋_GB2312" w:cs="仿宋_GB2312"/>
          <w:color w:val="auto"/>
          <w:kern w:val="2"/>
          <w:sz w:val="32"/>
          <w:szCs w:val="32"/>
          <w:highlight w:val="none"/>
          <w:shd w:val="clear" w:color="auto" w:fill="auto"/>
          <w:lang w:val="en-US" w:eastAsia="zh-CN" w:bidi="ar"/>
        </w:rPr>
        <w:br w:type="page"/>
      </w:r>
      <w:r>
        <w:rPr>
          <w:rFonts w:hint="eastAsia" w:ascii="宋体" w:hAnsi="宋体"/>
          <w:b/>
          <w:sz w:val="36"/>
          <w:szCs w:val="36"/>
        </w:rPr>
        <w:t>第三部分 名词解释</w:t>
      </w:r>
    </w:p>
    <w:p>
      <w:pPr>
        <w:spacing w:line="540" w:lineRule="exact"/>
        <w:jc w:val="center"/>
        <w:rPr>
          <w:rFonts w:ascii="宋体" w:hAnsi="宋体"/>
          <w:b/>
          <w:sz w:val="36"/>
          <w:szCs w:val="36"/>
        </w:rPr>
      </w:pP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指单位从同级财政部门取得的财政预算资金。</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2.上级补助收入：</w:t>
      </w:r>
      <w:r>
        <w:rPr>
          <w:rFonts w:hint="eastAsia" w:ascii="仿宋_GB2312" w:eastAsia="仿宋_GB2312"/>
          <w:sz w:val="32"/>
          <w:szCs w:val="32"/>
        </w:rPr>
        <w:t>指单位从主管部门和上级单位取得的非财政性补助收入。</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3.事业收入：</w:t>
      </w:r>
      <w:r>
        <w:rPr>
          <w:rFonts w:hint="eastAsia" w:ascii="仿宋_GB2312" w:eastAsia="仿宋_GB2312"/>
          <w:sz w:val="32"/>
          <w:szCs w:val="32"/>
        </w:rPr>
        <w:t>指事业单位开展专业业务活动及辅助活动所取得的收入。</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4.经营收入：</w:t>
      </w:r>
      <w:r>
        <w:rPr>
          <w:rFonts w:hint="eastAsia" w:ascii="仿宋_GB2312" w:eastAsia="仿宋_GB2312"/>
          <w:sz w:val="32"/>
          <w:szCs w:val="32"/>
        </w:rPr>
        <w:t>指事业单位在专业业务活动及辅助活动之外开展非独立核算经营活动取得的收入。</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5.附属单位上缴收入：</w:t>
      </w:r>
      <w:r>
        <w:rPr>
          <w:rFonts w:hint="eastAsia" w:ascii="仿宋_GB2312" w:eastAsia="仿宋_GB2312"/>
          <w:sz w:val="32"/>
          <w:szCs w:val="32"/>
        </w:rPr>
        <w:t>指单位附属的独立核算单位按照规定上缴的收入。</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6.其他收入：</w:t>
      </w:r>
      <w:r>
        <w:rPr>
          <w:rFonts w:hint="eastAsia" w:ascii="仿宋_GB2312" w:eastAsia="仿宋_GB2312"/>
          <w:sz w:val="32"/>
          <w:szCs w:val="32"/>
        </w:rPr>
        <w:t>指除上述“财政拨款收入”、</w:t>
      </w:r>
      <w:r>
        <w:rPr>
          <w:rFonts w:hint="eastAsia" w:ascii="仿宋_GB2312" w:eastAsia="仿宋_GB2312"/>
          <w:b/>
          <w:sz w:val="32"/>
          <w:szCs w:val="32"/>
        </w:rPr>
        <w:t xml:space="preserve"> </w:t>
      </w:r>
      <w:r>
        <w:rPr>
          <w:rFonts w:hint="eastAsia" w:ascii="仿宋_GB2312" w:eastAsia="仿宋_GB2312"/>
          <w:sz w:val="32"/>
          <w:szCs w:val="32"/>
        </w:rPr>
        <w:t>“上级补助收入”、“事业收入”、“经营收入”、“附属单位上缴收入”等以外的收入。</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7.</w:t>
      </w:r>
      <w:r>
        <w:rPr>
          <w:rFonts w:hint="eastAsia" w:ascii="仿宋_GB2312" w:eastAsia="仿宋_GB2312"/>
          <w:b/>
          <w:sz w:val="32"/>
          <w:szCs w:val="32"/>
          <w:lang w:val="en-US" w:eastAsia="zh-CN"/>
        </w:rPr>
        <w:t>使用非财政拨款结余</w:t>
      </w:r>
      <w:r>
        <w:rPr>
          <w:rFonts w:hint="eastAsia" w:ascii="仿宋_GB2312" w:eastAsia="仿宋_GB2312"/>
          <w:b/>
          <w:sz w:val="32"/>
          <w:szCs w:val="32"/>
        </w:rPr>
        <w:t>：</w:t>
      </w:r>
      <w:r>
        <w:rPr>
          <w:rFonts w:hint="eastAsia" w:ascii="仿宋_GB2312" w:eastAsia="仿宋_GB2312"/>
          <w:sz w:val="32"/>
          <w:szCs w:val="32"/>
        </w:rPr>
        <w:t>指事业单位</w:t>
      </w:r>
      <w:r>
        <w:rPr>
          <w:rFonts w:hint="eastAsia" w:ascii="仿宋_GB2312" w:eastAsia="仿宋_GB2312"/>
          <w:sz w:val="32"/>
          <w:szCs w:val="32"/>
          <w:lang w:val="en-US" w:eastAsia="zh-CN"/>
        </w:rPr>
        <w:t>按照预算管理要求使用非财政拨款结余弥补收支差额的金额</w:t>
      </w:r>
      <w:r>
        <w:rPr>
          <w:rFonts w:hint="eastAsia" w:ascii="仿宋_GB2312" w:eastAsia="仿宋_GB2312"/>
          <w:sz w:val="32"/>
          <w:szCs w:val="32"/>
        </w:rPr>
        <w:t>。</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8.上年结转和结余：</w:t>
      </w:r>
      <w:r>
        <w:rPr>
          <w:rFonts w:hint="eastAsia" w:ascii="仿宋_GB2312" w:eastAsia="仿宋_GB2312"/>
          <w:sz w:val="32"/>
          <w:szCs w:val="32"/>
        </w:rPr>
        <w:t>指以前年度尚未完成、结转到本年按有关规定继续使用的资金。</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9.基本支出：</w:t>
      </w:r>
      <w:r>
        <w:rPr>
          <w:rFonts w:hint="eastAsia" w:ascii="仿宋_GB2312" w:eastAsia="仿宋_GB2312"/>
          <w:sz w:val="32"/>
          <w:szCs w:val="32"/>
        </w:rPr>
        <w:t>指保障机构正常运转、完成日常工作任务而发生的人员支出和公用支出。</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10.项目支出：</w:t>
      </w:r>
      <w:r>
        <w:rPr>
          <w:rFonts w:hint="eastAsia" w:ascii="仿宋_GB2312" w:eastAsia="仿宋_GB2312"/>
          <w:sz w:val="32"/>
          <w:szCs w:val="32"/>
        </w:rPr>
        <w:t>指在基本支出之外为完成特定行政任务和事业发展目标所发生的支出。</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11.上缴上级支出：</w:t>
      </w:r>
      <w:r>
        <w:rPr>
          <w:rFonts w:hint="eastAsia" w:ascii="仿宋_GB2312" w:eastAsia="仿宋_GB2312"/>
          <w:sz w:val="32"/>
          <w:szCs w:val="32"/>
        </w:rPr>
        <w:t>指事业单位按照财政部门和主管部门的规定上缴上级单位的支出。</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12.经营支出：</w:t>
      </w:r>
      <w:r>
        <w:rPr>
          <w:rFonts w:hint="eastAsia" w:ascii="仿宋_GB2312" w:eastAsia="仿宋_GB2312"/>
          <w:sz w:val="32"/>
          <w:szCs w:val="32"/>
        </w:rPr>
        <w:t>指事业单位在专业活动及辅助活动之外开展非独立核算经营活动发生的支出。</w:t>
      </w:r>
    </w:p>
    <w:p>
      <w:pPr>
        <w:spacing w:line="540" w:lineRule="exact"/>
        <w:ind w:firstLine="643" w:firstLineChars="200"/>
        <w:rPr>
          <w:rFonts w:hint="eastAsia" w:ascii="仿宋_GB2312" w:eastAsia="仿宋_GB2312"/>
          <w:b/>
          <w:sz w:val="32"/>
          <w:szCs w:val="32"/>
        </w:rPr>
      </w:pPr>
      <w:r>
        <w:rPr>
          <w:rFonts w:hint="eastAsia" w:ascii="仿宋_GB2312" w:eastAsia="仿宋_GB2312"/>
          <w:b/>
          <w:sz w:val="32"/>
          <w:szCs w:val="32"/>
        </w:rPr>
        <w:t>13.对附属单位补助支出：</w:t>
      </w:r>
      <w:r>
        <w:rPr>
          <w:rFonts w:hint="eastAsia" w:ascii="仿宋_GB2312" w:eastAsia="仿宋_GB2312"/>
          <w:sz w:val="32"/>
          <w:szCs w:val="32"/>
        </w:rPr>
        <w:t>指事业单位用财政补助收入之外的收入对附属单位补助发生的支出。</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14.“三公”经费：</w:t>
      </w:r>
      <w:r>
        <w:rPr>
          <w:rFonts w:hint="eastAsia" w:ascii="仿宋_GB2312" w:eastAsia="仿宋_GB2312"/>
          <w:sz w:val="32"/>
          <w:szCs w:val="32"/>
        </w:rPr>
        <w:t>指用</w:t>
      </w:r>
      <w:r>
        <w:rPr>
          <w:rFonts w:hint="eastAsia" w:ascii="仿宋_GB2312" w:eastAsia="仿宋_GB2312"/>
          <w:sz w:val="32"/>
          <w:szCs w:val="32"/>
          <w:lang w:val="en-US" w:eastAsia="zh-CN"/>
        </w:rPr>
        <w:t>一般公共预算</w:t>
      </w:r>
      <w:r>
        <w:rPr>
          <w:rFonts w:hint="eastAsia" w:ascii="仿宋_GB2312" w:eastAsia="仿宋_GB2312"/>
          <w:sz w:val="32"/>
          <w:szCs w:val="32"/>
        </w:rPr>
        <w:t>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firstLine="643" w:firstLineChars="200"/>
        <w:rPr>
          <w:rFonts w:hint="eastAsia" w:ascii="仿宋_GB2312" w:eastAsia="仿宋_GB2312"/>
          <w:sz w:val="32"/>
          <w:szCs w:val="32"/>
          <w:lang w:val="en-US" w:eastAsia="zh-CN"/>
        </w:rPr>
      </w:pPr>
      <w:r>
        <w:rPr>
          <w:rFonts w:hint="eastAsia" w:ascii="仿宋_GB2312" w:eastAsia="仿宋_GB2312"/>
          <w:b/>
          <w:bCs/>
          <w:sz w:val="32"/>
          <w:szCs w:val="32"/>
          <w:lang w:val="en-US" w:eastAsia="zh-CN"/>
        </w:rPr>
        <w:t>15.机关运行经费：</w:t>
      </w:r>
      <w:r>
        <w:rPr>
          <w:rFonts w:hint="eastAsia" w:ascii="仿宋_GB2312" w:eastAsia="仿宋_GB2312"/>
          <w:sz w:val="32"/>
          <w:szCs w:val="32"/>
          <w:lang w:val="en-US" w:eastAsia="zh-CN"/>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540" w:lineRule="exact"/>
        <w:ind w:firstLine="643" w:firstLineChars="200"/>
        <w:rPr>
          <w:rFonts w:hint="eastAsia" w:ascii="仿宋_GB2312" w:eastAsia="仿宋_GB2312"/>
          <w:b/>
          <w:sz w:val="32"/>
          <w:szCs w:val="32"/>
        </w:rPr>
      </w:pPr>
      <w:r>
        <w:rPr>
          <w:rFonts w:hint="eastAsia" w:ascii="仿宋_GB2312" w:eastAsia="仿宋_GB2312"/>
          <w:b/>
          <w:sz w:val="32"/>
          <w:szCs w:val="32"/>
        </w:rPr>
        <w:t>1</w:t>
      </w:r>
      <w:r>
        <w:rPr>
          <w:rFonts w:hint="eastAsia" w:ascii="仿宋_GB2312" w:eastAsia="仿宋_GB2312"/>
          <w:b/>
          <w:sz w:val="32"/>
          <w:szCs w:val="32"/>
          <w:lang w:val="en-US" w:eastAsia="zh-CN"/>
        </w:rPr>
        <w:t>6</w:t>
      </w:r>
      <w:r>
        <w:rPr>
          <w:rFonts w:hint="eastAsia" w:ascii="仿宋_GB2312" w:eastAsia="仿宋_GB2312"/>
          <w:b/>
          <w:sz w:val="32"/>
          <w:szCs w:val="32"/>
        </w:rPr>
        <w:t>.一般公共服务（类）财政事务（款）行政运行（项）：</w:t>
      </w:r>
      <w:r>
        <w:rPr>
          <w:rFonts w:hint="eastAsia" w:ascii="仿宋_GB2312" w:eastAsia="仿宋_GB2312"/>
          <w:sz w:val="32"/>
          <w:szCs w:val="32"/>
        </w:rPr>
        <w:t>反映行政单位（包括实行公务员管理的事业单位）的基本支出。</w:t>
      </w:r>
    </w:p>
    <w:p>
      <w:pPr>
        <w:spacing w:line="540" w:lineRule="exact"/>
        <w:ind w:firstLine="640" w:firstLineChars="200"/>
        <w:rPr>
          <w:rFonts w:hint="eastAsia" w:ascii="仿宋_GB2312" w:eastAsia="仿宋_GB2312"/>
          <w:b/>
          <w:sz w:val="32"/>
          <w:szCs w:val="32"/>
        </w:rPr>
      </w:pPr>
      <w:r>
        <w:rPr>
          <w:rFonts w:hint="eastAsia" w:ascii="仿宋_GB2312" w:eastAsia="仿宋_GB2312"/>
          <w:i/>
          <w:sz w:val="32"/>
          <w:szCs w:val="32"/>
          <w:u w:val="single"/>
        </w:rPr>
        <w:t>（部门决算涉及的支出功能分类全部项级科目，逐一解释）……</w:t>
      </w:r>
    </w:p>
    <w:p>
      <w:pPr>
        <w:spacing w:line="540" w:lineRule="exact"/>
        <w:rPr>
          <w:sz w:val="32"/>
          <w:szCs w:val="32"/>
        </w:rPr>
        <w:sectPr>
          <w:footerReference r:id="rId3" w:type="default"/>
          <w:footerReference r:id="rId4" w:type="even"/>
          <w:pgSz w:w="11906" w:h="16838"/>
          <w:pgMar w:top="1701" w:right="1417" w:bottom="1701" w:left="1417" w:header="851" w:footer="992" w:gutter="0"/>
          <w:cols w:space="720" w:num="1"/>
          <w:docGrid w:type="lines" w:linePitch="312" w:charSpace="0"/>
        </w:sectPr>
      </w:pPr>
    </w:p>
    <w:p>
      <w:pPr>
        <w:spacing w:line="540" w:lineRule="exact"/>
        <w:ind w:firstLine="640" w:firstLineChars="200"/>
        <w:jc w:val="left"/>
        <w:rPr>
          <w:rFonts w:hint="eastAsia" w:ascii="仿宋_GB2312" w:eastAsia="仿宋_GB2312"/>
          <w:i/>
          <w:sz w:val="32"/>
          <w:szCs w:val="32"/>
          <w:u w:val="single"/>
        </w:rPr>
      </w:pPr>
    </w:p>
    <w:p>
      <w:pPr>
        <w:spacing w:line="540" w:lineRule="exact"/>
        <w:rPr>
          <w:rFonts w:hint="eastAsia" w:ascii="宋体" w:hAnsi="宋体"/>
          <w:b/>
          <w:sz w:val="36"/>
          <w:szCs w:val="36"/>
        </w:rPr>
      </w:pPr>
    </w:p>
    <w:p>
      <w:pPr>
        <w:spacing w:line="540" w:lineRule="exact"/>
        <w:jc w:val="center"/>
        <w:rPr>
          <w:rFonts w:hint="eastAsia" w:ascii="宋体" w:hAnsi="宋体"/>
          <w:b/>
          <w:sz w:val="36"/>
          <w:szCs w:val="36"/>
        </w:rPr>
      </w:pPr>
    </w:p>
    <w:p>
      <w:pPr>
        <w:spacing w:line="540" w:lineRule="exact"/>
        <w:jc w:val="center"/>
        <w:rPr>
          <w:rFonts w:hint="eastAsia" w:ascii="宋体" w:hAnsi="宋体"/>
          <w:b/>
          <w:sz w:val="36"/>
          <w:szCs w:val="36"/>
        </w:rPr>
      </w:pPr>
    </w:p>
    <w:p>
      <w:pPr>
        <w:spacing w:line="540" w:lineRule="exact"/>
        <w:jc w:val="center"/>
        <w:rPr>
          <w:rFonts w:hint="eastAsia" w:ascii="宋体" w:hAnsi="宋体"/>
          <w:b/>
          <w:sz w:val="36"/>
          <w:szCs w:val="36"/>
        </w:rPr>
      </w:pPr>
    </w:p>
    <w:p>
      <w:pPr>
        <w:spacing w:line="540" w:lineRule="exact"/>
        <w:jc w:val="center"/>
        <w:rPr>
          <w:rFonts w:hint="eastAsia" w:ascii="宋体" w:hAnsi="宋体"/>
          <w:b/>
          <w:sz w:val="36"/>
          <w:szCs w:val="36"/>
        </w:rPr>
      </w:pPr>
    </w:p>
    <w:p>
      <w:pPr>
        <w:spacing w:line="540" w:lineRule="exact"/>
        <w:jc w:val="center"/>
        <w:rPr>
          <w:rFonts w:hint="eastAsia" w:ascii="宋体" w:hAnsi="宋体"/>
          <w:b/>
          <w:sz w:val="36"/>
          <w:szCs w:val="36"/>
        </w:rPr>
      </w:pPr>
    </w:p>
    <w:p>
      <w:pPr>
        <w:spacing w:line="540" w:lineRule="exact"/>
        <w:jc w:val="center"/>
        <w:rPr>
          <w:rFonts w:hint="eastAsia" w:ascii="仿宋_GB2312" w:eastAsia="仿宋_GB2312"/>
          <w:sz w:val="52"/>
          <w:szCs w:val="52"/>
        </w:rPr>
      </w:pPr>
      <w:r>
        <w:rPr>
          <w:rFonts w:hint="eastAsia" w:ascii="宋体" w:hAnsi="宋体"/>
          <w:b/>
          <w:sz w:val="52"/>
          <w:szCs w:val="52"/>
        </w:rPr>
        <w:t xml:space="preserve">第四部分 </w:t>
      </w:r>
      <w:r>
        <w:rPr>
          <w:rFonts w:hint="eastAsia" w:ascii="宋体" w:hAnsi="宋体"/>
          <w:b/>
          <w:sz w:val="52"/>
          <w:szCs w:val="52"/>
          <w:lang w:eastAsia="zh-CN"/>
        </w:rPr>
        <w:t>2021</w:t>
      </w:r>
      <w:r>
        <w:rPr>
          <w:rFonts w:hint="eastAsia" w:ascii="宋体" w:hAnsi="宋体"/>
          <w:b/>
          <w:sz w:val="52"/>
          <w:szCs w:val="52"/>
        </w:rPr>
        <w:t>年度部门决算表</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separate"/>
    </w:r>
    <w:r>
      <w:rPr>
        <w:rStyle w:val="5"/>
      </w:rPr>
      <w:t>3</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93450"/>
    <w:multiLevelType w:val="singleLevel"/>
    <w:tmpl w:val="03893450"/>
    <w:lvl w:ilvl="0" w:tentative="0">
      <w:start w:val="1"/>
      <w:numFmt w:val="chineseCounting"/>
      <w:suff w:val="nothing"/>
      <w:lvlText w:val="%1、"/>
      <w:lvlJc w:val="left"/>
      <w:rPr>
        <w:rFonts w:hint="eastAsia"/>
      </w:rPr>
    </w:lvl>
  </w:abstractNum>
  <w:abstractNum w:abstractNumId="1">
    <w:nsid w:val="698938F3"/>
    <w:multiLevelType w:val="singleLevel"/>
    <w:tmpl w:val="698938F3"/>
    <w:lvl w:ilvl="0" w:tentative="0">
      <w:start w:val="1"/>
      <w:numFmt w:val="decimal"/>
      <w:lvlText w:val="%1."/>
      <w:lvlJc w:val="left"/>
      <w:pPr>
        <w:tabs>
          <w:tab w:val="left" w:pos="312"/>
        </w:tabs>
      </w:pPr>
    </w:lvl>
  </w:abstractNum>
  <w:abstractNum w:abstractNumId="2">
    <w:nsid w:val="730B37B3"/>
    <w:multiLevelType w:val="multilevel"/>
    <w:tmpl w:val="730B37B3"/>
    <w:lvl w:ilvl="0" w:tentative="0">
      <w:start w:val="1"/>
      <w:numFmt w:val="japaneseCounting"/>
      <w:lvlText w:val="%1、"/>
      <w:lvlJc w:val="left"/>
      <w:pPr>
        <w:tabs>
          <w:tab w:val="left" w:pos="720"/>
        </w:tabs>
        <w:ind w:left="720" w:hanging="720"/>
      </w:pPr>
      <w:rPr>
        <w:rFonts w:hint="default"/>
      </w:rPr>
    </w:lvl>
    <w:lvl w:ilvl="1" w:tentative="0">
      <w:start w:val="2"/>
      <w:numFmt w:val="japaneseCounting"/>
      <w:lvlText w:val="%2、"/>
      <w:lvlJc w:val="left"/>
      <w:pPr>
        <w:tabs>
          <w:tab w:val="left" w:pos="1140"/>
        </w:tabs>
        <w:ind w:left="1140" w:hanging="72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163674"/>
    <w:rsid w:val="01C8277A"/>
    <w:rsid w:val="0A0B6618"/>
    <w:rsid w:val="0A373FA5"/>
    <w:rsid w:val="146B5CB9"/>
    <w:rsid w:val="1F6D5686"/>
    <w:rsid w:val="35557A59"/>
    <w:rsid w:val="38DA0421"/>
    <w:rsid w:val="3ABA4CEF"/>
    <w:rsid w:val="49F414E8"/>
    <w:rsid w:val="4B705B98"/>
    <w:rsid w:val="4EF11234"/>
    <w:rsid w:val="5B163674"/>
    <w:rsid w:val="5CDD6CF3"/>
    <w:rsid w:val="5FA462B4"/>
    <w:rsid w:val="5FD81D9A"/>
    <w:rsid w:val="74D565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Normal (Web)"/>
    <w:qFormat/>
    <w:uiPriority w:val="0"/>
    <w:pPr>
      <w:spacing w:before="100" w:beforeAutospacing="1" w:after="100" w:afterAutospacing="1"/>
    </w:pPr>
    <w:rPr>
      <w:rFonts w:ascii="宋体" w:hAnsi="宋体" w:eastAsia="宋体" w:cs="Times New Roman"/>
      <w:sz w:val="24"/>
      <w:lang w:val="en-US" w:eastAsia="zh-CN" w:bidi="ar-SA"/>
    </w:rPr>
  </w:style>
  <w:style w:type="character" w:styleId="5">
    <w:name w:val="page number"/>
    <w:basedOn w:val="4"/>
    <w:qFormat/>
    <w:uiPriority w:val="0"/>
  </w:style>
  <w:style w:type="character" w:customStyle="1" w:styleId="7">
    <w:name w:val="font01"/>
    <w:basedOn w:val="4"/>
    <w:uiPriority w:val="0"/>
    <w:rPr>
      <w:rFonts w:hint="eastAsia" w:ascii="宋体" w:hAnsi="宋体" w:eastAsia="宋体" w:cs="宋体"/>
      <w:b/>
      <w:color w:val="000000"/>
      <w:sz w:val="22"/>
      <w:szCs w:val="22"/>
      <w:u w:val="none"/>
    </w:rPr>
  </w:style>
  <w:style w:type="character" w:customStyle="1" w:styleId="8">
    <w:name w:val="font71"/>
    <w:basedOn w:val="4"/>
    <w:uiPriority w:val="0"/>
    <w:rPr>
      <w:rFonts w:hint="eastAsia" w:ascii="宋体" w:hAnsi="宋体" w:eastAsia="宋体" w:cs="宋体"/>
      <w:color w:val="000000"/>
      <w:sz w:val="20"/>
      <w:szCs w:val="20"/>
      <w:u w:val="none"/>
    </w:rPr>
  </w:style>
  <w:style w:type="character" w:customStyle="1" w:styleId="9">
    <w:name w:val="font81"/>
    <w:basedOn w:val="4"/>
    <w:uiPriority w:val="0"/>
    <w:rPr>
      <w:rFonts w:hint="eastAsia" w:ascii="宋体" w:hAnsi="宋体" w:eastAsia="宋体" w:cs="宋体"/>
      <w:color w:val="000000"/>
      <w:sz w:val="20"/>
      <w:szCs w:val="20"/>
      <w:u w:val="none"/>
    </w:rPr>
  </w:style>
  <w:style w:type="character" w:customStyle="1" w:styleId="10">
    <w:name w:val="font41"/>
    <w:basedOn w:val="4"/>
    <w:uiPriority w:val="0"/>
    <w:rPr>
      <w:rFonts w:hint="default" w:ascii="Times New Roman" w:hAnsi="Times New Roman" w:cs="Times New Roman"/>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139</TotalTime>
  <ScaleCrop>false</ScaleCrop>
  <LinksUpToDate>false</LinksUpToDate>
  <CharactersWithSpaces>0</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2022-08-12T03:09:00Z</dcterms:created>
  <dc:creator>天空</dc:creator>
  <cp:lastModifiedBy>天空</cp:lastModifiedBy>
  <cp:lastPrinted>2022-08-23T03:22:00Z</cp:lastPrinted>
  <dcterms:modified xsi:type="dcterms:W3CDTF">2022-08-24T07:19:06Z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ies>
</file>