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黑体" w:hAnsi="黑体" w:eastAsia="黑体" w:cs="黑体"/>
          <w:b w:val="0"/>
          <w:bCs/>
          <w:sz w:val="28"/>
          <w:szCs w:val="28"/>
          <w:lang w:val="en"/>
        </w:rPr>
      </w:pPr>
      <w:r>
        <w:rPr>
          <w:rFonts w:hint="eastAsia" w:ascii="黑体" w:hAnsi="黑体" w:eastAsia="黑体" w:cs="黑体"/>
          <w:b w:val="0"/>
          <w:bCs/>
          <w:sz w:val="28"/>
          <w:szCs w:val="28"/>
        </w:rPr>
        <w:t>附件</w:t>
      </w:r>
      <w:r>
        <w:rPr>
          <w:rFonts w:hint="default" w:ascii="黑体" w:hAnsi="黑体" w:eastAsia="黑体" w:cs="黑体"/>
          <w:b w:val="0"/>
          <w:bCs/>
          <w:sz w:val="28"/>
          <w:szCs w:val="28"/>
          <w:lang w:val="en" w:eastAsia="zh-CN"/>
        </w:rPr>
        <w:t>2</w:t>
      </w: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ascii="宋体" w:hAnsi="宋体"/>
          <w:b/>
          <w:sz w:val="52"/>
          <w:szCs w:val="52"/>
        </w:rPr>
      </w:pPr>
      <w:r>
        <w:rPr>
          <w:rFonts w:hint="eastAsia" w:ascii="宋体" w:hAnsi="宋体"/>
          <w:b/>
          <w:sz w:val="52"/>
          <w:szCs w:val="52"/>
          <w:lang w:val="en-US" w:eastAsia="zh-CN"/>
        </w:rPr>
        <w:t>盘锦市兴隆台区农业和水利服务中心</w:t>
      </w:r>
      <w:r>
        <w:rPr>
          <w:rFonts w:hint="eastAsia" w:ascii="宋体" w:hAnsi="宋体"/>
          <w:b/>
          <w:sz w:val="52"/>
          <w:szCs w:val="52"/>
          <w:lang w:eastAsia="zh-CN"/>
        </w:rPr>
        <w:t>2021</w:t>
      </w:r>
      <w:r>
        <w:rPr>
          <w:rFonts w:hint="eastAsia" w:ascii="宋体" w:hAnsi="宋体"/>
          <w:b/>
          <w:sz w:val="52"/>
          <w:szCs w:val="52"/>
        </w:rPr>
        <w:t>年度部门决算</w:t>
      </w:r>
    </w:p>
    <w:p>
      <w:pPr>
        <w:spacing w:line="540" w:lineRule="exact"/>
        <w:jc w:val="center"/>
        <w:rPr>
          <w:rFonts w:hint="eastAsia"/>
          <w:b/>
          <w:sz w:val="44"/>
          <w:szCs w:val="44"/>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rPr>
      </w:pPr>
    </w:p>
    <w:p>
      <w:pPr>
        <w:spacing w:line="540" w:lineRule="exact"/>
        <w:jc w:val="center"/>
        <w:rPr>
          <w:rFonts w:hint="eastAsia"/>
          <w:b/>
          <w:sz w:val="44"/>
          <w:szCs w:val="44"/>
        </w:rPr>
      </w:pPr>
      <w:r>
        <w:rPr>
          <w:rFonts w:hint="eastAsia"/>
          <w:b/>
          <w:sz w:val="44"/>
          <w:szCs w:val="44"/>
        </w:rPr>
        <w:t>目    录</w:t>
      </w:r>
    </w:p>
    <w:p>
      <w:pPr>
        <w:spacing w:line="540" w:lineRule="exact"/>
        <w:rPr>
          <w:rFonts w:hint="eastAsia"/>
          <w:b/>
          <w:sz w:val="44"/>
          <w:szCs w:val="44"/>
          <w:u w:val="single"/>
        </w:rPr>
      </w:pPr>
    </w:p>
    <w:p>
      <w:pPr>
        <w:spacing w:line="540" w:lineRule="exact"/>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部门</w:t>
      </w:r>
      <w:r>
        <w:rPr>
          <w:rFonts w:hint="eastAsia" w:ascii="黑体" w:hAnsi="黑体" w:eastAsia="黑体"/>
          <w:sz w:val="32"/>
          <w:szCs w:val="32"/>
        </w:rPr>
        <w:t>概况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一、收入支出决算总体情况说明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二、财政拨款收入支出决算情况说明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三、一般公共预算财政拨款“三公”经费支出决算情况说明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四、一般公共预算财政拨款基本支出决算情况说明</w:t>
      </w:r>
    </w:p>
    <w:p>
      <w:pPr>
        <w:spacing w:line="540" w:lineRule="exac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五、其他重要事项的情况说明</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部分    名词解释</w:t>
      </w:r>
    </w:p>
    <w:p>
      <w:pPr>
        <w:spacing w:line="540" w:lineRule="exact"/>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 xml:space="preserve">部分    </w:t>
      </w:r>
      <w:r>
        <w:rPr>
          <w:rFonts w:hint="eastAsia" w:ascii="黑体" w:hAnsi="黑体" w:eastAsia="黑体"/>
          <w:sz w:val="32"/>
          <w:szCs w:val="32"/>
          <w:lang w:eastAsia="zh-CN"/>
        </w:rPr>
        <w:t>2021</w:t>
      </w:r>
      <w:r>
        <w:rPr>
          <w:rFonts w:hint="eastAsia" w:ascii="黑体" w:hAnsi="黑体" w:eastAsia="黑体"/>
          <w:sz w:val="32"/>
          <w:szCs w:val="32"/>
        </w:rPr>
        <w:t>年度部门决算报表</w:t>
      </w:r>
    </w:p>
    <w:p>
      <w:pPr>
        <w:spacing w:line="540" w:lineRule="exact"/>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二、收入决算表</w:t>
      </w:r>
    </w:p>
    <w:p>
      <w:pPr>
        <w:spacing w:line="540" w:lineRule="exact"/>
        <w:rPr>
          <w:rFonts w:hint="eastAsia" w:ascii="仿宋_GB2312" w:eastAsia="仿宋_GB2312"/>
          <w:sz w:val="32"/>
          <w:szCs w:val="32"/>
        </w:rPr>
      </w:pPr>
      <w:r>
        <w:rPr>
          <w:rFonts w:hint="eastAsia" w:ascii="仿宋_GB2312" w:eastAsia="仿宋_GB2312"/>
          <w:sz w:val="32"/>
          <w:szCs w:val="32"/>
        </w:rPr>
        <w:t>三、支出决算表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hint="eastAsia" w:ascii="仿宋_GB2312" w:eastAsia="仿宋_GB2312"/>
          <w:sz w:val="32"/>
          <w:szCs w:val="32"/>
          <w:lang w:val="en-US" w:eastAsia="zh-CN"/>
        </w:rPr>
      </w:pPr>
      <w:r>
        <w:rPr>
          <w:rFonts w:hint="eastAsia" w:ascii="仿宋_GB2312" w:eastAsia="仿宋_GB2312"/>
          <w:sz w:val="32"/>
          <w:szCs w:val="32"/>
          <w:lang w:val="en-US" w:eastAsia="zh-CN"/>
        </w:rPr>
        <w:t>九、国有资本经营预算财政拨款支出决算表</w:t>
      </w:r>
    </w:p>
    <w:p>
      <w:pPr>
        <w:spacing w:line="540" w:lineRule="exact"/>
        <w:jc w:val="center"/>
        <w:rPr>
          <w:rFonts w:hint="eastAsia" w:ascii="黑体" w:hAnsi="黑体" w:eastAsia="黑体"/>
          <w:b/>
          <w:sz w:val="44"/>
          <w:szCs w:val="44"/>
          <w:u w:val="single"/>
        </w:rPr>
      </w:pPr>
    </w:p>
    <w:p>
      <w:pPr>
        <w:spacing w:line="540" w:lineRule="exact"/>
        <w:jc w:val="center"/>
        <w:rPr>
          <w:rFonts w:hint="eastAsia" w:ascii="宋体" w:hAnsi="宋体"/>
          <w:b/>
          <w:sz w:val="36"/>
          <w:szCs w:val="36"/>
        </w:rPr>
      </w:pPr>
      <w:r>
        <w:rPr>
          <w:rFonts w:hint="eastAsia"/>
          <w:b/>
          <w:sz w:val="44"/>
          <w:szCs w:val="44"/>
          <w:u w:val="single"/>
        </w:rPr>
        <w:br w:type="page"/>
      </w:r>
      <w:r>
        <w:rPr>
          <w:rFonts w:hint="eastAsia" w:ascii="宋体" w:hAnsi="宋体"/>
          <w:b/>
          <w:sz w:val="36"/>
          <w:szCs w:val="36"/>
        </w:rPr>
        <w:t xml:space="preserve">第一部分 </w:t>
      </w:r>
      <w:r>
        <w:rPr>
          <w:rFonts w:hint="eastAsia" w:ascii="宋体" w:hAnsi="宋体"/>
          <w:b/>
          <w:sz w:val="36"/>
          <w:szCs w:val="36"/>
          <w:lang w:eastAsia="zh-CN"/>
        </w:rPr>
        <w:t>部门</w:t>
      </w:r>
      <w:r>
        <w:rPr>
          <w:rFonts w:hint="eastAsia" w:ascii="宋体" w:hAnsi="宋体"/>
          <w:b/>
          <w:sz w:val="36"/>
          <w:szCs w:val="36"/>
        </w:rPr>
        <w:t>概况</w:t>
      </w:r>
    </w:p>
    <w:p>
      <w:pPr>
        <w:spacing w:line="540" w:lineRule="exact"/>
        <w:ind w:firstLine="640" w:firstLineChars="200"/>
        <w:jc w:val="left"/>
        <w:rPr>
          <w:rFonts w:hint="eastAsia" w:ascii="黑体" w:eastAsia="黑体"/>
          <w:sz w:val="32"/>
          <w:szCs w:val="32"/>
        </w:rPr>
      </w:pPr>
    </w:p>
    <w:p>
      <w:pPr>
        <w:numPr>
          <w:ilvl w:val="0"/>
          <w:numId w:val="2"/>
        </w:numPr>
        <w:spacing w:line="540" w:lineRule="exact"/>
        <w:ind w:firstLine="640" w:firstLineChars="200"/>
        <w:jc w:val="left"/>
        <w:rPr>
          <w:rFonts w:hint="eastAsia" w:ascii="黑体" w:eastAsia="黑体"/>
          <w:sz w:val="32"/>
          <w:szCs w:val="32"/>
        </w:rPr>
      </w:pPr>
      <w:r>
        <w:rPr>
          <w:rFonts w:hint="eastAsia" w:ascii="黑体" w:eastAsia="黑体"/>
          <w:sz w:val="32"/>
          <w:szCs w:val="32"/>
        </w:rPr>
        <w:t>主要职责</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一）为全区河长制、水资源、水利工程、移民扶持、水土保持、农村饮水、水利工程建设质量与安全监督等提供技术支持和服务保障。承担全区地表水和地下水监测、计划用水、节约用水，农村饮水等水资源管理的事务性工作；为水资源开发利用、配置调度、管理保护和水生态治理提供相关技术服务；承担全区河道、水利设施、水域及其岸线的生态保护、管理与综合利用相关事务性工作；承担全区城市防洪工程规划、河道生态及景观等工程建设相关事务性工作；为全区水利建设和管理相关事务性工作；承担水利工程征地、移民安置及后期扶持相关事务性工作；承担全区水土流失综合防治工作；为全区水利工程除险加固、维修养护、运行管理提供技术支持和服务保障；承担区水利局交办的其他工作。</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二）为农业开发项目的设计、申报、施工、管理、监督和验收等相关工作提供服务保障；为全区农业技术推广、农作物种业、农业品牌认证推介、农产品质量安全、农业病虫害检疫监测防治、土壤肥料、农药登记、农用药械服务等相关工作提供技术支持和服务保障；负责全区农业农村信息化建设；承担农业教育培训等相关工作。</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（三）组织林业生态保护修复和造林绿化工作。组织实施林业生态保护修复工作，指导公益林和商品林的培育，指导、监督全民义务植树、乡村绿化工作。指导林业有害生物防治、检疫工作。</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（四）承担水产养殖病害监测预报、防疫检疫的事务性工作。</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五）为全区动物疫病防控、动物检疫、畜禽屠宰、疫情监测、疫情处置和应急保障提供技术和服务保障；动物疫病预防控制服务、动物卫生监督管理、畜牧兽医服务工作职责。为畜牧良种繁育、兽药、饲料等相关工作提供技术支持和服务保障。</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（六）畜产品安全工作职责。</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（七）农机服务工作职责。</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（八）农业农村综合执法工作职责</w:t>
      </w:r>
      <w:r>
        <w:rPr>
          <w:rFonts w:hint="eastAsia" w:ascii="仿宋" w:hAnsi="仿宋" w:eastAsia="仿宋" w:cs="仿宋"/>
          <w:sz w:val="32"/>
          <w:szCs w:val="32"/>
        </w:rPr>
        <w:t>。</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（九）农田灌溉、排涝服务。</w:t>
      </w:r>
    </w:p>
    <w:p>
      <w:pPr>
        <w:pStyle w:val="3"/>
        <w:snapToGrid w:val="0"/>
        <w:spacing w:before="0" w:beforeAutospacing="0" w:after="0" w:afterAutospacing="0" w:line="560" w:lineRule="exact"/>
        <w:ind w:left="1360"/>
        <w:jc w:val="both"/>
        <w:rPr>
          <w:rFonts w:hint="eastAsia" w:ascii="仿宋" w:hAnsi="仿宋" w:eastAsia="仿宋" w:cs="仿宋"/>
          <w:kern w:val="2"/>
          <w:sz w:val="32"/>
          <w:szCs w:val="32"/>
        </w:rPr>
      </w:pPr>
      <w:r>
        <w:rPr>
          <w:rFonts w:hint="eastAsia" w:ascii="仿宋" w:hAnsi="仿宋" w:eastAsia="仿宋" w:cs="仿宋"/>
          <w:kern w:val="2"/>
          <w:sz w:val="32"/>
          <w:szCs w:val="32"/>
        </w:rPr>
        <w:t xml:space="preserve"> (十）承接区委、区政府、上级业务部门等其它工作任务。</w:t>
      </w:r>
    </w:p>
    <w:p>
      <w:pPr>
        <w:numPr>
          <w:ilvl w:val="0"/>
          <w:numId w:val="0"/>
        </w:numPr>
        <w:spacing w:line="540" w:lineRule="exact"/>
        <w:jc w:val="left"/>
        <w:rPr>
          <w:rFonts w:hint="eastAsia" w:ascii="黑体" w:eastAsia="黑体"/>
          <w:sz w:val="32"/>
          <w:szCs w:val="32"/>
        </w:rPr>
      </w:pPr>
    </w:p>
    <w:p>
      <w:pPr>
        <w:spacing w:line="540" w:lineRule="exact"/>
        <w:ind w:firstLine="640" w:firstLineChars="200"/>
        <w:jc w:val="left"/>
        <w:rPr>
          <w:rFonts w:hint="eastAsia"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纳入</w:t>
      </w:r>
      <w:r>
        <w:rPr>
          <w:rFonts w:hint="eastAsia" w:ascii="仿宋_GB2312" w:eastAsia="仿宋_GB2312"/>
          <w:b/>
          <w:sz w:val="32"/>
          <w:szCs w:val="32"/>
          <w:lang w:val="en-US" w:eastAsia="zh-CN"/>
        </w:rPr>
        <w:t>盘锦市兴隆台区农业和水利服务中心</w:t>
      </w:r>
      <w:r>
        <w:rPr>
          <w:rFonts w:hint="eastAsia" w:ascii="仿宋_GB2312" w:eastAsia="仿宋_GB2312"/>
          <w:b/>
          <w:sz w:val="32"/>
          <w:szCs w:val="32"/>
          <w:lang w:eastAsia="zh-CN"/>
        </w:rPr>
        <w:t>2021</w:t>
      </w:r>
      <w:r>
        <w:rPr>
          <w:rFonts w:hint="eastAsia" w:ascii="仿宋_GB2312" w:eastAsia="仿宋_GB2312"/>
          <w:b/>
          <w:sz w:val="32"/>
          <w:szCs w:val="32"/>
        </w:rPr>
        <w:t>年部门决算编制范围的二级预算单位包括：</w:t>
      </w:r>
    </w:p>
    <w:p>
      <w:pPr>
        <w:spacing w:line="54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无。</w:t>
      </w:r>
    </w:p>
    <w:p>
      <w:pPr>
        <w:spacing w:line="540" w:lineRule="exact"/>
        <w:ind w:firstLine="723" w:firstLineChars="200"/>
        <w:jc w:val="center"/>
        <w:rPr>
          <w:rFonts w:hint="eastAsia" w:ascii="宋体" w:hAnsi="宋体"/>
          <w:b/>
          <w:sz w:val="36"/>
          <w:szCs w:val="36"/>
        </w:rPr>
      </w:pPr>
    </w:p>
    <w:p>
      <w:pPr>
        <w:spacing w:line="540" w:lineRule="exact"/>
        <w:ind w:firstLine="723" w:firstLineChars="200"/>
        <w:jc w:val="center"/>
        <w:rPr>
          <w:rFonts w:hint="eastAsia" w:ascii="宋体" w:hAnsi="宋体"/>
          <w:b/>
          <w:sz w:val="36"/>
          <w:szCs w:val="36"/>
        </w:rPr>
      </w:pPr>
    </w:p>
    <w:p>
      <w:pPr>
        <w:spacing w:line="540" w:lineRule="exact"/>
        <w:ind w:firstLine="723" w:firstLineChars="200"/>
        <w:jc w:val="center"/>
        <w:rPr>
          <w:rFonts w:hint="eastAsia" w:ascii="宋体" w:hAnsi="宋体"/>
          <w:b/>
          <w:sz w:val="36"/>
          <w:szCs w:val="36"/>
        </w:rPr>
      </w:pPr>
    </w:p>
    <w:p>
      <w:pPr>
        <w:spacing w:line="540" w:lineRule="exact"/>
        <w:ind w:firstLine="723" w:firstLineChars="200"/>
        <w:jc w:val="center"/>
        <w:rPr>
          <w:rFonts w:hint="eastAsia" w:ascii="宋体" w:hAnsi="宋体"/>
          <w:b/>
          <w:sz w:val="36"/>
          <w:szCs w:val="36"/>
        </w:rPr>
      </w:pPr>
    </w:p>
    <w:p>
      <w:pPr>
        <w:spacing w:line="540" w:lineRule="exact"/>
        <w:ind w:firstLine="723" w:firstLineChars="200"/>
        <w:jc w:val="center"/>
        <w:rPr>
          <w:rFonts w:hint="eastAsia" w:ascii="宋体" w:hAnsi="宋体"/>
          <w:b/>
          <w:sz w:val="36"/>
          <w:szCs w:val="36"/>
        </w:rPr>
      </w:pPr>
    </w:p>
    <w:p>
      <w:pPr>
        <w:spacing w:line="540" w:lineRule="exact"/>
        <w:ind w:firstLine="723" w:firstLineChars="200"/>
        <w:jc w:val="center"/>
        <w:rPr>
          <w:rFonts w:hint="eastAsia" w:ascii="宋体" w:hAnsi="宋体"/>
          <w:b/>
          <w:sz w:val="36"/>
          <w:szCs w:val="36"/>
        </w:rPr>
      </w:pPr>
      <w:r>
        <w:rPr>
          <w:rFonts w:hint="eastAsia" w:ascii="宋体" w:hAnsi="宋体"/>
          <w:b/>
          <w:sz w:val="36"/>
          <w:szCs w:val="36"/>
        </w:rPr>
        <w:t>第</w:t>
      </w:r>
      <w:r>
        <w:rPr>
          <w:rFonts w:hint="eastAsia" w:ascii="宋体" w:hAnsi="宋体"/>
          <w:b/>
          <w:sz w:val="36"/>
          <w:szCs w:val="36"/>
          <w:lang w:val="en-US" w:eastAsia="zh-CN"/>
        </w:rPr>
        <w:t>二</w:t>
      </w:r>
      <w:r>
        <w:rPr>
          <w:rFonts w:hint="eastAsia" w:ascii="宋体" w:hAnsi="宋体"/>
          <w:b/>
          <w:sz w:val="36"/>
          <w:szCs w:val="36"/>
        </w:rPr>
        <w:t xml:space="preserve">部分 </w:t>
      </w:r>
      <w:r>
        <w:rPr>
          <w:rFonts w:hint="eastAsia" w:ascii="宋体" w:hAnsi="宋体"/>
          <w:b/>
          <w:sz w:val="36"/>
          <w:szCs w:val="36"/>
          <w:lang w:eastAsia="zh-CN"/>
        </w:rPr>
        <w:t>2021</w:t>
      </w:r>
      <w:r>
        <w:rPr>
          <w:rFonts w:hint="eastAsia" w:ascii="宋体" w:hAnsi="宋体"/>
          <w:b/>
          <w:sz w:val="36"/>
          <w:szCs w:val="36"/>
        </w:rPr>
        <w:t>年度部门决算情况说明</w:t>
      </w:r>
    </w:p>
    <w:p>
      <w:pPr>
        <w:spacing w:line="540" w:lineRule="exact"/>
        <w:rPr>
          <w:rFonts w:hint="eastAsia" w:ascii="宋体" w:hAnsi="宋体"/>
          <w:b/>
          <w:sz w:val="36"/>
          <w:szCs w:val="36"/>
        </w:rPr>
      </w:pPr>
    </w:p>
    <w:p>
      <w:pPr>
        <w:spacing w:line="540" w:lineRule="exact"/>
        <w:ind w:firstLine="627" w:firstLineChars="196"/>
        <w:rPr>
          <w:rFonts w:hint="eastAsia" w:ascii="黑体" w:hAnsi="黑体" w:eastAsia="黑体"/>
          <w:sz w:val="32"/>
          <w:szCs w:val="32"/>
          <w:lang w:eastAsia="zh-CN"/>
        </w:rPr>
      </w:pPr>
      <w:r>
        <w:rPr>
          <w:rFonts w:hint="eastAsia" w:ascii="黑体" w:hAnsi="黑体" w:eastAsia="黑体"/>
          <w:sz w:val="32"/>
          <w:szCs w:val="32"/>
        </w:rPr>
        <w:t>一、收入支出决算总体情况</w:t>
      </w:r>
      <w:r>
        <w:rPr>
          <w:rFonts w:hint="eastAsia" w:ascii="黑体" w:hAnsi="黑体" w:eastAsia="黑体"/>
          <w:sz w:val="32"/>
          <w:szCs w:val="32"/>
          <w:lang w:eastAsia="zh-CN"/>
        </w:rPr>
        <w:t>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6637.35</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3555.5</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53%</w:t>
      </w:r>
      <w:r>
        <w:rPr>
          <w:rFonts w:hint="eastAsia" w:ascii="仿宋_GB2312" w:hAnsi="宋体" w:eastAsia="仿宋_GB2312"/>
          <w:sz w:val="32"/>
          <w:szCs w:val="32"/>
        </w:rPr>
        <w:t>。其中：</w:t>
      </w:r>
      <w:r>
        <w:rPr>
          <w:rFonts w:hint="eastAsia" w:ascii="仿宋_GB2312" w:hAnsi="宋体" w:eastAsia="仿宋_GB2312"/>
          <w:sz w:val="32"/>
          <w:szCs w:val="32"/>
          <w:lang w:val="en-US" w:eastAsia="zh-CN"/>
        </w:rPr>
        <w:t>一般</w:t>
      </w:r>
      <w:r>
        <w:rPr>
          <w:rFonts w:hint="eastAsia" w:ascii="仿宋_GB2312" w:hAnsi="宋体" w:eastAsia="仿宋_GB2312"/>
          <w:sz w:val="32"/>
          <w:szCs w:val="32"/>
        </w:rPr>
        <w:t>公共预算财政拨款收入</w:t>
      </w:r>
      <w:r>
        <w:rPr>
          <w:rFonts w:hint="eastAsia" w:ascii="仿宋_GB2312" w:hAnsi="宋体" w:eastAsia="仿宋_GB2312"/>
          <w:sz w:val="32"/>
          <w:szCs w:val="32"/>
          <w:lang w:val="en-US" w:eastAsia="zh-CN"/>
        </w:rPr>
        <w:t>3517.76</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37.74</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国有资本经营预算财政拨款收入0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sz w:val="32"/>
          <w:szCs w:val="32"/>
          <w:lang w:val="en-US" w:eastAsia="zh-CN"/>
        </w:rPr>
        <w:t>使用非财政拨款结余0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3081.85</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47</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项目款项结转</w:t>
      </w:r>
      <w:r>
        <w:rPr>
          <w:rFonts w:hint="eastAsia" w:ascii="仿宋_GB2312" w:hAnsi="宋体" w:eastAsia="仿宋_GB2312"/>
          <w:sz w:val="32"/>
          <w:szCs w:val="32"/>
        </w:rPr>
        <w:t>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与上年相比，今年收入减少</w:t>
      </w:r>
      <w:r>
        <w:rPr>
          <w:rFonts w:hint="eastAsia" w:ascii="仿宋_GB2312" w:hAnsi="宋体" w:eastAsia="仿宋_GB2312"/>
          <w:sz w:val="32"/>
          <w:szCs w:val="32"/>
          <w:lang w:val="en-US" w:eastAsia="zh-CN"/>
        </w:rPr>
        <w:t>10858.67</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62</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项目资金减少</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6387.35</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1578.58</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25</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1368.07</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24.55</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185.96</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4808.77</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75</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农林水</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2603.32</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168</w:t>
      </w:r>
      <w:r>
        <w:rPr>
          <w:rFonts w:hint="eastAsia" w:ascii="仿宋_GB2312" w:hAnsi="宋体" w:eastAsia="仿宋_GB2312"/>
          <w:sz w:val="32"/>
          <w:szCs w:val="32"/>
        </w:rPr>
        <w:t>%，主要原因：</w:t>
      </w:r>
      <w:r>
        <w:rPr>
          <w:rFonts w:hint="eastAsia" w:ascii="仿宋" w:hAnsi="仿宋" w:eastAsia="仿宋"/>
          <w:sz w:val="32"/>
          <w:szCs w:val="32"/>
        </w:rPr>
        <w:t>一是</w:t>
      </w:r>
      <w:r>
        <w:rPr>
          <w:rFonts w:hint="eastAsia" w:ascii="仿宋" w:hAnsi="仿宋" w:eastAsia="仿宋"/>
          <w:sz w:val="32"/>
          <w:szCs w:val="32"/>
          <w:lang w:val="en-US" w:eastAsia="zh-CN"/>
        </w:rPr>
        <w:t>基本支出增加</w:t>
      </w:r>
      <w:r>
        <w:rPr>
          <w:rFonts w:hint="eastAsia" w:ascii="仿宋" w:hAnsi="仿宋" w:eastAsia="仿宋"/>
          <w:sz w:val="32"/>
          <w:szCs w:val="32"/>
        </w:rPr>
        <w:t>；二是</w:t>
      </w:r>
      <w:r>
        <w:rPr>
          <w:rFonts w:hint="eastAsia" w:ascii="仿宋" w:hAnsi="仿宋" w:eastAsia="仿宋"/>
          <w:sz w:val="32"/>
          <w:szCs w:val="32"/>
          <w:lang w:val="en-US" w:eastAsia="zh-CN"/>
        </w:rPr>
        <w:t>项目支出增加</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250</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项目资金未拨付</w:t>
      </w:r>
      <w:r>
        <w:rPr>
          <w:rFonts w:hint="eastAsia" w:ascii="仿宋_GB2312" w:hAnsi="宋体" w:eastAsia="仿宋_GB2312"/>
          <w:sz w:val="32"/>
          <w:szCs w:val="32"/>
        </w:rPr>
        <w:t>等原因形成的结余。与上年相比，今年结转结余增加减少</w:t>
      </w:r>
      <w:r>
        <w:rPr>
          <w:rFonts w:hint="eastAsia" w:ascii="仿宋_GB2312" w:hAnsi="宋体" w:eastAsia="仿宋_GB2312"/>
          <w:sz w:val="32"/>
          <w:szCs w:val="32"/>
          <w:lang w:val="en-US" w:eastAsia="zh-CN"/>
        </w:rPr>
        <w:t>13462</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98</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项目资金减少</w:t>
      </w:r>
      <w:r>
        <w:rPr>
          <w:rFonts w:hint="eastAsia" w:ascii="仿宋_GB2312" w:hAnsi="宋体" w:eastAsia="仿宋_GB2312"/>
          <w:sz w:val="32"/>
          <w:szCs w:val="32"/>
        </w:rPr>
        <w:t>。</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二、财政拨款支出决算情况</w:t>
      </w:r>
      <w:r>
        <w:rPr>
          <w:rFonts w:hint="eastAsia" w:ascii="黑体" w:hAnsi="黑体" w:eastAsia="黑体"/>
          <w:sz w:val="32"/>
          <w:szCs w:val="32"/>
          <w:lang w:eastAsia="zh-CN"/>
        </w:rPr>
        <w:t>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6387.35</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1578.58</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4808.58</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2603.32</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68</w:t>
      </w:r>
      <w:r>
        <w:rPr>
          <w:rFonts w:hint="eastAsia" w:ascii="仿宋_GB2312" w:hAnsi="宋体" w:eastAsia="仿宋_GB2312"/>
          <w:sz w:val="32"/>
          <w:szCs w:val="32"/>
        </w:rPr>
        <w:t>%，主要原因：</w:t>
      </w:r>
      <w:r>
        <w:rPr>
          <w:rFonts w:hint="eastAsia" w:ascii="仿宋" w:hAnsi="仿宋" w:eastAsia="仿宋"/>
          <w:sz w:val="32"/>
          <w:szCs w:val="32"/>
        </w:rPr>
        <w:t>一是</w:t>
      </w:r>
      <w:r>
        <w:rPr>
          <w:rFonts w:hint="eastAsia" w:ascii="仿宋" w:hAnsi="仿宋" w:eastAsia="仿宋"/>
          <w:sz w:val="32"/>
          <w:szCs w:val="32"/>
          <w:lang w:val="en-US" w:eastAsia="zh-CN"/>
        </w:rPr>
        <w:t>基本支出增加</w:t>
      </w:r>
      <w:r>
        <w:rPr>
          <w:rFonts w:hint="eastAsia" w:ascii="仿宋" w:hAnsi="仿宋" w:eastAsia="仿宋"/>
          <w:sz w:val="32"/>
          <w:szCs w:val="32"/>
        </w:rPr>
        <w:t>；二是</w:t>
      </w:r>
      <w:r>
        <w:rPr>
          <w:rFonts w:hint="eastAsia" w:ascii="仿宋" w:hAnsi="仿宋" w:eastAsia="仿宋"/>
          <w:sz w:val="32"/>
          <w:szCs w:val="32"/>
          <w:lang w:val="en-US" w:eastAsia="zh-CN"/>
        </w:rPr>
        <w:t>项目支出增加</w:t>
      </w:r>
      <w:r>
        <w:rPr>
          <w:rFonts w:hint="eastAsia" w:ascii="仿宋_GB2312" w:hAnsi="宋体" w:eastAsia="仿宋_GB2312"/>
          <w:sz w:val="32"/>
          <w:szCs w:val="32"/>
        </w:rPr>
        <w:t>。与年初预算相比，</w:t>
      </w:r>
      <w:r>
        <w:rPr>
          <w:rFonts w:hint="eastAsia" w:ascii="仿宋_GB2312" w:hAnsi="宋体" w:eastAsia="仿宋_GB2312"/>
          <w:sz w:val="32"/>
          <w:szCs w:val="32"/>
          <w:lang w:eastAsia="zh-CN"/>
        </w:rPr>
        <w:t>2021</w:t>
      </w:r>
      <w:r>
        <w:rPr>
          <w:rFonts w:hint="eastAsia" w:ascii="仿宋_GB2312" w:hAnsi="宋体" w:eastAsia="仿宋_GB2312"/>
          <w:sz w:val="32"/>
          <w:szCs w:val="32"/>
          <w:lang w:val="en-US" w:eastAsia="zh-CN"/>
        </w:rPr>
        <w:t>年度</w:t>
      </w:r>
      <w:r>
        <w:rPr>
          <w:rFonts w:hint="eastAsia" w:ascii="仿宋_GB2312" w:hAnsi="宋体" w:eastAsia="仿宋_GB2312"/>
          <w:sz w:val="32"/>
          <w:szCs w:val="32"/>
        </w:rPr>
        <w:t>财政拨款支出完成年初预算的</w:t>
      </w:r>
      <w:r>
        <w:rPr>
          <w:rFonts w:hint="eastAsia" w:ascii="仿宋_GB2312" w:hAnsi="宋体" w:eastAsia="仿宋_GB2312"/>
          <w:sz w:val="32"/>
          <w:szCs w:val="32"/>
          <w:lang w:val="en-US" w:eastAsia="zh-CN"/>
        </w:rPr>
        <w:t>67</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91</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31</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val="en-US" w:eastAsia="zh-CN"/>
        </w:rPr>
        <w:t>一般公共预算财政拨款支出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年度一般公共预算财政拨款支出</w:t>
      </w:r>
      <w:r>
        <w:rPr>
          <w:rFonts w:hint="eastAsia" w:ascii="仿宋_GB2312" w:hAnsi="宋体" w:eastAsia="仿宋_GB2312"/>
          <w:sz w:val="32"/>
          <w:szCs w:val="32"/>
          <w:lang w:val="en-US" w:eastAsia="zh-CN"/>
        </w:rPr>
        <w:t>6387.35</w:t>
      </w:r>
      <w:r>
        <w:rPr>
          <w:rFonts w:hint="eastAsia" w:ascii="仿宋_GB2312" w:hAnsi="宋体" w:eastAsia="仿宋_GB2312"/>
          <w:sz w:val="32"/>
          <w:szCs w:val="32"/>
        </w:rPr>
        <w:t>万元，按支出功能分类科目分，包括：</w:t>
      </w:r>
      <w:r>
        <w:rPr>
          <w:rFonts w:hint="eastAsia" w:ascii="仿宋_GB2312" w:hAnsi="宋体" w:eastAsia="仿宋_GB2312"/>
          <w:sz w:val="32"/>
          <w:szCs w:val="32"/>
          <w:lang w:val="en-US" w:eastAsia="zh-CN"/>
        </w:rPr>
        <w:t>社会保障和就业支出539.26万元，占8.4%，卫生健康支出85.3万元，占1.3%，农林水支出5647.54万元，占88.4%，住房保障支出115.25万元，占1.8%。</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1.一般公共服务支出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（1）一般公共服务支出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类）财政事务（款）</w:t>
      </w:r>
      <w:r>
        <w:rPr>
          <w:rFonts w:hint="eastAsia" w:ascii="仿宋_GB2312" w:hAnsi="宋体" w:eastAsia="仿宋_GB2312"/>
          <w:sz w:val="32"/>
          <w:szCs w:val="32"/>
        </w:rPr>
        <w:t>行政运行</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项）0</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等支出，完成年初预算的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%，决算数小于（大于）年初预算数的原因主要是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社会保障和就业支出539.26万元，主要是养老支出、抚恤支出，完成年初预算的294%，</w:t>
      </w:r>
      <w:r>
        <w:rPr>
          <w:rFonts w:hint="eastAsia" w:ascii="仿宋" w:hAnsi="仿宋" w:eastAsia="仿宋"/>
          <w:sz w:val="32"/>
          <w:szCs w:val="32"/>
        </w:rPr>
        <w:t>决算数小于（大于）年初预算数的原因主要是行政事业单位养老支出</w:t>
      </w:r>
      <w:r>
        <w:rPr>
          <w:rFonts w:hint="eastAsia" w:ascii="仿宋" w:hAnsi="仿宋" w:eastAsia="仿宋"/>
          <w:sz w:val="32"/>
          <w:szCs w:val="32"/>
          <w:lang w:val="en-US" w:eastAsia="zh-CN"/>
        </w:rPr>
        <w:t>及移民基金增加</w:t>
      </w:r>
      <w:r>
        <w:rPr>
          <w:rFonts w:hint="eastAsia" w:ascii="仿宋" w:hAnsi="仿宋" w:eastAsia="仿宋"/>
          <w:sz w:val="32"/>
          <w:szCs w:val="32"/>
        </w:rPr>
        <w:t>。</w:t>
      </w:r>
    </w:p>
    <w:p>
      <w:pPr>
        <w:spacing w:line="540" w:lineRule="exact"/>
        <w:ind w:firstLine="660"/>
        <w:rPr>
          <w:rFonts w:hint="eastAsia" w:ascii="仿宋" w:hAnsi="仿宋" w:eastAsia="仿宋"/>
          <w:sz w:val="32"/>
          <w:szCs w:val="32"/>
          <w:lang w:val="en-US" w:eastAsia="zh-CN"/>
        </w:rPr>
      </w:pPr>
      <w:r>
        <w:rPr>
          <w:rFonts w:hint="eastAsia" w:ascii="仿宋" w:hAnsi="仿宋" w:eastAsia="仿宋"/>
          <w:sz w:val="32"/>
          <w:szCs w:val="32"/>
          <w:lang w:val="en-US" w:eastAsia="zh-CN"/>
        </w:rPr>
        <w:t>3.农林水支出5647.54万元，主要是农业农村和水利支出，完成年初预算的224%，</w:t>
      </w:r>
      <w:r>
        <w:rPr>
          <w:rFonts w:hint="eastAsia" w:ascii="仿宋" w:hAnsi="仿宋" w:eastAsia="仿宋"/>
          <w:sz w:val="32"/>
          <w:szCs w:val="32"/>
        </w:rPr>
        <w:t>决算数小于（大于）年初预算数的原因主要是</w:t>
      </w:r>
      <w:r>
        <w:rPr>
          <w:rFonts w:hint="eastAsia" w:ascii="仿宋" w:hAnsi="仿宋" w:eastAsia="仿宋"/>
          <w:sz w:val="32"/>
          <w:szCs w:val="32"/>
          <w:lang w:val="en-US" w:eastAsia="zh-CN"/>
        </w:rPr>
        <w:t>项目支出增加。</w:t>
      </w:r>
    </w:p>
    <w:p>
      <w:pPr>
        <w:spacing w:line="540" w:lineRule="exact"/>
        <w:ind w:firstLine="660"/>
        <w:rPr>
          <w:rFonts w:hint="eastAsia" w:ascii="仿宋" w:hAnsi="仿宋" w:eastAsia="仿宋"/>
          <w:sz w:val="32"/>
          <w:szCs w:val="32"/>
          <w:lang w:val="en-US" w:eastAsia="zh-CN"/>
        </w:rPr>
      </w:pPr>
      <w:r>
        <w:rPr>
          <w:rFonts w:hint="eastAsia" w:ascii="仿宋" w:hAnsi="仿宋" w:eastAsia="仿宋"/>
          <w:sz w:val="32"/>
          <w:szCs w:val="32"/>
          <w:lang w:val="en-US" w:eastAsia="zh-CN"/>
        </w:rPr>
        <w:t>4.卫生健康支出85.3万元，主要是事业单位医疗支出，完成年初预算的93%，</w:t>
      </w:r>
      <w:r>
        <w:rPr>
          <w:rFonts w:hint="eastAsia" w:ascii="仿宋" w:hAnsi="仿宋" w:eastAsia="仿宋"/>
          <w:sz w:val="32"/>
          <w:szCs w:val="32"/>
        </w:rPr>
        <w:t>决算数小于（大于）年初预算数的原因主要是</w:t>
      </w:r>
      <w:r>
        <w:rPr>
          <w:rFonts w:hint="eastAsia" w:ascii="仿宋" w:hAnsi="仿宋" w:eastAsia="仿宋"/>
          <w:sz w:val="32"/>
          <w:szCs w:val="32"/>
          <w:lang w:val="en-US" w:eastAsia="zh-CN"/>
        </w:rPr>
        <w:t>人员变动等。</w:t>
      </w:r>
    </w:p>
    <w:p>
      <w:pPr>
        <w:spacing w:line="540" w:lineRule="exact"/>
        <w:ind w:firstLine="660"/>
        <w:rPr>
          <w:rFonts w:hint="eastAsia" w:ascii="仿宋" w:hAnsi="仿宋" w:eastAsia="仿宋"/>
          <w:sz w:val="32"/>
          <w:szCs w:val="32"/>
          <w:lang w:val="en-US" w:eastAsia="zh-CN"/>
        </w:rPr>
      </w:pPr>
      <w:r>
        <w:rPr>
          <w:rFonts w:hint="eastAsia" w:ascii="仿宋" w:hAnsi="仿宋" w:eastAsia="仿宋"/>
          <w:sz w:val="32"/>
          <w:szCs w:val="32"/>
          <w:lang w:val="en-US" w:eastAsia="zh-CN"/>
        </w:rPr>
        <w:t>5.住房保障支出115.25万元，主要是住房公积金支出，完成年初预算的90%，</w:t>
      </w:r>
      <w:r>
        <w:rPr>
          <w:rFonts w:hint="eastAsia" w:ascii="仿宋" w:hAnsi="仿宋" w:eastAsia="仿宋"/>
          <w:sz w:val="32"/>
          <w:szCs w:val="32"/>
        </w:rPr>
        <w:t>决算数小于（大于）年初预算数的原因主要是</w:t>
      </w:r>
      <w:r>
        <w:rPr>
          <w:rFonts w:hint="eastAsia" w:ascii="仿宋" w:hAnsi="仿宋" w:eastAsia="仿宋"/>
          <w:sz w:val="32"/>
          <w:szCs w:val="32"/>
          <w:lang w:val="en-US" w:eastAsia="zh-CN"/>
        </w:rPr>
        <w:t>人员变动等。</w:t>
      </w:r>
    </w:p>
    <w:p>
      <w:pPr>
        <w:spacing w:line="540" w:lineRule="exact"/>
        <w:ind w:firstLine="660"/>
        <w:rPr>
          <w:rFonts w:hint="eastAsia" w:ascii="仿宋_GB2312" w:hAnsi="宋体" w:eastAsia="仿宋_GB2312"/>
          <w:sz w:val="32"/>
          <w:szCs w:val="32"/>
          <w:lang w:eastAsia="zh-CN"/>
        </w:rPr>
      </w:pP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三</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政府性基金预算财政拨款支出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年度政府性基金预算财政拨款支出</w:t>
      </w:r>
      <w:r>
        <w:rPr>
          <w:rFonts w:hint="eastAsia" w:ascii="仿宋_GB2312" w:hAnsi="宋体" w:eastAsia="仿宋_GB2312"/>
          <w:sz w:val="32"/>
          <w:szCs w:val="32"/>
          <w:lang w:val="en-US" w:eastAsia="zh-CN"/>
        </w:rPr>
        <w:t>348.14</w:t>
      </w:r>
      <w:r>
        <w:rPr>
          <w:rFonts w:hint="eastAsia" w:ascii="仿宋_GB2312" w:hAnsi="宋体" w:eastAsia="仿宋_GB2312"/>
          <w:sz w:val="32"/>
          <w:szCs w:val="32"/>
        </w:rPr>
        <w:t>万元，按支出功能分类科目分，包括：</w:t>
      </w:r>
      <w:r>
        <w:rPr>
          <w:rFonts w:hint="eastAsia" w:ascii="仿宋_GB2312" w:hAnsi="宋体" w:eastAsia="仿宋_GB2312"/>
          <w:sz w:val="32"/>
          <w:szCs w:val="32"/>
          <w:lang w:val="en-US" w:eastAsia="zh-CN"/>
        </w:rPr>
        <w:t>移民补助和基础设施建设和经济发展</w:t>
      </w:r>
      <w:r>
        <w:rPr>
          <w:rFonts w:hint="eastAsia" w:ascii="仿宋_GB2312" w:hAnsi="宋体" w:eastAsia="仿宋_GB2312"/>
          <w:sz w:val="32"/>
          <w:szCs w:val="32"/>
        </w:rPr>
        <w:t>。</w:t>
      </w:r>
    </w:p>
    <w:p>
      <w:pPr>
        <w:numPr>
          <w:ilvl w:val="0"/>
          <w:numId w:val="3"/>
        </w:num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移民补助88.14万元。</w:t>
      </w:r>
    </w:p>
    <w:p>
      <w:pPr>
        <w:numPr>
          <w:ilvl w:val="0"/>
          <w:numId w:val="3"/>
        </w:num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基础设施建设和经济发展260万元。</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四</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国有资本经营预算财政拨款支出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年度国有资本经营预算财政拨款支出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万元，按支出功能分类科目分，包括。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1.……</w:t>
      </w:r>
    </w:p>
    <w:p>
      <w:pPr>
        <w:spacing w:line="540" w:lineRule="exact"/>
        <w:ind w:firstLine="660"/>
        <w:rPr>
          <w:rFonts w:hint="eastAsia" w:ascii="黑体" w:hAnsi="黑体" w:eastAsia="黑体"/>
          <w:sz w:val="32"/>
          <w:szCs w:val="32"/>
          <w:lang w:eastAsia="zh-CN"/>
        </w:rPr>
      </w:pPr>
      <w:r>
        <w:rPr>
          <w:rFonts w:hint="eastAsia" w:ascii="黑体" w:hAnsi="黑体" w:eastAsia="黑体"/>
          <w:sz w:val="32"/>
          <w:szCs w:val="32"/>
        </w:rPr>
        <w:t>三、一般公共预算财政拨款“三公”经费支出决算情况</w:t>
      </w:r>
      <w:r>
        <w:rPr>
          <w:rFonts w:hint="eastAsia" w:ascii="黑体" w:hAnsi="黑体" w:eastAsia="黑体"/>
          <w:sz w:val="32"/>
          <w:szCs w:val="32"/>
          <w:lang w:eastAsia="zh-CN"/>
        </w:rPr>
        <w:t>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年度一般公共预算财政拨款安排的“三公”经费支出</w:t>
      </w:r>
      <w:r>
        <w:rPr>
          <w:rFonts w:hint="eastAsia" w:ascii="仿宋_GB2312" w:hAnsi="宋体" w:eastAsia="仿宋_GB2312"/>
          <w:sz w:val="32"/>
          <w:szCs w:val="32"/>
          <w:lang w:val="en-US" w:eastAsia="zh-CN"/>
        </w:rPr>
        <w:t>36</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%，决算数小于（大于）年初预算数的主要原因是</w:t>
      </w:r>
      <w:r>
        <w:rPr>
          <w:rFonts w:hint="eastAsia" w:ascii="仿宋_GB2312" w:hAnsi="宋体" w:eastAsia="仿宋_GB2312"/>
          <w:sz w:val="32"/>
          <w:szCs w:val="32"/>
          <w:lang w:val="en-US" w:eastAsia="zh-CN"/>
        </w:rPr>
        <w:t>0</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36</w:t>
      </w:r>
      <w:r>
        <w:rPr>
          <w:rFonts w:hint="eastAsia" w:ascii="仿宋_GB2312" w:hAnsi="宋体" w:eastAsia="仿宋_GB2312"/>
          <w:sz w:val="32"/>
          <w:szCs w:val="32"/>
        </w:rPr>
        <w:t>万元。</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1.因公出国（境）费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%，决算数小于（大于）年初预算数的主要原因是</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_GB2312" w:hAnsi="宋体" w:eastAsia="仿宋_GB2312"/>
          <w:sz w:val="32"/>
          <w:szCs w:val="32"/>
          <w:lang w:eastAsia="zh-CN"/>
        </w:rPr>
        <w:t>2021</w:t>
      </w:r>
      <w:r>
        <w:rPr>
          <w:rFonts w:hint="eastAsia" w:ascii="仿宋_GB2312" w:hAnsi="宋体" w:eastAsia="仿宋_GB2312"/>
          <w:sz w:val="32"/>
          <w:szCs w:val="32"/>
        </w:rPr>
        <w:t>年参加出国（境）团组</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人次</w:t>
      </w:r>
      <w:r>
        <w:rPr>
          <w:rFonts w:hint="eastAsia" w:ascii="仿宋_GB2312" w:hAnsi="宋体" w:eastAsia="仿宋_GB2312"/>
          <w:sz w:val="32"/>
          <w:szCs w:val="32"/>
          <w:lang w:val="en-US" w:eastAsia="zh-CN"/>
        </w:rPr>
        <w:t>,</w:t>
      </w:r>
      <w:r>
        <w:rPr>
          <w:rFonts w:hint="eastAsia" w:ascii="仿宋_GB2312" w:hAnsi="宋体" w:eastAsia="仿宋_GB2312"/>
          <w:sz w:val="32"/>
          <w:szCs w:val="32"/>
        </w:rPr>
        <w:t>主要</w:t>
      </w:r>
      <w:r>
        <w:rPr>
          <w:rFonts w:hint="eastAsia" w:ascii="仿宋_GB2312" w:hAnsi="宋体" w:eastAsia="仿宋_GB2312"/>
          <w:sz w:val="32"/>
          <w:szCs w:val="32"/>
          <w:lang w:val="en-US" w:eastAsia="zh-CN"/>
        </w:rPr>
        <w:t>为参加0团</w:t>
      </w:r>
      <w:r>
        <w:rPr>
          <w:rFonts w:hint="eastAsia" w:ascii="仿宋_GB2312" w:hAnsi="宋体" w:eastAsia="仿宋_GB2312"/>
          <w:sz w:val="32"/>
          <w:szCs w:val="32"/>
        </w:rPr>
        <w:t>等。</w:t>
      </w:r>
      <w:r>
        <w:rPr>
          <w:rFonts w:hint="eastAsia" w:ascii="仿宋_GB2312" w:hAnsi="宋体" w:eastAsia="仿宋_GB2312"/>
          <w:sz w:val="32"/>
          <w:szCs w:val="32"/>
          <w:lang w:eastAsia="zh-CN"/>
        </w:rPr>
        <w:t>2021</w:t>
      </w:r>
      <w:r>
        <w:rPr>
          <w:rFonts w:hint="eastAsia" w:ascii="仿宋_GB2312" w:hAnsi="宋体" w:eastAsia="仿宋_GB2312"/>
          <w:sz w:val="32"/>
          <w:szCs w:val="32"/>
        </w:rPr>
        <w:t>年因公出国（境）费比上年减少（增加）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%，决算数小于（大于）年初预算数的主要原因是</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_GB2312" w:hAnsi="宋体" w:eastAsia="仿宋_GB2312"/>
          <w:sz w:val="32"/>
          <w:szCs w:val="32"/>
          <w:lang w:eastAsia="zh-CN"/>
        </w:rPr>
        <w:t>2021</w:t>
      </w:r>
      <w:r>
        <w:rPr>
          <w:rFonts w:hint="eastAsia" w:ascii="仿宋_GB2312" w:hAnsi="宋体" w:eastAsia="仿宋_GB2312"/>
          <w:sz w:val="32"/>
          <w:szCs w:val="32"/>
        </w:rPr>
        <w:t>年国内公务接待累计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其中外事接待</w:t>
      </w:r>
      <w:r>
        <w:rPr>
          <w:rFonts w:hint="eastAsia" w:ascii="仿宋_GB2312" w:hAnsi="宋体" w:eastAsia="仿宋_GB2312"/>
          <w:sz w:val="32"/>
          <w:szCs w:val="32"/>
        </w:rPr>
        <w:t>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r>
        <w:rPr>
          <w:rFonts w:hint="eastAsia" w:ascii="仿宋_GB2312" w:hAnsi="宋体" w:eastAsia="仿宋_GB2312"/>
          <w:sz w:val="32"/>
          <w:szCs w:val="32"/>
          <w:lang w:eastAsia="zh-CN"/>
        </w:rPr>
        <w:t>2021</w:t>
      </w:r>
      <w:r>
        <w:rPr>
          <w:rFonts w:hint="eastAsia" w:ascii="仿宋_GB2312" w:hAnsi="宋体" w:eastAsia="仿宋_GB2312"/>
          <w:sz w:val="32"/>
          <w:szCs w:val="32"/>
        </w:rPr>
        <w:t>年公务接待费比上年减少（增加）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36</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的100%。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%，决算数小于（大于）年初预算数的主要原因是</w:t>
      </w:r>
      <w:r>
        <w:rPr>
          <w:rFonts w:hint="eastAsia" w:ascii="仿宋_GB2312" w:hAnsi="宋体" w:eastAsia="仿宋_GB2312"/>
          <w:sz w:val="32"/>
          <w:szCs w:val="32"/>
          <w:lang w:val="en-US" w:eastAsia="zh-CN"/>
        </w:rPr>
        <w:t>0</w:t>
      </w:r>
      <w:r>
        <w:rPr>
          <w:rFonts w:hint="eastAsia" w:ascii="仿宋_GB2312" w:hAnsi="宋体" w:eastAsia="仿宋_GB2312"/>
          <w:sz w:val="32"/>
          <w:szCs w:val="32"/>
        </w:rPr>
        <w:t>。比上年减少（增加）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val="en-US" w:eastAsia="zh-CN"/>
        </w:rPr>
        <w:t>其中：</w:t>
      </w:r>
      <w:r>
        <w:rPr>
          <w:rFonts w:hint="eastAsia" w:ascii="仿宋_GB2312" w:hAnsi="宋体" w:eastAsia="仿宋_GB2312"/>
          <w:sz w:val="32"/>
          <w:szCs w:val="32"/>
        </w:rPr>
        <w:t>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36</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燃油维修养护</w:t>
      </w:r>
      <w:r>
        <w:rPr>
          <w:rFonts w:hint="eastAsia" w:ascii="仿宋_GB2312" w:hAnsi="宋体" w:eastAsia="仿宋_GB2312"/>
          <w:sz w:val="32"/>
          <w:szCs w:val="32"/>
        </w:rPr>
        <w:t>等</w:t>
      </w:r>
      <w:r>
        <w:rPr>
          <w:rFonts w:hint="eastAsia" w:ascii="仿宋_GB2312" w:hAnsi="宋体" w:eastAsia="仿宋_GB2312"/>
          <w:sz w:val="32"/>
          <w:szCs w:val="32"/>
          <w:lang w:eastAsia="zh-CN"/>
        </w:rPr>
        <w:t>，</w:t>
      </w:r>
      <w:r>
        <w:rPr>
          <w:rFonts w:hint="eastAsia" w:ascii="仿宋_GB2312" w:hAnsi="宋体" w:eastAsia="仿宋_GB2312"/>
          <w:sz w:val="32"/>
          <w:szCs w:val="32"/>
        </w:rPr>
        <w:t>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lang w:val="en-US" w:eastAsia="zh-CN"/>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8</w:t>
      </w:r>
      <w:r>
        <w:rPr>
          <w:rFonts w:hint="eastAsia" w:ascii="仿宋_GB2312" w:hAnsi="宋体" w:eastAsia="仿宋_GB2312"/>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年度一般公共预算财政拨款基本支出</w:t>
      </w:r>
      <w:r>
        <w:rPr>
          <w:rFonts w:hint="eastAsia" w:ascii="仿宋_GB2312" w:hAnsi="宋体" w:eastAsia="仿宋_GB2312"/>
          <w:sz w:val="32"/>
          <w:szCs w:val="32"/>
          <w:lang w:val="en-US" w:eastAsia="zh-CN"/>
        </w:rPr>
        <w:t>1578.58</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1392.61</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185.96</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2021</w:t>
      </w:r>
      <w:r>
        <w:rPr>
          <w:rFonts w:hint="eastAsia" w:ascii="仿宋_GB2312" w:hAnsi="黑体" w:eastAsia="仿宋_GB2312"/>
          <w:sz w:val="32"/>
          <w:szCs w:val="32"/>
        </w:rPr>
        <w:t>年机关运行经费支出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万元，比上年增加（减少）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万元，增长（降低）</w:t>
      </w:r>
      <w:r>
        <w:rPr>
          <w:rFonts w:hint="eastAsia" w:ascii="仿宋_GB2312" w:hAnsi="黑体" w:eastAsia="仿宋_GB2312"/>
          <w:sz w:val="32"/>
          <w:szCs w:val="32"/>
          <w:lang w:val="en-US" w:eastAsia="zh-CN"/>
        </w:rPr>
        <w:t>0</w:t>
      </w:r>
      <w:r>
        <w:rPr>
          <w:rFonts w:hint="eastAsia" w:ascii="仿宋_GB2312" w:hAnsi="黑体" w:eastAsia="仿宋_GB2312"/>
          <w:sz w:val="32"/>
          <w:szCs w:val="32"/>
        </w:rPr>
        <w:t>%，主要原因是。</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2021</w:t>
      </w:r>
      <w:r>
        <w:rPr>
          <w:rFonts w:hint="eastAsia" w:ascii="仿宋_GB2312" w:hAnsi="黑体" w:eastAsia="仿宋_GB2312"/>
          <w:sz w:val="32"/>
          <w:szCs w:val="32"/>
        </w:rPr>
        <w:t>年政府采购支出总额</w:t>
      </w:r>
      <w:r>
        <w:rPr>
          <w:rFonts w:hint="eastAsia" w:ascii="仿宋_GB2312" w:hAnsi="黑体" w:eastAsia="仿宋_GB2312"/>
          <w:sz w:val="32"/>
          <w:szCs w:val="32"/>
          <w:lang w:val="en-US" w:eastAsia="zh-CN"/>
        </w:rPr>
        <w:t>26.88</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26.88</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eastAsia="zh-CN"/>
        </w:rPr>
        <w:t>0</w:t>
      </w:r>
      <w:r>
        <w:rPr>
          <w:rFonts w:hint="eastAsia" w:ascii="仿宋_GB2312" w:eastAsia="仿宋_GB2312"/>
          <w:sz w:val="32"/>
          <w:szCs w:val="32"/>
        </w:rPr>
        <w:t>万元，占政府采购支出总额的</w:t>
      </w:r>
      <w:r>
        <w:rPr>
          <w:rFonts w:hint="eastAsia" w:ascii="仿宋_GB2312" w:eastAsia="仿宋_GB2312"/>
          <w:sz w:val="32"/>
          <w:szCs w:val="32"/>
          <w:lang w:eastAsia="zh-CN"/>
        </w:rPr>
        <w:t>0</w:t>
      </w:r>
      <w:r>
        <w:rPr>
          <w:rFonts w:hint="eastAsia" w:ascii="仿宋_GB2312" w:eastAsia="仿宋_GB2312"/>
          <w:sz w:val="32"/>
          <w:szCs w:val="32"/>
        </w:rPr>
        <w:t>%</w:t>
      </w:r>
      <w:r>
        <w:rPr>
          <w:rFonts w:hint="eastAsia" w:ascii="仿宋_GB2312" w:eastAsia="仿宋_GB2312"/>
          <w:sz w:val="32"/>
          <w:szCs w:val="32"/>
          <w:lang w:eastAsia="zh-CN"/>
        </w:rPr>
        <w:t>；货物采购授予中小企业合同金额占货物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金额的0</w:t>
      </w:r>
      <w:r>
        <w:rPr>
          <w:rFonts w:hint="eastAsia" w:ascii="仿宋_GB2312" w:eastAsia="仿宋_GB2312"/>
          <w:sz w:val="32"/>
          <w:szCs w:val="32"/>
        </w:rPr>
        <w:t>%</w:t>
      </w:r>
      <w:r>
        <w:rPr>
          <w:rFonts w:hint="eastAsia" w:ascii="仿宋_GB2312" w:eastAsia="仿宋_GB2312"/>
          <w:sz w:val="32"/>
          <w:szCs w:val="32"/>
          <w:lang w:eastAsia="zh-CN"/>
        </w:rPr>
        <w:t>；工程采购授予中小企业合同金额占货物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金额的0</w:t>
      </w:r>
      <w:r>
        <w:rPr>
          <w:rFonts w:hint="eastAsia" w:ascii="仿宋_GB2312" w:eastAsia="仿宋_GB2312"/>
          <w:sz w:val="32"/>
          <w:szCs w:val="32"/>
        </w:rPr>
        <w:t>%</w:t>
      </w:r>
      <w:r>
        <w:rPr>
          <w:rFonts w:hint="eastAsia" w:ascii="仿宋_GB2312" w:eastAsia="仿宋_GB2312"/>
          <w:sz w:val="32"/>
          <w:szCs w:val="32"/>
          <w:lang w:eastAsia="zh-CN"/>
        </w:rPr>
        <w:t>；服务采购授予中小企业合同金额占货物</w:t>
      </w:r>
      <w:r>
        <w:rPr>
          <w:rFonts w:hint="eastAsia" w:ascii="仿宋_GB2312" w:eastAsia="仿宋_GB2312"/>
          <w:sz w:val="32"/>
          <w:szCs w:val="32"/>
        </w:rPr>
        <w:t>支出</w:t>
      </w:r>
      <w:r>
        <w:rPr>
          <w:rFonts w:hint="eastAsia" w:ascii="仿宋_GB2312" w:eastAsia="仿宋_GB2312"/>
          <w:sz w:val="32"/>
          <w:szCs w:val="32"/>
          <w:lang w:eastAsia="zh-CN"/>
        </w:rPr>
        <w:t>金额的0</w:t>
      </w:r>
      <w:r>
        <w:rPr>
          <w:rFonts w:hint="eastAsia" w:ascii="仿宋_GB2312" w:eastAsia="仿宋_GB2312"/>
          <w:sz w:val="32"/>
          <w:szCs w:val="32"/>
        </w:rPr>
        <w:t>%</w:t>
      </w:r>
      <w:r>
        <w:rPr>
          <w:rFonts w:hint="eastAsia" w:ascii="仿宋_GB2312" w:eastAsia="仿宋_GB2312"/>
          <w:sz w:val="32"/>
          <w:szCs w:val="32"/>
          <w:lang w:eastAsia="zh-CN"/>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截至</w:t>
      </w:r>
      <w:r>
        <w:rPr>
          <w:rFonts w:hint="eastAsia" w:ascii="仿宋_GB2312" w:hAnsi="黑体" w:eastAsia="仿宋_GB2312"/>
          <w:sz w:val="32"/>
          <w:szCs w:val="32"/>
          <w:lang w:eastAsia="zh-CN"/>
        </w:rPr>
        <w:t>2021</w:t>
      </w:r>
      <w:r>
        <w:rPr>
          <w:rFonts w:hint="eastAsia" w:ascii="仿宋_GB2312" w:hAnsi="黑体" w:eastAsia="仿宋_GB2312"/>
          <w:sz w:val="32"/>
          <w:szCs w:val="32"/>
        </w:rPr>
        <w:t>年12月31日，共有车辆</w:t>
      </w:r>
      <w:r>
        <w:rPr>
          <w:rFonts w:hint="eastAsia" w:ascii="仿宋_GB2312" w:hAnsi="黑体" w:eastAsia="仿宋_GB2312"/>
          <w:sz w:val="32"/>
          <w:szCs w:val="32"/>
          <w:lang w:val="en-US" w:eastAsia="zh-CN"/>
        </w:rPr>
        <w:t>8</w:t>
      </w:r>
      <w:r>
        <w:rPr>
          <w:rFonts w:hint="eastAsia" w:ascii="仿宋_GB2312" w:hAnsi="黑体" w:eastAsia="仿宋_GB2312"/>
          <w:sz w:val="32"/>
          <w:szCs w:val="32"/>
        </w:rPr>
        <w:t>辆，其中：副省级以上领导干部用车</w:t>
      </w:r>
      <w:r>
        <w:rPr>
          <w:rFonts w:hint="eastAsia" w:ascii="仿宋_GB2312" w:hAnsi="黑体" w:eastAsia="仿宋_GB2312"/>
          <w:sz w:val="32"/>
          <w:szCs w:val="32"/>
          <w:lang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eastAsia="zh-CN"/>
        </w:rPr>
        <w:t>0</w:t>
      </w:r>
      <w:r>
        <w:rPr>
          <w:rFonts w:hint="eastAsia" w:ascii="仿宋_GB2312" w:hAnsi="黑体" w:eastAsia="仿宋_GB2312"/>
          <w:sz w:val="32"/>
          <w:szCs w:val="32"/>
        </w:rPr>
        <w:t>辆，机要通讯用车</w:t>
      </w:r>
      <w:r>
        <w:rPr>
          <w:rFonts w:hint="eastAsia" w:ascii="仿宋_GB2312" w:hAnsi="黑体" w:eastAsia="仿宋_GB2312"/>
          <w:sz w:val="32"/>
          <w:szCs w:val="32"/>
          <w:lang w:eastAsia="zh-CN"/>
        </w:rPr>
        <w:t>0</w:t>
      </w:r>
      <w:r>
        <w:rPr>
          <w:rFonts w:hint="eastAsia" w:ascii="仿宋_GB2312" w:hAnsi="黑体" w:eastAsia="仿宋_GB2312"/>
          <w:sz w:val="32"/>
          <w:szCs w:val="32"/>
        </w:rPr>
        <w:t>辆，应急</w:t>
      </w:r>
      <w:r>
        <w:rPr>
          <w:rFonts w:ascii="仿宋_GB2312" w:hAnsi="黑体" w:eastAsia="仿宋_GB2312"/>
          <w:sz w:val="32"/>
          <w:szCs w:val="32"/>
        </w:rPr>
        <w:t>保障用车</w:t>
      </w:r>
      <w:r>
        <w:rPr>
          <w:rFonts w:hint="eastAsia" w:ascii="仿宋_GB2312" w:hAnsi="黑体" w:eastAsia="仿宋_GB2312"/>
          <w:sz w:val="32"/>
          <w:szCs w:val="32"/>
          <w:lang w:eastAsia="zh-CN"/>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8</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eastAsia="zh-CN"/>
        </w:rPr>
        <w:t>0</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lang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辆，其他用车主要是</w:t>
      </w:r>
      <w:r>
        <w:rPr>
          <w:rFonts w:ascii="仿宋_GB2312" w:hAnsi="黑体" w:eastAsia="仿宋_GB2312"/>
          <w:sz w:val="32"/>
          <w:szCs w:val="32"/>
        </w:rPr>
        <w:t>……</w:t>
      </w:r>
      <w:r>
        <w:rPr>
          <w:rFonts w:hint="eastAsia" w:ascii="仿宋_GB2312" w:hAnsi="黑体" w:eastAsia="仿宋_GB2312"/>
          <w:sz w:val="32"/>
          <w:szCs w:val="32"/>
        </w:rPr>
        <w:t>；单位价值50万元以上通用设备</w:t>
      </w:r>
      <w:r>
        <w:rPr>
          <w:rFonts w:hint="eastAsia" w:ascii="仿宋_GB2312" w:hAnsi="黑体" w:eastAsia="仿宋_GB2312"/>
          <w:sz w:val="32"/>
          <w:szCs w:val="32"/>
          <w:lang w:eastAsia="zh-CN"/>
        </w:rPr>
        <w:t>0</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eastAsia="zh-CN"/>
        </w:rPr>
        <w:t>0</w:t>
      </w:r>
      <w:r>
        <w:rPr>
          <w:rFonts w:hint="eastAsia" w:ascii="仿宋_GB2312" w:hAnsi="黑体" w:eastAsia="仿宋_GB2312"/>
          <w:sz w:val="32"/>
          <w:szCs w:val="32"/>
        </w:rPr>
        <w:t>台（套）。</w:t>
      </w:r>
    </w:p>
    <w:p>
      <w:pPr>
        <w:keepNext w:val="0"/>
        <w:keepLines w:val="0"/>
        <w:widowControl/>
        <w:suppressLineNumbers w:val="0"/>
        <w:spacing w:before="0" w:beforeAutospacing="0" w:after="0" w:afterAutospacing="0" w:line="540" w:lineRule="exact"/>
        <w:ind w:left="0" w:right="0" w:firstLine="643" w:firstLineChars="200"/>
        <w:jc w:val="left"/>
        <w:rPr>
          <w:color w:val="auto"/>
          <w:highlight w:val="none"/>
          <w:shd w:val="clear" w:color="auto" w:fill="auto"/>
        </w:rPr>
      </w:pPr>
      <w:r>
        <w:rPr>
          <w:rFonts w:ascii="楷体_GB2312" w:hAnsi="宋体" w:eastAsia="楷体_GB2312" w:cs="楷体_GB2312"/>
          <w:b/>
          <w:color w:val="auto"/>
          <w:kern w:val="2"/>
          <w:sz w:val="32"/>
          <w:szCs w:val="32"/>
          <w:highlight w:val="none"/>
          <w:shd w:val="clear" w:color="auto" w:fill="auto"/>
          <w:lang w:val="en-US" w:eastAsia="zh-CN" w:bidi="ar"/>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部门</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年度预算项目支出全面开展绩效自评，共涉及预算支出项目9个，涉及资金351.1万元，自评覆盖率（开展绩效自评的项目数</w:t>
      </w:r>
      <w:r>
        <w:rPr>
          <w:rFonts w:hint="eastAsia" w:ascii="仿宋_GB2312" w:hAnsi="宋体" w:eastAsia="仿宋_GB2312" w:cs="宋体"/>
          <w:color w:val="auto"/>
          <w:kern w:val="2"/>
          <w:sz w:val="32"/>
          <w:szCs w:val="32"/>
          <w:highlight w:val="none"/>
          <w:shd w:val="clear" w:color="auto" w:fill="auto"/>
          <w:lang w:val="en-US" w:eastAsia="zh-CN" w:bidi="ar"/>
        </w:rPr>
        <w:t>/年初批复绩效目标的项目数）达到100%，自评平均分（开展绩效自评的项目分数总和/开展绩效自评的项目数）100</w:t>
      </w:r>
      <w:r>
        <w:rPr>
          <w:rFonts w:hint="eastAsia" w:ascii="仿宋_GB2312" w:hAnsi="宋体" w:eastAsia="仿宋_GB2312" w:cs="仿宋_GB2312"/>
          <w:color w:val="auto"/>
          <w:kern w:val="2"/>
          <w:sz w:val="32"/>
          <w:szCs w:val="32"/>
          <w:highlight w:val="none"/>
          <w:shd w:val="clear" w:color="auto" w:fill="auto"/>
          <w:lang w:val="en-US" w:eastAsia="zh-CN" w:bidi="ar"/>
        </w:rPr>
        <w:t>分。</w:t>
      </w:r>
      <w:r>
        <w:rPr>
          <w:rFonts w:hint="eastAsia"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hAnsi="宋体" w:eastAsia="仿宋_GB2312" w:cs="仿宋_GB2312"/>
          <w:color w:val="auto"/>
          <w:kern w:val="2"/>
          <w:sz w:val="32"/>
          <w:szCs w:val="32"/>
          <w:highlight w:val="none"/>
          <w:shd w:val="clear" w:color="auto" w:fill="auto"/>
          <w:lang w:val="en-US" w:eastAsia="zh-CN" w:bidi="ar"/>
        </w:rPr>
        <w:t>个单位开展整体绩效自评，涉及资金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hAnsi="宋体" w:eastAsia="仿宋_GB2312" w:cs="仿宋_GB2312"/>
          <w:color w:val="auto"/>
          <w:kern w:val="2"/>
          <w:sz w:val="32"/>
          <w:szCs w:val="32"/>
          <w:highlight w:val="none"/>
          <w:shd w:val="clear" w:color="auto" w:fill="auto"/>
          <w:lang w:val="en-US" w:eastAsia="zh-CN" w:bidi="ar"/>
        </w:rPr>
        <w:t>万元，自评平均分</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hAnsi="宋体" w:eastAsia="仿宋_GB2312" w:cs="仿宋_GB2312"/>
          <w:color w:val="auto"/>
          <w:kern w:val="2"/>
          <w:sz w:val="32"/>
          <w:szCs w:val="32"/>
          <w:highlight w:val="none"/>
          <w:shd w:val="clear" w:color="auto" w:fill="auto"/>
          <w:lang w:val="en-US" w:eastAsia="zh-CN" w:bidi="ar"/>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（2）部门评价情况。</w:t>
      </w:r>
      <w:r>
        <w:rPr>
          <w:rFonts w:hint="eastAsia" w:hAnsi="宋体" w:eastAsia="仿宋_GB2312" w:cs="仿宋_GB2312"/>
          <w:color w:val="auto"/>
          <w:kern w:val="2"/>
          <w:sz w:val="32"/>
          <w:szCs w:val="32"/>
          <w:highlight w:val="none"/>
          <w:shd w:val="clear" w:color="auto" w:fill="auto"/>
          <w:lang w:val="en-US" w:eastAsia="zh-CN" w:bidi="ar"/>
        </w:rPr>
        <w:t>我部门</w:t>
      </w:r>
      <w:r>
        <w:rPr>
          <w:rFonts w:hint="eastAsia" w:ascii="仿宋" w:hAnsi="仿宋" w:eastAsia="仿宋"/>
          <w:sz w:val="32"/>
          <w:highlight w:val="none"/>
        </w:rPr>
        <w:t>组织对</w:t>
      </w:r>
      <w:r>
        <w:rPr>
          <w:rFonts w:hint="eastAsia" w:ascii="仿宋" w:hAnsi="仿宋" w:eastAsia="仿宋"/>
          <w:sz w:val="32"/>
          <w:highlight w:val="none"/>
          <w:lang w:eastAsia="zh-CN"/>
        </w:rPr>
        <w:t>“</w:t>
      </w:r>
      <w:r>
        <w:rPr>
          <w:rFonts w:hint="eastAsia" w:ascii="仿宋" w:hAnsi="仿宋" w:eastAsia="仿宋"/>
          <w:sz w:val="32"/>
          <w:highlight w:val="none"/>
          <w:lang w:val="en-US" w:eastAsia="zh-CN"/>
        </w:rPr>
        <w:t>堤坝维护费</w:t>
      </w:r>
      <w:r>
        <w:rPr>
          <w:rFonts w:hint="eastAsia" w:ascii="仿宋" w:hAnsi="仿宋" w:eastAsia="仿宋"/>
          <w:sz w:val="32"/>
          <w:highlight w:val="none"/>
          <w:lang w:eastAsia="zh-CN"/>
        </w:rPr>
        <w:t>”</w:t>
      </w:r>
      <w:r>
        <w:rPr>
          <w:rFonts w:hint="eastAsia" w:ascii="仿宋" w:hAnsi="仿宋" w:eastAsia="仿宋"/>
          <w:sz w:val="32"/>
          <w:highlight w:val="none"/>
        </w:rPr>
        <w:t>等</w:t>
      </w:r>
      <w:r>
        <w:rPr>
          <w:rFonts w:hint="eastAsia" w:ascii="仿宋" w:hAnsi="仿宋" w:eastAsia="仿宋"/>
          <w:sz w:val="32"/>
          <w:highlight w:val="none"/>
          <w:lang w:val="en-US" w:eastAsia="zh-CN"/>
        </w:rPr>
        <w:t>9</w:t>
      </w:r>
      <w:r>
        <w:rPr>
          <w:rFonts w:hint="eastAsia" w:ascii="仿宋" w:hAnsi="仿宋" w:eastAsia="仿宋"/>
          <w:sz w:val="32"/>
          <w:highlight w:val="none"/>
        </w:rPr>
        <w:t>个项目开展了部门评价</w:t>
      </w:r>
      <w:r>
        <w:rPr>
          <w:rFonts w:hint="eastAsia" w:ascii="仿宋" w:hAnsi="仿宋" w:eastAsia="仿宋"/>
          <w:sz w:val="32"/>
          <w:highlight w:val="none"/>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涉及资金351.1万元。</w:t>
      </w:r>
      <w:r>
        <w:rPr>
          <w:rFonts w:hint="eastAsia" w:ascii="仿宋" w:hAnsi="仿宋" w:eastAsia="仿宋"/>
          <w:sz w:val="32"/>
          <w:highlight w:val="none"/>
          <w:lang w:eastAsia="zh-CN"/>
        </w:rPr>
        <w:t>其中，对</w:t>
      </w:r>
      <w:r>
        <w:rPr>
          <w:rFonts w:hint="eastAsia" w:hAnsi="宋体" w:eastAsia="仿宋_GB2312" w:cs="仿宋_GB2312"/>
          <w:color w:val="auto"/>
          <w:kern w:val="2"/>
          <w:sz w:val="32"/>
          <w:szCs w:val="32"/>
          <w:highlight w:val="none"/>
          <w:shd w:val="clear" w:color="auto" w:fill="auto"/>
          <w:lang w:val="en-US" w:eastAsia="zh-CN" w:bidi="ar"/>
        </w:rPr>
        <w:t>“</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hAnsi="宋体" w:eastAsia="仿宋_GB2312" w:cs="仿宋_GB2312"/>
          <w:color w:val="auto"/>
          <w:kern w:val="2"/>
          <w:sz w:val="32"/>
          <w:szCs w:val="32"/>
          <w:highlight w:val="none"/>
          <w:shd w:val="clear" w:color="auto" w:fill="auto"/>
          <w:lang w:val="en-US" w:eastAsia="zh-CN" w:bidi="ar"/>
        </w:rPr>
        <w:t>”“</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hAnsi="宋体" w:eastAsia="仿宋_GB2312" w:cs="仿宋_GB2312"/>
          <w:color w:val="auto"/>
          <w:kern w:val="2"/>
          <w:sz w:val="32"/>
          <w:szCs w:val="32"/>
          <w:highlight w:val="none"/>
          <w:shd w:val="clear" w:color="auto" w:fill="auto"/>
          <w:lang w:val="en-US" w:eastAsia="zh-CN" w:bidi="ar"/>
        </w:rPr>
        <w:t>”等项目分别委托</w:t>
      </w:r>
      <w:r>
        <w:rPr>
          <w:rFonts w:hint="eastAsia" w:ascii="仿宋" w:hAnsi="仿宋" w:eastAsia="仿宋"/>
          <w:sz w:val="32"/>
          <w:highlight w:val="none"/>
        </w:rPr>
        <w:t>“</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ascii="仿宋" w:hAnsi="仿宋" w:eastAsia="仿宋"/>
          <w:sz w:val="32"/>
          <w:highlight w:val="none"/>
        </w:rPr>
        <w:t>”“</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ascii="仿宋" w:hAnsi="仿宋" w:eastAsia="仿宋"/>
          <w:sz w:val="32"/>
          <w:highlight w:val="none"/>
        </w:rPr>
        <w:t>”等第三方机构开展绩效评价</w:t>
      </w:r>
      <w:r>
        <w:rPr>
          <w:rFonts w:hint="eastAsia" w:hAnsi="宋体" w:eastAsia="仿宋_GB2312" w:cs="仿宋_GB2312"/>
          <w:color w:val="auto"/>
          <w:kern w:val="2"/>
          <w:sz w:val="32"/>
          <w:szCs w:val="32"/>
          <w:highlight w:val="none"/>
          <w:shd w:val="clear" w:color="auto" w:fill="auto"/>
          <w:lang w:val="en-US" w:eastAsia="zh-CN" w:bidi="ar"/>
        </w:rPr>
        <w:t>。通过部门绩效评价发现主要存在以下问题：</w:t>
      </w:r>
      <w:r>
        <w:rPr>
          <w:rFonts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0。下一步将采取以下措施加以改进：</w:t>
      </w:r>
      <w:r>
        <w:rPr>
          <w:rFonts w:hint="eastAsia"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（1）“</w:t>
      </w:r>
      <w:r>
        <w:rPr>
          <w:rFonts w:hint="eastAsia" w:ascii="仿宋_GB2312" w:hAnsi="宋体" w:eastAsia="仿宋_GB2312" w:cs="仿宋_GB2312"/>
          <w:b/>
          <w:bCs/>
          <w:color w:val="auto"/>
          <w:kern w:val="2"/>
          <w:sz w:val="32"/>
          <w:szCs w:val="32"/>
          <w:highlight w:val="none"/>
          <w:shd w:val="clear" w:color="auto" w:fill="auto"/>
          <w:lang w:val="en-US" w:eastAsia="zh-CN" w:bidi="ar"/>
        </w:rPr>
        <w:t>堤坝维护费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”项目自评综述：根据年初设定的绩效目标，项目自评得分100分。项目全年预算数为7万元，执行数为6.26万元，完成预算的89%。项目绩效目标完成情况：已完成该项目。“</w:t>
      </w:r>
      <w:r>
        <w:rPr>
          <w:rFonts w:hint="eastAsia" w:ascii="仿宋_GB2312" w:hAnsi="宋体" w:eastAsia="仿宋_GB2312" w:cs="仿宋_GB2312"/>
          <w:b/>
          <w:bCs/>
          <w:color w:val="auto"/>
          <w:kern w:val="2"/>
          <w:sz w:val="32"/>
          <w:szCs w:val="32"/>
          <w:highlight w:val="none"/>
          <w:shd w:val="clear" w:color="auto" w:fill="auto"/>
          <w:lang w:val="en-US" w:eastAsia="zh-CN" w:bidi="ar"/>
        </w:rPr>
        <w:t>防疫费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”项目自评综述：根据年初设定的绩效目标，项目自评得分100分。项目全年预算数为8万元，执行数为6.74万元，完成预算的84.25%。项目绩效目标完成情况：已完成该项目。“</w:t>
      </w:r>
      <w:r>
        <w:rPr>
          <w:rFonts w:hint="eastAsia" w:ascii="仿宋_GB2312" w:hAnsi="宋体" w:eastAsia="仿宋_GB2312" w:cs="仿宋_GB2312"/>
          <w:b/>
          <w:bCs/>
          <w:color w:val="auto"/>
          <w:kern w:val="2"/>
          <w:sz w:val="32"/>
          <w:szCs w:val="32"/>
          <w:highlight w:val="none"/>
          <w:shd w:val="clear" w:color="auto" w:fill="auto"/>
          <w:lang w:val="en-US" w:eastAsia="zh-CN" w:bidi="ar"/>
        </w:rPr>
        <w:t>防治费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”项目自评综述：根据年初设定的绩效目标，项目自评得分100分。项目全年预算数为30万元，执行数为26.88万元，完成预算的89.6%。项目绩效目标完成情况：已完成该项目。“</w:t>
      </w:r>
      <w:r>
        <w:rPr>
          <w:rFonts w:hint="eastAsia" w:ascii="仿宋_GB2312" w:hAnsi="宋体" w:eastAsia="仿宋_GB2312" w:cs="仿宋_GB2312"/>
          <w:b/>
          <w:bCs/>
          <w:color w:val="auto"/>
          <w:kern w:val="2"/>
          <w:sz w:val="32"/>
          <w:szCs w:val="32"/>
          <w:highlight w:val="none"/>
          <w:shd w:val="clear" w:color="auto" w:fill="auto"/>
          <w:lang w:val="en-US" w:eastAsia="zh-CN" w:bidi="ar"/>
        </w:rPr>
        <w:t>垃圾清理费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”项目自评综述：根据年初设定的绩效目标，项目自评得分100分。项目全年预算数为3万元，执行数为2.91万元，完成预算的97%。项目绩效目标完成情况：已完成该项目。“</w:t>
      </w:r>
      <w:r>
        <w:rPr>
          <w:rFonts w:hint="eastAsia" w:ascii="仿宋_GB2312" w:hAnsi="宋体" w:eastAsia="仿宋_GB2312" w:cs="仿宋_GB2312"/>
          <w:b/>
          <w:bCs/>
          <w:color w:val="auto"/>
          <w:kern w:val="2"/>
          <w:sz w:val="32"/>
          <w:szCs w:val="32"/>
          <w:highlight w:val="none"/>
          <w:shd w:val="clear" w:color="auto" w:fill="auto"/>
          <w:lang w:val="en-US" w:eastAsia="zh-CN" w:bidi="ar"/>
        </w:rPr>
        <w:t>农村饮水安全建设</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”项目自评综述：根据年初设定的绩效目标，项目自评得分100分。项目全年预算数为442.82万元，执行数为5.52万元，完成预算的1.25%。项目绩效目标完成情况：该项目正在进行中。“</w:t>
      </w:r>
      <w:r>
        <w:rPr>
          <w:rFonts w:hint="eastAsia" w:ascii="仿宋_GB2312" w:hAnsi="宋体" w:eastAsia="仿宋_GB2312" w:cs="仿宋_GB2312"/>
          <w:b/>
          <w:bCs/>
          <w:color w:val="auto"/>
          <w:kern w:val="2"/>
          <w:sz w:val="32"/>
          <w:szCs w:val="32"/>
          <w:highlight w:val="none"/>
          <w:shd w:val="clear" w:color="auto" w:fill="auto"/>
          <w:lang w:val="en-US" w:eastAsia="zh-CN" w:bidi="ar"/>
        </w:rPr>
        <w:t>排灌站运行费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”项目自评综述：根据年初设定的绩效目标，项目自评得分100分。项目全年预算数为65万元，执行数为65万元，完成预算的100%。项目绩效目标完成情况：已完成该项目。“</w:t>
      </w:r>
      <w:r>
        <w:rPr>
          <w:rFonts w:hint="eastAsia" w:ascii="仿宋_GB2312" w:hAnsi="宋体" w:eastAsia="仿宋_GB2312" w:cs="仿宋_GB2312"/>
          <w:b/>
          <w:bCs/>
          <w:color w:val="auto"/>
          <w:kern w:val="2"/>
          <w:sz w:val="32"/>
          <w:szCs w:val="32"/>
          <w:highlight w:val="none"/>
          <w:shd w:val="clear" w:color="auto" w:fill="auto"/>
          <w:lang w:val="en-US" w:eastAsia="zh-CN" w:bidi="ar"/>
        </w:rPr>
        <w:t>生态补水费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”项目自评综述：根据年初设定的绩效目标，项目自评得分100分。项目全年预算数为90万元，执行数为35.96万元，完成预算的39.95%。项目绩效目标完成情况：该项目进行中。“</w:t>
      </w:r>
      <w:r>
        <w:rPr>
          <w:rFonts w:hint="eastAsia" w:ascii="仿宋_GB2312" w:hAnsi="宋体" w:eastAsia="仿宋_GB2312" w:cs="仿宋_GB2312"/>
          <w:b/>
          <w:bCs/>
          <w:color w:val="auto"/>
          <w:kern w:val="2"/>
          <w:sz w:val="32"/>
          <w:szCs w:val="32"/>
          <w:highlight w:val="none"/>
          <w:shd w:val="clear" w:color="auto" w:fill="auto"/>
          <w:lang w:val="en-US" w:eastAsia="zh-CN" w:bidi="ar"/>
        </w:rPr>
        <w:t>乡村水系治理</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”项目自评综述：根据年初设定的绩效目标，项目自评得分100分。项目全年预算数为400万元，执行数为200万元，完成预算的50%。项目绩效目标完成情况：该项目进行中。“</w:t>
      </w:r>
      <w:r>
        <w:rPr>
          <w:rFonts w:hint="eastAsia" w:ascii="仿宋_GB2312" w:hAnsi="宋体" w:eastAsia="仿宋_GB2312" w:cs="仿宋_GB2312"/>
          <w:b/>
          <w:bCs/>
          <w:color w:val="auto"/>
          <w:kern w:val="2"/>
          <w:sz w:val="32"/>
          <w:szCs w:val="32"/>
          <w:highlight w:val="none"/>
          <w:shd w:val="clear" w:color="auto" w:fill="auto"/>
          <w:lang w:val="en-US" w:eastAsia="zh-CN" w:bidi="ar"/>
        </w:rPr>
        <w:t>河堤维修费</w:t>
      </w:r>
      <w:r>
        <w:rPr>
          <w:rFonts w:hint="eastAsia" w:ascii="仿宋_GB2312" w:hAnsi="宋体" w:eastAsia="仿宋_GB2312" w:cs="仿宋_GB2312"/>
          <w:color w:val="auto"/>
          <w:kern w:val="2"/>
          <w:sz w:val="32"/>
          <w:szCs w:val="32"/>
          <w:highlight w:val="none"/>
          <w:shd w:val="clear" w:color="auto" w:fill="auto"/>
          <w:lang w:val="en-US" w:eastAsia="zh-CN" w:bidi="ar"/>
        </w:rPr>
        <w:t>”项目自评综述：根据年初设定的绩效目标，项目自评得分100分。项目全年预算数为5万元，执行数为1.83万元，完成预算的36.6%。项目绩效目标完成情况：该项目进行中。</w:t>
      </w:r>
    </w:p>
    <w:p>
      <w:pPr>
        <w:spacing w:line="560" w:lineRule="exact"/>
        <w:jc w:val="center"/>
        <w:rPr>
          <w:rFonts w:hint="eastAsia" w:ascii="宋体" w:hAnsi="宋体" w:eastAsia="宋体" w:cs="宋体"/>
          <w:b/>
          <w:bCs/>
          <w:color w:val="000000"/>
          <w:sz w:val="44"/>
          <w:szCs w:val="4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tbl>
      <w:tblPr>
        <w:tblW w:w="9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09"/>
        <w:gridCol w:w="210"/>
        <w:gridCol w:w="387"/>
        <w:gridCol w:w="756"/>
        <w:gridCol w:w="1477"/>
        <w:gridCol w:w="372"/>
        <w:gridCol w:w="329"/>
        <w:gridCol w:w="448"/>
        <w:gridCol w:w="448"/>
        <w:gridCol w:w="432"/>
        <w:gridCol w:w="280"/>
        <w:gridCol w:w="516"/>
        <w:gridCol w:w="480"/>
        <w:gridCol w:w="508"/>
        <w:gridCol w:w="524"/>
        <w:gridCol w:w="673"/>
        <w:gridCol w:w="372"/>
        <w:gridCol w:w="361"/>
        <w:gridCol w:w="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9540" w:type="dxa"/>
            <w:gridSpan w:val="19"/>
            <w:tcBorders>
              <w:bottom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7"/>
                <w:lang w:val="en-US" w:eastAsia="zh-CN" w:bidi="ar"/>
              </w:rPr>
              <w:t>部门（单位）整体绩效自评表</w:t>
            </w:r>
            <w:r>
              <w:rPr>
                <w:rStyle w:val="8"/>
                <w:lang w:val="en-US" w:eastAsia="zh-CN" w:bidi="ar"/>
              </w:rPr>
              <w:br w:type="textWrapping"/>
            </w:r>
            <w:r>
              <w:rPr>
                <w:rStyle w:val="8"/>
                <w:lang w:val="en-US" w:eastAsia="zh-CN" w:bidi="ar"/>
              </w:rPr>
              <w:t xml:space="preserve">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62" w:type="dxa"/>
            <w:gridSpan w:val="4"/>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部门（单位）名称</w:t>
            </w:r>
          </w:p>
        </w:tc>
        <w:tc>
          <w:tcPr>
            <w:tcW w:w="7778" w:type="dxa"/>
            <w:gridSpan w:val="15"/>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盘锦市兴隆台区农业和水利服务中心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762" w:type="dxa"/>
            <w:gridSpan w:val="4"/>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部门年初预算收入金额</w:t>
            </w:r>
          </w:p>
        </w:tc>
        <w:tc>
          <w:tcPr>
            <w:tcW w:w="7778" w:type="dxa"/>
            <w:gridSpan w:val="15"/>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2922.55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762" w:type="dxa"/>
            <w:gridSpan w:val="4"/>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部门年初预算支出金额</w:t>
            </w:r>
          </w:p>
        </w:tc>
        <w:tc>
          <w:tcPr>
            <w:tcW w:w="7778" w:type="dxa"/>
            <w:gridSpan w:val="15"/>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1960.99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409"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年度主要任务</w:t>
            </w:r>
          </w:p>
        </w:tc>
        <w:tc>
          <w:tcPr>
            <w:tcW w:w="3202" w:type="dxa"/>
            <w:gridSpan w:val="5"/>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工作名称</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对应项目</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项目下达金额</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项目执行金额</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项目执行率</w:t>
            </w:r>
          </w:p>
        </w:tc>
        <w:tc>
          <w:tcPr>
            <w:tcW w:w="372"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361"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558"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0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02" w:type="dxa"/>
            <w:gridSpan w:val="5"/>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重点工作一</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堤坝维护费</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6.26</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89%</w:t>
            </w:r>
          </w:p>
        </w:tc>
        <w:tc>
          <w:tcPr>
            <w:tcW w:w="372"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58" w:type="dxa"/>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0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02" w:type="dxa"/>
            <w:gridSpan w:val="5"/>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重点工作二</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防疫费</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6.74</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84.25%</w:t>
            </w:r>
          </w:p>
        </w:tc>
        <w:tc>
          <w:tcPr>
            <w:tcW w:w="372"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58" w:type="dxa"/>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0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02" w:type="dxa"/>
            <w:gridSpan w:val="5"/>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重点工作三</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防治费</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26.88</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89.60%</w:t>
            </w:r>
          </w:p>
        </w:tc>
        <w:tc>
          <w:tcPr>
            <w:tcW w:w="372"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58" w:type="dxa"/>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5" w:hRule="atLeast"/>
        </w:trPr>
        <w:tc>
          <w:tcPr>
            <w:tcW w:w="40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02" w:type="dxa"/>
            <w:gridSpan w:val="5"/>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重点工作四</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垃圾清理费</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2.91</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97%</w:t>
            </w:r>
          </w:p>
        </w:tc>
        <w:tc>
          <w:tcPr>
            <w:tcW w:w="372"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58" w:type="dxa"/>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0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02" w:type="dxa"/>
            <w:gridSpan w:val="5"/>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重点工作五</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农村饮水安全建设</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442.82</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5.52</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1.25%</w:t>
            </w:r>
          </w:p>
        </w:tc>
        <w:tc>
          <w:tcPr>
            <w:tcW w:w="372"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58" w:type="dxa"/>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0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02" w:type="dxa"/>
            <w:gridSpan w:val="5"/>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重点工作六</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排灌站运行费</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372"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58" w:type="dxa"/>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0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02" w:type="dxa"/>
            <w:gridSpan w:val="5"/>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重点工作七</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生态补水费</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90</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35.96</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39.95</w:t>
            </w:r>
          </w:p>
        </w:tc>
        <w:tc>
          <w:tcPr>
            <w:tcW w:w="372"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58" w:type="dxa"/>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0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02" w:type="dxa"/>
            <w:gridSpan w:val="5"/>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重点工作八</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乡村水系治理</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400</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c>
          <w:tcPr>
            <w:tcW w:w="372"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58" w:type="dxa"/>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0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02" w:type="dxa"/>
            <w:gridSpan w:val="5"/>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重点工作九</w:t>
            </w:r>
          </w:p>
        </w:tc>
        <w:tc>
          <w:tcPr>
            <w:tcW w:w="1657" w:type="dxa"/>
            <w:gridSpan w:val="4"/>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河堤维修费</w:t>
            </w:r>
          </w:p>
        </w:tc>
        <w:tc>
          <w:tcPr>
            <w:tcW w:w="796"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988"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1.83</w:t>
            </w:r>
          </w:p>
        </w:tc>
        <w:tc>
          <w:tcPr>
            <w:tcW w:w="1197" w:type="dxa"/>
            <w:gridSpan w:val="2"/>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36.60%</w:t>
            </w:r>
          </w:p>
        </w:tc>
        <w:tc>
          <w:tcPr>
            <w:tcW w:w="372"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58" w:type="dxa"/>
            <w:tcBorders>
              <w:top w:val="single" w:color="232323" w:sz="4" w:space="0"/>
              <w:left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09" w:type="dxa"/>
            <w:vMerge w:val="restart"/>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年度目标</w:t>
            </w:r>
          </w:p>
        </w:tc>
        <w:tc>
          <w:tcPr>
            <w:tcW w:w="5139" w:type="dxa"/>
            <w:gridSpan w:val="10"/>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年初总体目标</w:t>
            </w:r>
          </w:p>
        </w:tc>
        <w:tc>
          <w:tcPr>
            <w:tcW w:w="3992" w:type="dxa"/>
            <w:gridSpan w:val="8"/>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409" w:type="dxa"/>
            <w:vMerge w:val="continue"/>
            <w:tcBorders>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5139" w:type="dxa"/>
            <w:gridSpan w:val="10"/>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为全区河长制、水资源、水利工程、移民扶持、水土保持、农村饮水、水利工程建设质量与安全监督等提供技术支持和服务保障。</w:t>
            </w:r>
          </w:p>
        </w:tc>
        <w:tc>
          <w:tcPr>
            <w:tcW w:w="3992" w:type="dxa"/>
            <w:gridSpan w:val="8"/>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09" w:type="dxa"/>
            <w:vMerge w:val="restart"/>
            <w:tcBorders>
              <w:top w:val="single" w:color="232323"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210" w:type="dxa"/>
            <w:vMerge w:val="restart"/>
            <w:tcBorders>
              <w:top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387"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756"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477" w:type="dxa"/>
            <w:vMerge w:val="restart"/>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运算符号</w:t>
            </w:r>
          </w:p>
        </w:tc>
        <w:tc>
          <w:tcPr>
            <w:tcW w:w="372"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329"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度量单位</w:t>
            </w:r>
          </w:p>
        </w:tc>
        <w:tc>
          <w:tcPr>
            <w:tcW w:w="448"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全年完成值</w:t>
            </w:r>
          </w:p>
        </w:tc>
        <w:tc>
          <w:tcPr>
            <w:tcW w:w="448"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完成程度</w:t>
            </w:r>
          </w:p>
        </w:tc>
        <w:tc>
          <w:tcPr>
            <w:tcW w:w="432"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280"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2701" w:type="dxa"/>
            <w:gridSpan w:val="5"/>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w:t>
            </w:r>
          </w:p>
        </w:tc>
        <w:tc>
          <w:tcPr>
            <w:tcW w:w="1291" w:type="dxa"/>
            <w:gridSpan w:val="3"/>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vMerge w:val="continue"/>
            <w:tcBorders>
              <w:top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87"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756"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1477" w:type="dxa"/>
            <w:vMerge w:val="continue"/>
            <w:tcBorders>
              <w:top w:val="single" w:color="232323" w:sz="4" w:space="0"/>
              <w:left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72"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29"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448"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448"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432"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280"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516"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经费保障原因分析</w:t>
            </w:r>
          </w:p>
        </w:tc>
        <w:tc>
          <w:tcPr>
            <w:tcW w:w="48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制度保障原因分析</w:t>
            </w:r>
          </w:p>
        </w:tc>
        <w:tc>
          <w:tcPr>
            <w:tcW w:w="508"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人员保障原因分析</w:t>
            </w:r>
          </w:p>
        </w:tc>
        <w:tc>
          <w:tcPr>
            <w:tcW w:w="524"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硬件条件保障原因分析</w:t>
            </w:r>
          </w:p>
        </w:tc>
        <w:tc>
          <w:tcPr>
            <w:tcW w:w="673"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其他原因分析</w:t>
            </w:r>
          </w:p>
        </w:tc>
        <w:tc>
          <w:tcPr>
            <w:tcW w:w="1291" w:type="dxa"/>
            <w:gridSpan w:val="3"/>
            <w:vMerge w:val="continue"/>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vMerge w:val="restart"/>
            <w:tcBorders>
              <w:top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履职效能</w:t>
            </w:r>
          </w:p>
        </w:tc>
        <w:tc>
          <w:tcPr>
            <w:tcW w:w="387"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重点工作履行情况</w:t>
            </w:r>
          </w:p>
        </w:tc>
        <w:tc>
          <w:tcPr>
            <w:tcW w:w="756" w:type="dxa"/>
            <w:tcBorders>
              <w:top w:val="single" w:color="232323" w:sz="4" w:space="0"/>
              <w:lef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重点工作预期办结率</w:t>
            </w:r>
          </w:p>
        </w:tc>
        <w:tc>
          <w:tcPr>
            <w:tcW w:w="14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ascii="仿宋_GB2312" w:hAnsi="Times New Roman" w:eastAsia="仿宋_GB2312" w:cs="仿宋_GB2312"/>
                <w:i w:val="0"/>
                <w:color w:val="000000"/>
                <w:sz w:val="18"/>
                <w:szCs w:val="18"/>
                <w:u w:val="none"/>
              </w:rPr>
            </w:pPr>
            <w:r>
              <w:rPr>
                <w:rFonts w:hint="default" w:ascii="仿宋_GB2312" w:hAnsi="Times New Roman" w:eastAsia="仿宋_GB2312" w:cs="仿宋_GB2312"/>
                <w:i w:val="0"/>
                <w:color w:val="000000"/>
                <w:kern w:val="0"/>
                <w:sz w:val="18"/>
                <w:szCs w:val="18"/>
                <w:u w:val="none"/>
                <w:lang w:val="en-US" w:eastAsia="zh-CN" w:bidi="ar"/>
              </w:rPr>
              <w:t>“=”“≤”“≥”“＜”“＞”</w:t>
            </w:r>
          </w:p>
        </w:tc>
        <w:tc>
          <w:tcPr>
            <w:tcW w:w="372" w:type="dxa"/>
            <w:tcBorders>
              <w:top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29" w:type="dxa"/>
            <w:tcBorders>
              <w:top w:val="single" w:color="232323" w:sz="4" w:space="0"/>
              <w:left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432"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280"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516" w:type="dxa"/>
            <w:tcBorders>
              <w:top w:val="single" w:color="232323" w:sz="4" w:space="0"/>
              <w:left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80" w:type="dxa"/>
            <w:tcBorders>
              <w:top w:val="single" w:color="232323" w:sz="4" w:space="0"/>
              <w:left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08" w:type="dxa"/>
            <w:tcBorders>
              <w:top w:val="single" w:color="232323" w:sz="4" w:space="0"/>
              <w:left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24" w:type="dxa"/>
            <w:tcBorders>
              <w:top w:val="single" w:color="232323" w:sz="4" w:space="0"/>
              <w:left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673" w:type="dxa"/>
            <w:tcBorders>
              <w:top w:val="single" w:color="232323" w:sz="4" w:space="0"/>
              <w:left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1291" w:type="dxa"/>
            <w:gridSpan w:val="3"/>
            <w:tcBorders>
              <w:top w:val="single" w:color="232323" w:sz="4" w:space="0"/>
              <w:left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vMerge w:val="continue"/>
            <w:tcBorders>
              <w:top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87" w:type="dxa"/>
            <w:shd w:val="clear"/>
            <w:vAlign w:val="top"/>
          </w:tcPr>
          <w:p>
            <w:pPr>
              <w:keepNext w:val="0"/>
              <w:keepLines w:val="0"/>
              <w:widowControl/>
              <w:suppressLineNumbers w:val="0"/>
              <w:jc w:val="both"/>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整体工作完成情况</w:t>
            </w:r>
          </w:p>
        </w:tc>
        <w:tc>
          <w:tcPr>
            <w:tcW w:w="756" w:type="dxa"/>
            <w:tcBorders>
              <w:left w:val="single" w:color="232323" w:sz="4" w:space="0"/>
              <w:bottom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预期工作完成及时率</w:t>
            </w:r>
          </w:p>
        </w:tc>
        <w:tc>
          <w:tcPr>
            <w:tcW w:w="14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仿宋_GB2312" w:hAnsi="Times New Roman" w:eastAsia="仿宋_GB2312" w:cs="仿宋_GB2312"/>
                <w:i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329"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1291" w:type="dxa"/>
            <w:gridSpan w:val="3"/>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vMerge w:val="continue"/>
            <w:tcBorders>
              <w:top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87"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基础管理</w:t>
            </w:r>
          </w:p>
        </w:tc>
        <w:tc>
          <w:tcPr>
            <w:tcW w:w="756" w:type="dxa"/>
            <w:tcBorders>
              <w:top w:val="single" w:color="232323" w:sz="4" w:space="0"/>
              <w:left w:val="single" w:color="232323" w:sz="4" w:space="0"/>
              <w:bottom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综合管理水平</w:t>
            </w:r>
          </w:p>
        </w:tc>
        <w:tc>
          <w:tcPr>
            <w:tcW w:w="14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仿宋_GB2312" w:hAnsi="Times New Roman" w:eastAsia="仿宋_GB2312" w:cs="仿宋_GB2312"/>
                <w:i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329"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524" w:type="dxa"/>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Times New Roman" w:hAnsi="Times New Roman" w:cs="Times New Roman"/>
                <w:i w:val="0"/>
                <w:color w:val="000000"/>
                <w:sz w:val="20"/>
                <w:szCs w:val="20"/>
                <w:u w:val="none"/>
              </w:rPr>
            </w:pPr>
          </w:p>
        </w:tc>
        <w:tc>
          <w:tcPr>
            <w:tcW w:w="673" w:type="dxa"/>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c>
          <w:tcPr>
            <w:tcW w:w="1291" w:type="dxa"/>
            <w:gridSpan w:val="3"/>
            <w:tcBorders>
              <w:top w:val="single" w:color="000000" w:sz="4" w:space="0"/>
              <w:left w:val="single" w:color="000000" w:sz="4" w:space="0"/>
              <w:bottom w:val="single" w:color="000000" w:sz="4" w:space="0"/>
              <w:right w:val="single" w:color="000000" w:sz="4" w:space="0"/>
            </w:tcBorders>
            <w:shd w:val="clear"/>
            <w:vAlign w:val="bottom"/>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tcBorders>
              <w:top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w:t>
            </w:r>
          </w:p>
        </w:tc>
        <w:tc>
          <w:tcPr>
            <w:tcW w:w="387"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预算执行效率</w:t>
            </w:r>
          </w:p>
        </w:tc>
        <w:tc>
          <w:tcPr>
            <w:tcW w:w="756" w:type="dxa"/>
            <w:tcBorders>
              <w:left w:val="single" w:color="232323" w:sz="4" w:space="0"/>
              <w:bottom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预算完成率</w:t>
            </w:r>
          </w:p>
        </w:tc>
        <w:tc>
          <w:tcPr>
            <w:tcW w:w="14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仿宋_GB2312" w:hAnsi="Times New Roman" w:eastAsia="仿宋_GB2312" w:cs="仿宋_GB2312"/>
                <w:i w:val="0"/>
                <w:color w:val="000000"/>
                <w:sz w:val="18"/>
                <w:szCs w:val="18"/>
                <w:u w:val="none"/>
              </w:rPr>
            </w:pPr>
          </w:p>
        </w:tc>
        <w:tc>
          <w:tcPr>
            <w:tcW w:w="372" w:type="dxa"/>
            <w:tcBorders>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29" w:type="dxa"/>
            <w:tcBorders>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w:t>
            </w:r>
          </w:p>
        </w:tc>
        <w:tc>
          <w:tcPr>
            <w:tcW w:w="432" w:type="dxa"/>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80" w:type="dxa"/>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w:t>
            </w:r>
          </w:p>
        </w:tc>
        <w:tc>
          <w:tcPr>
            <w:tcW w:w="516" w:type="dxa"/>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480" w:type="dxa"/>
            <w:tcBorders>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08" w:type="dxa"/>
            <w:tcBorders>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24" w:type="dxa"/>
            <w:tcBorders>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673" w:type="dxa"/>
            <w:tcBorders>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1291" w:type="dxa"/>
            <w:gridSpan w:val="3"/>
            <w:tcBorders>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vMerge w:val="restart"/>
            <w:tcBorders>
              <w:top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管理效率</w:t>
            </w:r>
          </w:p>
        </w:tc>
        <w:tc>
          <w:tcPr>
            <w:tcW w:w="387"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预算编制管理</w:t>
            </w:r>
          </w:p>
        </w:tc>
        <w:tc>
          <w:tcPr>
            <w:tcW w:w="756" w:type="dxa"/>
            <w:tcBorders>
              <w:top w:val="single" w:color="232323" w:sz="4" w:space="0"/>
              <w:left w:val="single" w:color="232323" w:sz="4" w:space="0"/>
              <w:bottom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预算编制的规范性、科学性</w:t>
            </w:r>
          </w:p>
        </w:tc>
        <w:tc>
          <w:tcPr>
            <w:tcW w:w="14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仿宋_GB2312" w:hAnsi="Times New Roman" w:eastAsia="仿宋_GB2312" w:cs="仿宋_GB2312"/>
                <w:i w:val="0"/>
                <w:color w:val="000000"/>
                <w:sz w:val="18"/>
                <w:szCs w:val="18"/>
                <w:u w:val="none"/>
              </w:rPr>
            </w:pPr>
          </w:p>
        </w:tc>
        <w:tc>
          <w:tcPr>
            <w:tcW w:w="372" w:type="dxa"/>
            <w:tcBorders>
              <w:top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29"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432"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8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516"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8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0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24"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673"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1291" w:type="dxa"/>
            <w:gridSpan w:val="3"/>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vMerge w:val="continue"/>
            <w:tcBorders>
              <w:top w:val="single" w:color="232323" w:sz="4" w:space="0"/>
              <w:right w:val="single" w:color="232323" w:sz="4" w:space="0"/>
            </w:tcBorders>
            <w:shd w:val="clear"/>
            <w:vAlign w:val="center"/>
          </w:tcPr>
          <w:p>
            <w:pPr>
              <w:jc w:val="left"/>
              <w:rPr>
                <w:rFonts w:hint="eastAsia" w:ascii="宋体" w:hAnsi="宋体" w:eastAsia="宋体" w:cs="宋体"/>
                <w:i w:val="0"/>
                <w:color w:val="000000"/>
                <w:sz w:val="18"/>
                <w:szCs w:val="18"/>
                <w:u w:val="none"/>
              </w:rPr>
            </w:pPr>
          </w:p>
        </w:tc>
        <w:tc>
          <w:tcPr>
            <w:tcW w:w="387"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预算监督管理</w:t>
            </w:r>
          </w:p>
        </w:tc>
        <w:tc>
          <w:tcPr>
            <w:tcW w:w="756" w:type="dxa"/>
            <w:tcBorders>
              <w:top w:val="single" w:color="232323" w:sz="4" w:space="0"/>
              <w:left w:val="single" w:color="232323" w:sz="4" w:space="0"/>
              <w:bottom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预决算信息公开程度</w:t>
            </w:r>
          </w:p>
        </w:tc>
        <w:tc>
          <w:tcPr>
            <w:tcW w:w="14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仿宋_GB2312" w:hAnsi="Times New Roman" w:eastAsia="仿宋_GB2312" w:cs="仿宋_GB2312"/>
                <w:i w:val="0"/>
                <w:color w:val="000000"/>
                <w:sz w:val="18"/>
                <w:szCs w:val="18"/>
                <w:u w:val="none"/>
              </w:rPr>
            </w:pPr>
          </w:p>
        </w:tc>
        <w:tc>
          <w:tcPr>
            <w:tcW w:w="372" w:type="dxa"/>
            <w:tcBorders>
              <w:top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29"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432"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8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516"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8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0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24"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673"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1291" w:type="dxa"/>
            <w:gridSpan w:val="3"/>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tcBorders>
              <w:top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运行成本</w:t>
            </w:r>
          </w:p>
        </w:tc>
        <w:tc>
          <w:tcPr>
            <w:tcW w:w="387"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成本控制成效</w:t>
            </w:r>
          </w:p>
        </w:tc>
        <w:tc>
          <w:tcPr>
            <w:tcW w:w="756" w:type="dxa"/>
            <w:tcBorders>
              <w:top w:val="single" w:color="232323" w:sz="4" w:space="0"/>
              <w:left w:val="single" w:color="232323" w:sz="4" w:space="0"/>
              <w:bottom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在职人员经费变动率</w:t>
            </w:r>
          </w:p>
        </w:tc>
        <w:tc>
          <w:tcPr>
            <w:tcW w:w="14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仿宋_GB2312" w:hAnsi="Times New Roman" w:eastAsia="仿宋_GB2312" w:cs="仿宋_GB2312"/>
                <w:i w:val="0"/>
                <w:color w:val="000000"/>
                <w:sz w:val="18"/>
                <w:szCs w:val="18"/>
                <w:u w:val="none"/>
              </w:rPr>
            </w:pPr>
          </w:p>
        </w:tc>
        <w:tc>
          <w:tcPr>
            <w:tcW w:w="372" w:type="dxa"/>
            <w:tcBorders>
              <w:top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29"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432"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8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516"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8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0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24"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673"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人员变动幅度较小</w:t>
            </w:r>
          </w:p>
        </w:tc>
        <w:tc>
          <w:tcPr>
            <w:tcW w:w="1291" w:type="dxa"/>
            <w:gridSpan w:val="3"/>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tcBorders>
              <w:top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社会效应</w:t>
            </w:r>
          </w:p>
        </w:tc>
        <w:tc>
          <w:tcPr>
            <w:tcW w:w="387"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756" w:type="dxa"/>
            <w:tcBorders>
              <w:top w:val="single" w:color="232323" w:sz="4" w:space="0"/>
              <w:left w:val="single" w:color="232323" w:sz="4" w:space="0"/>
              <w:bottom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为全区水利与农业提供技术与保障</w:t>
            </w:r>
          </w:p>
        </w:tc>
        <w:tc>
          <w:tcPr>
            <w:tcW w:w="14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仿宋_GB2312" w:hAnsi="Times New Roman" w:eastAsia="仿宋_GB2312" w:cs="仿宋_GB2312"/>
                <w:i w:val="0"/>
                <w:color w:val="000000"/>
                <w:sz w:val="18"/>
                <w:szCs w:val="18"/>
                <w:u w:val="none"/>
              </w:rPr>
            </w:pPr>
          </w:p>
        </w:tc>
        <w:tc>
          <w:tcPr>
            <w:tcW w:w="372" w:type="dxa"/>
            <w:tcBorders>
              <w:top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29"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432"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28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516"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8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0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24"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673"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1291" w:type="dxa"/>
            <w:gridSpan w:val="3"/>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409" w:type="dxa"/>
            <w:vMerge w:val="continue"/>
            <w:tcBorders>
              <w:top w:val="single" w:color="232323"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0" w:type="dxa"/>
            <w:tcBorders>
              <w:top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可持续性</w:t>
            </w:r>
          </w:p>
        </w:tc>
        <w:tc>
          <w:tcPr>
            <w:tcW w:w="387"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创新驱动发展</w:t>
            </w:r>
          </w:p>
        </w:tc>
        <w:tc>
          <w:tcPr>
            <w:tcW w:w="756" w:type="dxa"/>
            <w:tcBorders>
              <w:top w:val="single" w:color="232323" w:sz="4" w:space="0"/>
              <w:left w:val="single" w:color="232323" w:sz="4" w:space="0"/>
              <w:bottom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为全区农业和水利服务业做好保障</w:t>
            </w:r>
          </w:p>
        </w:tc>
        <w:tc>
          <w:tcPr>
            <w:tcW w:w="14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仿宋_GB2312" w:hAnsi="Times New Roman" w:eastAsia="仿宋_GB2312" w:cs="仿宋_GB2312"/>
                <w:i w:val="0"/>
                <w:color w:val="000000"/>
                <w:sz w:val="18"/>
                <w:szCs w:val="18"/>
                <w:u w:val="none"/>
              </w:rPr>
            </w:pPr>
          </w:p>
        </w:tc>
        <w:tc>
          <w:tcPr>
            <w:tcW w:w="372" w:type="dxa"/>
            <w:tcBorders>
              <w:top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29"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432"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8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516"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8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0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24"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673"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1291" w:type="dxa"/>
            <w:gridSpan w:val="3"/>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548"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总评价得分</w:t>
            </w:r>
          </w:p>
        </w:tc>
        <w:tc>
          <w:tcPr>
            <w:tcW w:w="3992" w:type="dxa"/>
            <w:gridSpan w:val="8"/>
            <w:tcBorders>
              <w:top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94.7</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tbl>
      <w:tblP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78"/>
        <w:gridCol w:w="210"/>
        <w:gridCol w:w="546"/>
        <w:gridCol w:w="440"/>
        <w:gridCol w:w="1651"/>
        <w:gridCol w:w="351"/>
        <w:gridCol w:w="361"/>
        <w:gridCol w:w="528"/>
        <w:gridCol w:w="497"/>
        <w:gridCol w:w="520"/>
        <w:gridCol w:w="254"/>
        <w:gridCol w:w="440"/>
        <w:gridCol w:w="423"/>
        <w:gridCol w:w="449"/>
        <w:gridCol w:w="440"/>
        <w:gridCol w:w="453"/>
        <w:gridCol w:w="441"/>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9060" w:type="dxa"/>
            <w:gridSpan w:val="18"/>
            <w:tcBorders>
              <w:bottom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预算项目（政策）绩效目标自评表</w:t>
            </w:r>
            <w:r>
              <w:rPr>
                <w:rStyle w:val="9"/>
                <w:lang w:val="en-US" w:eastAsia="zh-CN" w:bidi="ar"/>
              </w:rPr>
              <w:br w:type="textWrapping"/>
            </w:r>
            <w:r>
              <w:rPr>
                <w:rStyle w:val="9"/>
                <w:lang w:val="en-US" w:eastAsia="zh-CN" w:bidi="ar"/>
              </w:rPr>
              <w:t xml:space="preserve">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trPr>
        <w:tc>
          <w:tcPr>
            <w:tcW w:w="1574" w:type="dxa"/>
            <w:gridSpan w:val="4"/>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项目（政策）名称</w:t>
            </w:r>
          </w:p>
        </w:tc>
        <w:tc>
          <w:tcPr>
            <w:tcW w:w="7486" w:type="dxa"/>
            <w:gridSpan w:val="14"/>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堤坝维护费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74" w:type="dxa"/>
            <w:gridSpan w:val="4"/>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主管单位</w:t>
            </w:r>
          </w:p>
        </w:tc>
        <w:tc>
          <w:tcPr>
            <w:tcW w:w="7486" w:type="dxa"/>
            <w:gridSpan w:val="14"/>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兴隆台区农业和水利服务中心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574" w:type="dxa"/>
            <w:gridSpan w:val="4"/>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7486" w:type="dxa"/>
            <w:gridSpan w:val="14"/>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兴隆台区农业和水利服务中心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7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项目预算金额（万元）</w:t>
            </w:r>
          </w:p>
        </w:tc>
        <w:tc>
          <w:tcPr>
            <w:tcW w:w="236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54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566"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6.26</w:t>
            </w:r>
          </w:p>
        </w:tc>
        <w:tc>
          <w:tcPr>
            <w:tcW w:w="8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111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78" w:type="dxa"/>
            <w:vMerge w:val="restart"/>
            <w:tcBorders>
              <w:left w:val="single" w:color="232323" w:sz="4" w:space="0"/>
              <w:bottom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5104"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年初设定目标</w:t>
            </w:r>
          </w:p>
        </w:tc>
        <w:tc>
          <w:tcPr>
            <w:tcW w:w="3578" w:type="dxa"/>
            <w:gridSpan w:val="8"/>
            <w:tcBorders>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55" w:hRule="atLeast"/>
        </w:trPr>
        <w:tc>
          <w:tcPr>
            <w:tcW w:w="378" w:type="dxa"/>
            <w:vMerge w:val="continue"/>
            <w:tcBorders>
              <w:left w:val="single" w:color="232323" w:sz="4" w:space="0"/>
              <w:bottom w:val="single" w:color="232323" w:sz="4" w:space="0"/>
            </w:tcBorders>
            <w:shd w:val="clear"/>
            <w:vAlign w:val="center"/>
          </w:tcPr>
          <w:p>
            <w:pPr>
              <w:jc w:val="center"/>
              <w:rPr>
                <w:rFonts w:hint="eastAsia" w:ascii="宋体" w:hAnsi="宋体" w:eastAsia="宋体" w:cs="宋体"/>
                <w:i w:val="0"/>
                <w:color w:val="000000"/>
                <w:sz w:val="18"/>
                <w:szCs w:val="18"/>
                <w:u w:val="none"/>
              </w:rPr>
            </w:pPr>
          </w:p>
        </w:tc>
        <w:tc>
          <w:tcPr>
            <w:tcW w:w="5104"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堤坝灭鼠、除草费，保护堤坝安全</w:t>
            </w:r>
          </w:p>
        </w:tc>
        <w:tc>
          <w:tcPr>
            <w:tcW w:w="357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378" w:type="dxa"/>
            <w:vMerge w:val="restart"/>
            <w:tcBorders>
              <w:top w:val="single" w:color="232323" w:sz="4" w:space="0"/>
              <w:lef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210"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546" w:type="dxa"/>
            <w:vMerge w:val="restart"/>
            <w:tcBorders>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440" w:type="dxa"/>
            <w:vMerge w:val="restart"/>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363" w:type="dxa"/>
            <w:gridSpan w:val="3"/>
            <w:tcBorders>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年度目标值</w:t>
            </w:r>
          </w:p>
        </w:tc>
        <w:tc>
          <w:tcPr>
            <w:tcW w:w="528" w:type="dxa"/>
            <w:vMerge w:val="restart"/>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全年完成值</w:t>
            </w:r>
          </w:p>
        </w:tc>
        <w:tc>
          <w:tcPr>
            <w:tcW w:w="497" w:type="dxa"/>
            <w:vMerge w:val="restart"/>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完成程度</w:t>
            </w:r>
          </w:p>
        </w:tc>
        <w:tc>
          <w:tcPr>
            <w:tcW w:w="520" w:type="dxa"/>
            <w:vMerge w:val="restart"/>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254" w:type="dxa"/>
            <w:vMerge w:val="restart"/>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2646" w:type="dxa"/>
            <w:gridSpan w:val="6"/>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未完成原因分析</w:t>
            </w:r>
          </w:p>
        </w:tc>
        <w:tc>
          <w:tcPr>
            <w:tcW w:w="678" w:type="dxa"/>
            <w:vMerge w:val="restart"/>
            <w:tcBorders>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378" w:type="dxa"/>
            <w:vMerge w:val="continue"/>
            <w:tcBorders>
              <w:top w:val="single" w:color="232323" w:sz="4" w:space="0"/>
              <w:lef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46" w:type="dxa"/>
            <w:vMerge w:val="continue"/>
            <w:tcBorders>
              <w:bottom w:val="single" w:color="232323" w:sz="4" w:space="0"/>
              <w:right w:val="single" w:color="232323" w:sz="4" w:space="0"/>
            </w:tcBorders>
            <w:shd w:val="clear"/>
            <w:vAlign w:val="center"/>
          </w:tcPr>
          <w:p>
            <w:pPr>
              <w:jc w:val="center"/>
              <w:rPr>
                <w:rFonts w:hint="eastAsia" w:ascii="宋体" w:hAnsi="宋体" w:eastAsia="宋体" w:cs="宋体"/>
                <w:i w:val="0"/>
                <w:color w:val="000000"/>
                <w:sz w:val="18"/>
                <w:szCs w:val="18"/>
                <w:u w:val="none"/>
              </w:rPr>
            </w:pPr>
          </w:p>
        </w:tc>
        <w:tc>
          <w:tcPr>
            <w:tcW w:w="440" w:type="dxa"/>
            <w:vMerge w:val="continue"/>
            <w:tcBorders>
              <w:left w:val="single" w:color="232323" w:sz="4" w:space="0"/>
              <w:bottom w:val="single" w:color="232323" w:sz="4" w:space="0"/>
              <w:right w:val="single" w:color="232323" w:sz="4" w:space="0"/>
            </w:tcBorders>
            <w:shd w:val="clear"/>
            <w:vAlign w:val="center"/>
          </w:tcPr>
          <w:p>
            <w:pPr>
              <w:jc w:val="center"/>
              <w:rPr>
                <w:rFonts w:hint="eastAsia" w:ascii="宋体" w:hAnsi="宋体" w:eastAsia="宋体" w:cs="宋体"/>
                <w:i w:val="0"/>
                <w:color w:val="000000"/>
                <w:sz w:val="18"/>
                <w:szCs w:val="18"/>
                <w:u w:val="none"/>
              </w:rPr>
            </w:pPr>
          </w:p>
        </w:tc>
        <w:tc>
          <w:tcPr>
            <w:tcW w:w="1651"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运算符号</w:t>
            </w:r>
          </w:p>
        </w:tc>
        <w:tc>
          <w:tcPr>
            <w:tcW w:w="351"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内容</w:t>
            </w:r>
          </w:p>
        </w:tc>
        <w:tc>
          <w:tcPr>
            <w:tcW w:w="361"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度量单位</w:t>
            </w:r>
          </w:p>
        </w:tc>
        <w:tc>
          <w:tcPr>
            <w:tcW w:w="528" w:type="dxa"/>
            <w:vMerge w:val="continue"/>
            <w:tcBorders>
              <w:left w:val="single" w:color="232323" w:sz="4" w:space="0"/>
              <w:bottom w:val="single" w:color="232323" w:sz="4" w:space="0"/>
              <w:right w:val="single" w:color="232323" w:sz="4" w:space="0"/>
            </w:tcBorders>
            <w:shd w:val="clear"/>
            <w:vAlign w:val="center"/>
          </w:tcPr>
          <w:p>
            <w:pPr>
              <w:jc w:val="center"/>
              <w:rPr>
                <w:rFonts w:hint="eastAsia" w:ascii="宋体" w:hAnsi="宋体" w:eastAsia="宋体" w:cs="宋体"/>
                <w:i w:val="0"/>
                <w:color w:val="000000"/>
                <w:sz w:val="18"/>
                <w:szCs w:val="18"/>
                <w:u w:val="none"/>
              </w:rPr>
            </w:pPr>
          </w:p>
        </w:tc>
        <w:tc>
          <w:tcPr>
            <w:tcW w:w="497" w:type="dxa"/>
            <w:vMerge w:val="continue"/>
            <w:tcBorders>
              <w:left w:val="single" w:color="232323" w:sz="4" w:space="0"/>
              <w:bottom w:val="single" w:color="232323" w:sz="4" w:space="0"/>
              <w:right w:val="single" w:color="232323" w:sz="4" w:space="0"/>
            </w:tcBorders>
            <w:shd w:val="clear"/>
            <w:vAlign w:val="center"/>
          </w:tcPr>
          <w:p>
            <w:pPr>
              <w:jc w:val="center"/>
              <w:rPr>
                <w:rFonts w:hint="eastAsia" w:ascii="宋体" w:hAnsi="宋体" w:eastAsia="宋体" w:cs="宋体"/>
                <w:i w:val="0"/>
                <w:color w:val="000000"/>
                <w:sz w:val="18"/>
                <w:szCs w:val="18"/>
                <w:u w:val="none"/>
              </w:rPr>
            </w:pPr>
          </w:p>
        </w:tc>
        <w:tc>
          <w:tcPr>
            <w:tcW w:w="520" w:type="dxa"/>
            <w:vMerge w:val="continue"/>
            <w:tcBorders>
              <w:left w:val="single" w:color="232323" w:sz="4" w:space="0"/>
              <w:bottom w:val="single" w:color="232323" w:sz="4" w:space="0"/>
              <w:right w:val="single" w:color="232323" w:sz="4" w:space="0"/>
            </w:tcBorders>
            <w:shd w:val="clear"/>
            <w:vAlign w:val="center"/>
          </w:tcPr>
          <w:p>
            <w:pPr>
              <w:jc w:val="center"/>
              <w:rPr>
                <w:rFonts w:hint="eastAsia" w:ascii="宋体" w:hAnsi="宋体" w:eastAsia="宋体" w:cs="宋体"/>
                <w:i w:val="0"/>
                <w:color w:val="000000"/>
                <w:sz w:val="18"/>
                <w:szCs w:val="18"/>
                <w:u w:val="none"/>
              </w:rPr>
            </w:pPr>
          </w:p>
        </w:tc>
        <w:tc>
          <w:tcPr>
            <w:tcW w:w="254" w:type="dxa"/>
            <w:vMerge w:val="continue"/>
            <w:tcBorders>
              <w:left w:val="single" w:color="232323" w:sz="4" w:space="0"/>
              <w:bottom w:val="single" w:color="232323" w:sz="4" w:space="0"/>
              <w:right w:val="single" w:color="232323" w:sz="4" w:space="0"/>
            </w:tcBorders>
            <w:shd w:val="clear"/>
            <w:vAlign w:val="center"/>
          </w:tcPr>
          <w:p>
            <w:pPr>
              <w:jc w:val="center"/>
              <w:rPr>
                <w:rFonts w:hint="eastAsia" w:ascii="宋体" w:hAnsi="宋体" w:eastAsia="宋体" w:cs="宋体"/>
                <w:i w:val="0"/>
                <w:color w:val="000000"/>
                <w:sz w:val="18"/>
                <w:szCs w:val="18"/>
                <w:u w:val="none"/>
              </w:rPr>
            </w:pPr>
          </w:p>
        </w:tc>
        <w:tc>
          <w:tcPr>
            <w:tcW w:w="440" w:type="dxa"/>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经费保障</w:t>
            </w:r>
          </w:p>
        </w:tc>
        <w:tc>
          <w:tcPr>
            <w:tcW w:w="423" w:type="dxa"/>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制度保障</w:t>
            </w:r>
          </w:p>
        </w:tc>
        <w:tc>
          <w:tcPr>
            <w:tcW w:w="449" w:type="dxa"/>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人员保障</w:t>
            </w:r>
          </w:p>
        </w:tc>
        <w:tc>
          <w:tcPr>
            <w:tcW w:w="440" w:type="dxa"/>
            <w:tcBorders>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硬件条件保障</w:t>
            </w:r>
          </w:p>
        </w:tc>
        <w:tc>
          <w:tcPr>
            <w:tcW w:w="453" w:type="dxa"/>
            <w:tcBorders>
              <w:left w:val="single" w:color="232323" w:sz="4" w:space="0"/>
              <w:bottom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441"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原因说明</w:t>
            </w:r>
          </w:p>
        </w:tc>
        <w:tc>
          <w:tcPr>
            <w:tcW w:w="678" w:type="dxa"/>
            <w:vMerge w:val="continue"/>
            <w:tcBorders>
              <w:bottom w:val="single" w:color="232323" w:sz="4" w:space="0"/>
              <w:right w:val="single" w:color="232323"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378" w:type="dxa"/>
            <w:vMerge w:val="continue"/>
            <w:tcBorders>
              <w:top w:val="single" w:color="232323" w:sz="4" w:space="0"/>
              <w:lef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546" w:type="dxa"/>
            <w:tcBorders>
              <w:top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9"/>
                <w:lang w:val="en-US" w:eastAsia="zh-CN" w:bidi="ar"/>
              </w:rPr>
              <w:t>数量</w:t>
            </w:r>
            <w:r>
              <w:rPr>
                <w:rStyle w:val="10"/>
                <w:rFonts w:eastAsia="宋体"/>
                <w:lang w:val="en-US" w:eastAsia="zh-CN" w:bidi="ar"/>
              </w:rPr>
              <w:br w:type="textWrapping"/>
            </w:r>
            <w:r>
              <w:rPr>
                <w:rStyle w:val="9"/>
                <w:lang w:val="en-US" w:eastAsia="zh-CN" w:bidi="ar"/>
              </w:rPr>
              <w:t>指标</w:t>
            </w:r>
          </w:p>
        </w:tc>
        <w:tc>
          <w:tcPr>
            <w:tcW w:w="44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项目数量</w:t>
            </w:r>
          </w:p>
        </w:tc>
        <w:tc>
          <w:tcPr>
            <w:tcW w:w="1651" w:type="dxa"/>
            <w:vMerge w:val="restart"/>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351"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61"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c>
          <w:tcPr>
            <w:tcW w:w="528" w:type="dxa"/>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6"/>
                <w:szCs w:val="16"/>
                <w:u w:val="none"/>
              </w:rPr>
            </w:pPr>
          </w:p>
        </w:tc>
        <w:tc>
          <w:tcPr>
            <w:tcW w:w="497"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2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54"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0" w:type="dxa"/>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6"/>
                <w:szCs w:val="16"/>
                <w:u w:val="none"/>
              </w:rPr>
            </w:pPr>
          </w:p>
        </w:tc>
        <w:tc>
          <w:tcPr>
            <w:tcW w:w="423" w:type="dxa"/>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6"/>
                <w:szCs w:val="16"/>
                <w:u w:val="none"/>
              </w:rPr>
            </w:pPr>
          </w:p>
        </w:tc>
        <w:tc>
          <w:tcPr>
            <w:tcW w:w="449" w:type="dxa"/>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6"/>
                <w:szCs w:val="16"/>
                <w:u w:val="none"/>
              </w:rPr>
            </w:pPr>
          </w:p>
        </w:tc>
        <w:tc>
          <w:tcPr>
            <w:tcW w:w="440" w:type="dxa"/>
            <w:tcBorders>
              <w:top w:val="single" w:color="232323" w:sz="4" w:space="0"/>
              <w:left w:val="single" w:color="232323" w:sz="4" w:space="0"/>
              <w:bottom w:val="single" w:color="232323" w:sz="4" w:space="0"/>
              <w:right w:val="single" w:color="232323" w:sz="4" w:space="0"/>
            </w:tcBorders>
            <w:shd w:val="clear"/>
            <w:vAlign w:val="center"/>
          </w:tcPr>
          <w:p>
            <w:pPr>
              <w:jc w:val="left"/>
              <w:rPr>
                <w:rFonts w:hint="eastAsia" w:ascii="宋体" w:hAnsi="宋体" w:eastAsia="宋体" w:cs="宋体"/>
                <w:i w:val="0"/>
                <w:color w:val="000000"/>
                <w:sz w:val="16"/>
                <w:szCs w:val="16"/>
                <w:u w:val="none"/>
              </w:rPr>
            </w:pPr>
          </w:p>
        </w:tc>
        <w:tc>
          <w:tcPr>
            <w:tcW w:w="453" w:type="dxa"/>
            <w:tcBorders>
              <w:top w:val="single" w:color="232323" w:sz="4" w:space="0"/>
              <w:left w:val="single" w:color="232323" w:sz="4" w:space="0"/>
              <w:bottom w:val="single" w:color="232323" w:sz="4" w:space="0"/>
            </w:tcBorders>
            <w:shd w:val="clear"/>
            <w:vAlign w:val="center"/>
          </w:tcPr>
          <w:p>
            <w:pPr>
              <w:jc w:val="left"/>
              <w:rPr>
                <w:rFonts w:hint="eastAsia" w:ascii="宋体" w:hAnsi="宋体" w:eastAsia="宋体" w:cs="宋体"/>
                <w:i w:val="0"/>
                <w:color w:val="000000"/>
                <w:sz w:val="16"/>
                <w:szCs w:val="16"/>
                <w:u w:val="none"/>
              </w:rPr>
            </w:pPr>
          </w:p>
        </w:tc>
        <w:tc>
          <w:tcPr>
            <w:tcW w:w="44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16"/>
                <w:szCs w:val="16"/>
                <w:u w:val="none"/>
              </w:rPr>
            </w:pPr>
          </w:p>
        </w:tc>
        <w:tc>
          <w:tcPr>
            <w:tcW w:w="678" w:type="dxa"/>
            <w:tcBorders>
              <w:bottom w:val="single" w:color="232323" w:sz="4" w:space="0"/>
              <w:right w:val="single" w:color="232323"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378" w:type="dxa"/>
            <w:vMerge w:val="continue"/>
            <w:tcBorders>
              <w:top w:val="single" w:color="232323" w:sz="4" w:space="0"/>
              <w:lef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546" w:type="dxa"/>
            <w:tcBorders>
              <w:top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440"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预算资金执行</w:t>
            </w:r>
          </w:p>
        </w:tc>
        <w:tc>
          <w:tcPr>
            <w:tcW w:w="1651"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center"/>
              <w:rPr>
                <w:rFonts w:hint="default" w:ascii="Times New Roman" w:hAnsi="Times New Roman" w:cs="Times New Roman"/>
                <w:i w:val="0"/>
                <w:color w:val="000000"/>
                <w:sz w:val="20"/>
                <w:szCs w:val="20"/>
                <w:u w:val="none"/>
              </w:rPr>
            </w:pPr>
          </w:p>
        </w:tc>
        <w:tc>
          <w:tcPr>
            <w:tcW w:w="351"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361"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528"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6.26</w:t>
            </w:r>
          </w:p>
        </w:tc>
        <w:tc>
          <w:tcPr>
            <w:tcW w:w="497"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89%</w:t>
            </w:r>
          </w:p>
        </w:tc>
        <w:tc>
          <w:tcPr>
            <w:tcW w:w="520"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54" w:type="dxa"/>
            <w:tcBorders>
              <w:top w:val="single" w:color="232323" w:sz="4" w:space="0"/>
              <w:left w:val="single" w:color="232323" w:sz="4" w:space="0"/>
              <w:right w:val="single" w:color="232323"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440" w:type="dxa"/>
            <w:tcBorders>
              <w:top w:val="single" w:color="232323" w:sz="4" w:space="0"/>
              <w:left w:val="single" w:color="232323" w:sz="4" w:space="0"/>
              <w:right w:val="single" w:color="232323" w:sz="4" w:space="0"/>
            </w:tcBorders>
            <w:shd w:val="clear"/>
            <w:vAlign w:val="center"/>
          </w:tcPr>
          <w:p>
            <w:pPr>
              <w:jc w:val="center"/>
              <w:rPr>
                <w:rFonts w:hint="default" w:ascii="Times New Roman" w:hAnsi="Times New Roman" w:cs="Times New Roman"/>
                <w:i w:val="0"/>
                <w:color w:val="000000"/>
                <w:sz w:val="20"/>
                <w:szCs w:val="20"/>
                <w:u w:val="none"/>
              </w:rPr>
            </w:pPr>
          </w:p>
        </w:tc>
        <w:tc>
          <w:tcPr>
            <w:tcW w:w="423" w:type="dxa"/>
            <w:tcBorders>
              <w:top w:val="single" w:color="232323" w:sz="4" w:space="0"/>
              <w:left w:val="single" w:color="232323" w:sz="4" w:space="0"/>
              <w:right w:val="single" w:color="232323" w:sz="4" w:space="0"/>
            </w:tcBorders>
            <w:shd w:val="clear"/>
            <w:vAlign w:val="center"/>
          </w:tcPr>
          <w:p>
            <w:pPr>
              <w:jc w:val="center"/>
              <w:rPr>
                <w:rFonts w:hint="default" w:ascii="Times New Roman" w:hAnsi="Times New Roman" w:cs="Times New Roman"/>
                <w:i w:val="0"/>
                <w:color w:val="000000"/>
                <w:sz w:val="20"/>
                <w:szCs w:val="20"/>
                <w:u w:val="none"/>
              </w:rPr>
            </w:pPr>
          </w:p>
        </w:tc>
        <w:tc>
          <w:tcPr>
            <w:tcW w:w="449" w:type="dxa"/>
            <w:tcBorders>
              <w:top w:val="single" w:color="232323" w:sz="4" w:space="0"/>
              <w:left w:val="single" w:color="232323" w:sz="4" w:space="0"/>
              <w:right w:val="single" w:color="232323" w:sz="4" w:space="0"/>
            </w:tcBorders>
            <w:shd w:val="clear"/>
            <w:vAlign w:val="center"/>
          </w:tcPr>
          <w:p>
            <w:pPr>
              <w:jc w:val="center"/>
              <w:rPr>
                <w:rFonts w:hint="default" w:ascii="Times New Roman" w:hAnsi="Times New Roman" w:cs="Times New Roman"/>
                <w:i w:val="0"/>
                <w:color w:val="000000"/>
                <w:sz w:val="20"/>
                <w:szCs w:val="20"/>
                <w:u w:val="none"/>
              </w:rPr>
            </w:pPr>
          </w:p>
        </w:tc>
        <w:tc>
          <w:tcPr>
            <w:tcW w:w="440" w:type="dxa"/>
            <w:tcBorders>
              <w:top w:val="single" w:color="232323" w:sz="4" w:space="0"/>
              <w:left w:val="single" w:color="232323" w:sz="4" w:space="0"/>
              <w:right w:val="single" w:color="232323" w:sz="4" w:space="0"/>
            </w:tcBorders>
            <w:shd w:val="clear"/>
            <w:vAlign w:val="center"/>
          </w:tcPr>
          <w:p>
            <w:pPr>
              <w:jc w:val="center"/>
              <w:rPr>
                <w:rFonts w:hint="default" w:ascii="Times New Roman" w:hAnsi="Times New Roman" w:cs="Times New Roman"/>
                <w:i w:val="0"/>
                <w:color w:val="000000"/>
                <w:sz w:val="20"/>
                <w:szCs w:val="20"/>
                <w:u w:val="none"/>
              </w:rPr>
            </w:pPr>
          </w:p>
        </w:tc>
        <w:tc>
          <w:tcPr>
            <w:tcW w:w="453"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4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节约经费</w:t>
            </w:r>
          </w:p>
        </w:tc>
        <w:tc>
          <w:tcPr>
            <w:tcW w:w="678" w:type="dxa"/>
            <w:tcBorders>
              <w:top w:val="single" w:color="232323" w:sz="4" w:space="0"/>
              <w:right w:val="single" w:color="232323" w:sz="4" w:space="0"/>
            </w:tcBorders>
            <w:shd w:val="clear"/>
            <w:vAlign w:val="center"/>
          </w:tcPr>
          <w:p>
            <w:pPr>
              <w:jc w:val="center"/>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50" w:hRule="atLeast"/>
        </w:trPr>
        <w:tc>
          <w:tcPr>
            <w:tcW w:w="378" w:type="dxa"/>
            <w:vMerge w:val="continue"/>
            <w:tcBorders>
              <w:top w:val="single" w:color="232323" w:sz="4" w:space="0"/>
              <w:lef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546" w:type="dxa"/>
            <w:tcBorders>
              <w:top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44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维护堤坝安全</w:t>
            </w:r>
          </w:p>
        </w:tc>
        <w:tc>
          <w:tcPr>
            <w:tcW w:w="1651"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center"/>
              <w:rPr>
                <w:rFonts w:hint="default" w:ascii="Times New Roman" w:hAnsi="Times New Roman" w:cs="Times New Roman"/>
                <w:i w:val="0"/>
                <w:color w:val="000000"/>
                <w:sz w:val="20"/>
                <w:szCs w:val="20"/>
                <w:u w:val="none"/>
              </w:rPr>
            </w:pPr>
          </w:p>
        </w:tc>
        <w:tc>
          <w:tcPr>
            <w:tcW w:w="35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361"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52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97"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52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254"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44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23"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9"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53" w:type="dxa"/>
            <w:tcBorders>
              <w:top w:val="single" w:color="232323" w:sz="4" w:space="0"/>
              <w:left w:val="single" w:color="232323" w:sz="4" w:space="0"/>
              <w:bottom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1"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Times New Roman" w:hAnsi="Times New Roman" w:cs="Times New Roman"/>
                <w:i w:val="0"/>
                <w:color w:val="000000"/>
                <w:sz w:val="20"/>
                <w:szCs w:val="20"/>
                <w:u w:val="none"/>
              </w:rPr>
            </w:pPr>
          </w:p>
        </w:tc>
        <w:tc>
          <w:tcPr>
            <w:tcW w:w="678" w:type="dxa"/>
            <w:tcBorders>
              <w:top w:val="single" w:color="232323" w:sz="4" w:space="0"/>
              <w:bottom w:val="single" w:color="232323" w:sz="4" w:space="0"/>
              <w:right w:val="single" w:color="232323" w:sz="4" w:space="0"/>
            </w:tcBorders>
            <w:shd w:val="clear"/>
            <w:vAlign w:val="bottom"/>
          </w:tcPr>
          <w:p>
            <w:pPr>
              <w:jc w:val="center"/>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00" w:hRule="atLeast"/>
        </w:trPr>
        <w:tc>
          <w:tcPr>
            <w:tcW w:w="378" w:type="dxa"/>
            <w:vMerge w:val="continue"/>
            <w:tcBorders>
              <w:top w:val="single" w:color="232323" w:sz="4" w:space="0"/>
              <w:lef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546" w:type="dxa"/>
            <w:tcBorders>
              <w:top w:val="single" w:color="232323" w:sz="4" w:space="0"/>
              <w:bottom w:val="single" w:color="232323" w:sz="4" w:space="0"/>
              <w:right w:val="single" w:color="232323"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44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1651" w:type="dxa"/>
            <w:vMerge w:val="continue"/>
            <w:tcBorders>
              <w:top w:val="single" w:color="232323" w:sz="4" w:space="0"/>
              <w:left w:val="single" w:color="232323" w:sz="4" w:space="0"/>
              <w:bottom w:val="single" w:color="232323" w:sz="4" w:space="0"/>
              <w:right w:val="single" w:color="232323" w:sz="4" w:space="0"/>
            </w:tcBorders>
            <w:shd w:val="clear"/>
            <w:vAlign w:val="center"/>
          </w:tcPr>
          <w:p>
            <w:pPr>
              <w:jc w:val="center"/>
              <w:rPr>
                <w:rFonts w:hint="default" w:ascii="Times New Roman" w:hAnsi="Times New Roman" w:cs="Times New Roman"/>
                <w:i w:val="0"/>
                <w:color w:val="000000"/>
                <w:sz w:val="20"/>
                <w:szCs w:val="20"/>
                <w:u w:val="none"/>
              </w:rPr>
            </w:pPr>
          </w:p>
        </w:tc>
        <w:tc>
          <w:tcPr>
            <w:tcW w:w="351"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全区</w:t>
            </w:r>
          </w:p>
        </w:tc>
        <w:tc>
          <w:tcPr>
            <w:tcW w:w="361"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528"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97"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520"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54" w:type="dxa"/>
            <w:tcBorders>
              <w:top w:val="single" w:color="232323" w:sz="4" w:space="0"/>
              <w:left w:val="single" w:color="232323" w:sz="4" w:space="0"/>
              <w:bottom w:val="single" w:color="232323" w:sz="4" w:space="0"/>
              <w:right w:val="single" w:color="232323"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44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23"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9"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0" w:type="dxa"/>
            <w:tcBorders>
              <w:top w:val="single" w:color="232323" w:sz="4" w:space="0"/>
              <w:left w:val="single" w:color="232323" w:sz="4" w:space="0"/>
              <w:bottom w:val="single" w:color="232323" w:sz="4" w:space="0"/>
              <w:right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53" w:type="dxa"/>
            <w:tcBorders>
              <w:top w:val="single" w:color="232323" w:sz="4" w:space="0"/>
              <w:left w:val="single" w:color="232323" w:sz="4" w:space="0"/>
              <w:bottom w:val="single" w:color="232323" w:sz="4" w:space="0"/>
            </w:tcBorders>
            <w:shd w:val="clear"/>
            <w:vAlign w:val="bottom"/>
          </w:tcPr>
          <w:p>
            <w:pPr>
              <w:jc w:val="left"/>
              <w:rPr>
                <w:rFonts w:hint="default" w:ascii="Times New Roman" w:hAnsi="Times New Roman" w:cs="Times New Roman"/>
                <w:i w:val="0"/>
                <w:color w:val="000000"/>
                <w:sz w:val="20"/>
                <w:szCs w:val="20"/>
                <w:u w:val="none"/>
              </w:rPr>
            </w:pPr>
          </w:p>
        </w:tc>
        <w:tc>
          <w:tcPr>
            <w:tcW w:w="441" w:type="dxa"/>
            <w:tcBorders>
              <w:top w:val="single" w:color="000000" w:sz="4" w:space="0"/>
              <w:left w:val="single" w:color="000000" w:sz="4" w:space="0"/>
              <w:bottom w:val="single" w:color="000000" w:sz="4" w:space="0"/>
              <w:right w:val="single" w:color="000000" w:sz="4" w:space="0"/>
            </w:tcBorders>
            <w:shd w:val="clear"/>
            <w:vAlign w:val="bottom"/>
          </w:tcPr>
          <w:p>
            <w:pPr>
              <w:rPr>
                <w:rFonts w:hint="default" w:ascii="Times New Roman" w:hAnsi="Times New Roman" w:cs="Times New Roman"/>
                <w:i w:val="0"/>
                <w:color w:val="000000"/>
                <w:sz w:val="20"/>
                <w:szCs w:val="20"/>
                <w:u w:val="none"/>
              </w:rPr>
            </w:pPr>
          </w:p>
        </w:tc>
        <w:tc>
          <w:tcPr>
            <w:tcW w:w="678" w:type="dxa"/>
            <w:tcBorders>
              <w:top w:val="single" w:color="232323" w:sz="4" w:space="0"/>
              <w:bottom w:val="single" w:color="232323" w:sz="4" w:space="0"/>
              <w:right w:val="single" w:color="232323" w:sz="4" w:space="0"/>
            </w:tcBorders>
            <w:shd w:val="clear"/>
            <w:vAlign w:val="bottom"/>
          </w:tcPr>
          <w:p>
            <w:pPr>
              <w:jc w:val="center"/>
              <w:rPr>
                <w:rFonts w:hint="default" w:ascii="Times New Roman" w:hAnsi="Times New Roman"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13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指标自评得分小计</w:t>
            </w:r>
          </w:p>
        </w:tc>
        <w:tc>
          <w:tcPr>
            <w:tcW w:w="2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2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预算执行率得分</w:t>
            </w:r>
          </w:p>
        </w:tc>
        <w:tc>
          <w:tcPr>
            <w:tcW w:w="101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69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减分项</w:t>
            </w:r>
          </w:p>
        </w:tc>
        <w:tc>
          <w:tcPr>
            <w:tcW w:w="423" w:type="dxa"/>
            <w:tcBorders>
              <w:top w:val="single" w:color="232323" w:sz="4" w:space="0"/>
              <w:bottom w:val="single" w:color="232323" w:sz="4" w:space="0"/>
            </w:tcBorders>
            <w:shd w:val="clear"/>
            <w:vAlign w:val="bottom"/>
          </w:tcPr>
          <w:p>
            <w:pPr>
              <w:rPr>
                <w:rFonts w:hint="default" w:ascii="Times New Roman" w:hAnsi="Times New Roman" w:cs="Times New Roman"/>
                <w:i w:val="0"/>
                <w:color w:val="000000"/>
                <w:sz w:val="20"/>
                <w:szCs w:val="20"/>
                <w:u w:val="none"/>
              </w:rPr>
            </w:pPr>
          </w:p>
        </w:tc>
        <w:tc>
          <w:tcPr>
            <w:tcW w:w="449" w:type="dxa"/>
            <w:tcBorders>
              <w:top w:val="single" w:color="232323" w:sz="4" w:space="0"/>
              <w:bottom w:val="single" w:color="232323" w:sz="4" w:space="0"/>
            </w:tcBorders>
            <w:shd w:val="clear"/>
            <w:vAlign w:val="bottom"/>
          </w:tcPr>
          <w:p>
            <w:pPr>
              <w:rPr>
                <w:rFonts w:hint="default" w:ascii="Times New Roman" w:hAnsi="Times New Roman" w:cs="Times New Roman"/>
                <w:i w:val="0"/>
                <w:color w:val="000000"/>
                <w:sz w:val="20"/>
                <w:szCs w:val="20"/>
                <w:u w:val="none"/>
              </w:rPr>
            </w:pPr>
          </w:p>
        </w:tc>
        <w:tc>
          <w:tcPr>
            <w:tcW w:w="1334"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绩效自评总得分</w:t>
            </w:r>
          </w:p>
        </w:tc>
        <w:tc>
          <w:tcPr>
            <w:tcW w:w="678" w:type="dxa"/>
            <w:tcBorders>
              <w:top w:val="single" w:color="232323" w:sz="4" w:space="0"/>
              <w:bottom w:val="single" w:color="232323" w:sz="4" w:space="0"/>
              <w:right w:val="single" w:color="232323" w:sz="4"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98.8</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ascii="宋体" w:hAnsi="宋体"/>
          <w:b/>
          <w:sz w:val="36"/>
          <w:szCs w:val="36"/>
        </w:rPr>
      </w:pPr>
      <w:bookmarkStart w:id="0" w:name="_GoBack"/>
      <w:bookmarkEnd w:id="0"/>
      <w:r>
        <w:rPr>
          <w:rFonts w:hint="eastAsia" w:ascii="仿宋_GB2312" w:hAnsi="宋体" w:eastAsia="仿宋_GB2312" w:cs="仿宋_GB2312"/>
          <w:color w:val="auto"/>
          <w:kern w:val="2"/>
          <w:sz w:val="32"/>
          <w:szCs w:val="32"/>
          <w:highlight w:val="none"/>
          <w:shd w:val="clear" w:color="auto" w:fill="auto"/>
          <w:lang w:val="en-US" w:eastAsia="zh-CN" w:bidi="ar"/>
        </w:rPr>
        <w:drawing>
          <wp:anchor distT="0" distB="0" distL="114300" distR="114300" simplePos="0" relativeHeight="251660288" behindDoc="0" locked="0" layoutInCell="1" allowOverlap="1">
            <wp:simplePos x="0" y="0"/>
            <wp:positionH relativeFrom="column">
              <wp:posOffset>-379095</wp:posOffset>
            </wp:positionH>
            <wp:positionV relativeFrom="paragraph">
              <wp:posOffset>1703070</wp:posOffset>
            </wp:positionV>
            <wp:extent cx="6411595" cy="6794500"/>
            <wp:effectExtent l="0" t="0" r="8255" b="6350"/>
            <wp:wrapNone/>
            <wp:docPr id="3" name="图片 4" descr="整体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整体自评表模版_00"/>
                    <pic:cNvPicPr>
                      <a:picLocks noChangeAspect="1"/>
                    </pic:cNvPicPr>
                  </pic:nvPicPr>
                  <pic:blipFill>
                    <a:blip r:embed="rId6"/>
                    <a:srcRect t="8415" b="16714"/>
                    <a:stretch>
                      <a:fillRect/>
                    </a:stretch>
                  </pic:blipFill>
                  <pic:spPr>
                    <a:xfrm>
                      <a:off x="0" y="0"/>
                      <a:ext cx="6411595" cy="6794500"/>
                    </a:xfrm>
                    <a:prstGeom prst="rect">
                      <a:avLst/>
                    </a:prstGeom>
                    <a:noFill/>
                    <a:ln w="9525">
                      <a:noFill/>
                    </a:ln>
                  </pic:spPr>
                </pic:pic>
              </a:graphicData>
            </a:graphic>
          </wp:anchor>
        </w:drawing>
      </w:r>
      <w:r>
        <w:rPr>
          <w:rFonts w:hint="eastAsia" w:ascii="仿宋_GB2312" w:hAnsi="宋体" w:eastAsia="仿宋_GB2312" w:cs="仿宋_GB2312"/>
          <w:b/>
          <w:bCs/>
          <w:color w:val="auto"/>
          <w:kern w:val="2"/>
          <w:sz w:val="32"/>
          <w:szCs w:val="32"/>
          <w:highlight w:val="none"/>
          <w:shd w:val="clear" w:color="auto" w:fill="auto"/>
          <w:lang w:val="en-US" w:eastAsia="zh-CN" w:bidi="ar"/>
        </w:rPr>
        <w:br w:type="page"/>
      </w:r>
      <w:r>
        <w:rPr>
          <w:rFonts w:ascii="宋体" w:hAnsi="宋体"/>
          <w:b/>
          <w:sz w:val="36"/>
          <w:szCs w:val="36"/>
        </w:rPr>
        <w:drawing>
          <wp:anchor distT="0" distB="0" distL="114300" distR="114300" simplePos="0" relativeHeight="251659264" behindDoc="0" locked="0" layoutInCell="1" allowOverlap="1">
            <wp:simplePos x="0" y="0"/>
            <wp:positionH relativeFrom="page">
              <wp:posOffset>1118870</wp:posOffset>
            </wp:positionH>
            <wp:positionV relativeFrom="page">
              <wp:posOffset>419100</wp:posOffset>
            </wp:positionV>
            <wp:extent cx="5757545" cy="8148955"/>
            <wp:effectExtent l="0" t="0" r="14605" b="4445"/>
            <wp:wrapNone/>
            <wp:docPr id="2" name="图片 3" descr="项目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项目自评表模版_00"/>
                    <pic:cNvPicPr>
                      <a:picLocks noChangeAspect="1"/>
                    </pic:cNvPicPr>
                  </pic:nvPicPr>
                  <pic:blipFill>
                    <a:blip r:embed="rId7"/>
                    <a:stretch>
                      <a:fillRect/>
                    </a:stretch>
                  </pic:blipFill>
                  <pic:spPr>
                    <a:xfrm>
                      <a:off x="0" y="0"/>
                      <a:ext cx="5757545" cy="8148955"/>
                    </a:xfrm>
                    <a:prstGeom prst="rect">
                      <a:avLst/>
                    </a:prstGeom>
                    <a:noFill/>
                    <a:ln w="9525">
                      <a:noFill/>
                    </a:ln>
                  </pic:spPr>
                </pic:pic>
              </a:graphicData>
            </a:graphic>
          </wp:anchor>
        </w:drawing>
      </w:r>
      <w:r>
        <w:rPr>
          <w:rFonts w:hint="eastAsia" w:ascii="仿宋_GB2312" w:hAnsi="宋体" w:eastAsia="仿宋_GB2312" w:cs="仿宋_GB2312"/>
          <w:color w:val="auto"/>
          <w:kern w:val="2"/>
          <w:sz w:val="32"/>
          <w:szCs w:val="32"/>
          <w:highlight w:val="none"/>
          <w:shd w:val="clear" w:color="auto" w:fill="auto"/>
          <w:lang w:val="en-US" w:eastAsia="zh-CN" w:bidi="ar"/>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7.</w:t>
      </w:r>
      <w:r>
        <w:rPr>
          <w:rFonts w:hint="eastAsia" w:ascii="仿宋_GB2312" w:eastAsia="仿宋_GB2312"/>
          <w:b/>
          <w:sz w:val="32"/>
          <w:szCs w:val="32"/>
          <w:lang w:val="en-US" w:eastAsia="zh-CN"/>
        </w:rPr>
        <w:t>使用非财政拨款结余</w:t>
      </w:r>
      <w:r>
        <w:rPr>
          <w:rFonts w:hint="eastAsia" w:ascii="仿宋_GB2312" w:eastAsia="仿宋_GB2312"/>
          <w:b/>
          <w:sz w:val="32"/>
          <w:szCs w:val="32"/>
        </w:rPr>
        <w:t>：</w:t>
      </w:r>
      <w:r>
        <w:rPr>
          <w:rFonts w:hint="eastAsia" w:ascii="仿宋_GB2312" w:eastAsia="仿宋_GB2312"/>
          <w:sz w:val="32"/>
          <w:szCs w:val="32"/>
        </w:rPr>
        <w:t>指事业单位</w:t>
      </w:r>
      <w:r>
        <w:rPr>
          <w:rFonts w:hint="eastAsia" w:ascii="仿宋_GB2312" w:eastAsia="仿宋_GB2312"/>
          <w:sz w:val="32"/>
          <w:szCs w:val="32"/>
          <w:lang w:val="en-US" w:eastAsia="zh-CN"/>
        </w:rPr>
        <w:t>按照预算管理要求使用非财政拨款结余弥补收支差额的金额</w:t>
      </w:r>
      <w:r>
        <w:rPr>
          <w:rFonts w:hint="eastAsia" w:ascii="仿宋_GB2312" w:eastAsia="仿宋_GB2312"/>
          <w:sz w:val="32"/>
          <w:szCs w:val="32"/>
        </w:rPr>
        <w:t>。</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w:t>
      </w:r>
      <w:r>
        <w:rPr>
          <w:rFonts w:hint="eastAsia" w:ascii="仿宋_GB2312" w:eastAsia="仿宋_GB2312"/>
          <w:sz w:val="32"/>
          <w:szCs w:val="32"/>
          <w:lang w:val="en-US" w:eastAsia="zh-CN"/>
        </w:rPr>
        <w:t>一般公共预算</w:t>
      </w:r>
      <w:r>
        <w:rPr>
          <w:rFonts w:hint="eastAsia" w:ascii="仿宋_GB2312" w:eastAsia="仿宋_GB2312"/>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15.机关运行经费：</w:t>
      </w:r>
      <w:r>
        <w:rPr>
          <w:rFonts w:hint="eastAsia" w:ascii="仿宋_GB2312" w:eastAsia="仿宋_GB2312"/>
          <w:sz w:val="32"/>
          <w:szCs w:val="32"/>
          <w:lang w:val="en-US" w:eastAsia="zh-CN"/>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ind w:firstLine="640" w:firstLineChars="200"/>
        <w:rPr>
          <w:rFonts w:hint="eastAsia" w:ascii="仿宋_GB2312" w:eastAsia="仿宋_GB2312"/>
          <w:b/>
          <w:sz w:val="32"/>
          <w:szCs w:val="32"/>
        </w:rPr>
      </w:pPr>
      <w:r>
        <w:rPr>
          <w:rFonts w:hint="eastAsia" w:ascii="仿宋_GB2312" w:eastAsia="仿宋_GB2312"/>
          <w:i/>
          <w:sz w:val="32"/>
          <w:szCs w:val="32"/>
          <w:u w:val="single"/>
        </w:rPr>
        <w:t>（部门决算涉及的支出功能分类全部项级科目，逐一解释）……</w:t>
      </w:r>
    </w:p>
    <w:p>
      <w:pPr>
        <w:spacing w:line="540" w:lineRule="exact"/>
        <w:rPr>
          <w:sz w:val="32"/>
          <w:szCs w:val="32"/>
        </w:rPr>
        <w:sectPr>
          <w:footerReference r:id="rId3" w:type="default"/>
          <w:footerReference r:id="rId4" w:type="even"/>
          <w:pgSz w:w="11906" w:h="16838"/>
          <w:pgMar w:top="1701" w:right="1417" w:bottom="1701" w:left="1417" w:header="851" w:footer="992" w:gutter="0"/>
          <w:cols w:space="720" w:num="1"/>
          <w:docGrid w:type="lines" w:linePitch="312" w:charSpace="0"/>
        </w:sectPr>
      </w:pPr>
    </w:p>
    <w:p>
      <w:pPr>
        <w:spacing w:line="540" w:lineRule="exact"/>
        <w:ind w:firstLine="640" w:firstLineChars="200"/>
        <w:jc w:val="left"/>
        <w:rPr>
          <w:rFonts w:hint="eastAsia" w:ascii="仿宋_GB2312" w:eastAsia="仿宋_GB2312"/>
          <w:i/>
          <w:sz w:val="32"/>
          <w:szCs w:val="32"/>
          <w:u w:val="single"/>
        </w:rPr>
      </w:pPr>
    </w:p>
    <w:p>
      <w:pPr>
        <w:spacing w:line="540" w:lineRule="exact"/>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仿宋_GB2312" w:eastAsia="仿宋_GB2312"/>
          <w:sz w:val="52"/>
          <w:szCs w:val="52"/>
        </w:rPr>
      </w:pPr>
      <w:r>
        <w:rPr>
          <w:rFonts w:hint="eastAsia" w:ascii="宋体" w:hAnsi="宋体"/>
          <w:b/>
          <w:sz w:val="52"/>
          <w:szCs w:val="52"/>
        </w:rPr>
        <w:t xml:space="preserve">第四部分 </w:t>
      </w:r>
      <w:r>
        <w:rPr>
          <w:rFonts w:hint="eastAsia" w:ascii="宋体" w:hAnsi="宋体"/>
          <w:b/>
          <w:sz w:val="52"/>
          <w:szCs w:val="52"/>
          <w:lang w:eastAsia="zh-CN"/>
        </w:rPr>
        <w:t>2021</w:t>
      </w:r>
      <w:r>
        <w:rPr>
          <w:rFonts w:hint="eastAsia" w:ascii="宋体" w:hAnsi="宋体"/>
          <w:b/>
          <w:sz w:val="52"/>
          <w:szCs w:val="52"/>
        </w:rPr>
        <w:t>年度部门决算表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450"/>
    <w:multiLevelType w:val="singleLevel"/>
    <w:tmpl w:val="03893450"/>
    <w:lvl w:ilvl="0" w:tentative="0">
      <w:start w:val="1"/>
      <w:numFmt w:val="chineseCounting"/>
      <w:suff w:val="nothing"/>
      <w:lvlText w:val="%1、"/>
      <w:lvlJc w:val="left"/>
      <w:rPr>
        <w:rFonts w:hint="eastAsia"/>
      </w:rPr>
    </w:lvl>
  </w:abstractNum>
  <w:abstractNum w:abstractNumId="1">
    <w:nsid w:val="698938F3"/>
    <w:multiLevelType w:val="singleLevel"/>
    <w:tmpl w:val="698938F3"/>
    <w:lvl w:ilvl="0" w:tentative="0">
      <w:start w:val="1"/>
      <w:numFmt w:val="decimal"/>
      <w:lvlText w:val="%1."/>
      <w:lvlJc w:val="left"/>
      <w:pPr>
        <w:tabs>
          <w:tab w:val="left" w:pos="312"/>
        </w:tabs>
      </w:p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63674"/>
    <w:rsid w:val="01C8277A"/>
    <w:rsid w:val="0A0B6618"/>
    <w:rsid w:val="0A373FA5"/>
    <w:rsid w:val="146B5CB9"/>
    <w:rsid w:val="1F6D5686"/>
    <w:rsid w:val="35557A59"/>
    <w:rsid w:val="38DA0421"/>
    <w:rsid w:val="3ABA4CEF"/>
    <w:rsid w:val="49F414E8"/>
    <w:rsid w:val="4B705B98"/>
    <w:rsid w:val="4EF11234"/>
    <w:rsid w:val="5B163674"/>
    <w:rsid w:val="5CDD6CF3"/>
    <w:rsid w:val="5FA462B4"/>
    <w:rsid w:val="5FD81D9A"/>
    <w:rsid w:val="74D56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qFormat/>
    <w:uiPriority w:val="0"/>
    <w:pPr>
      <w:spacing w:before="100" w:beforeAutospacing="1" w:after="100" w:afterAutospacing="1"/>
    </w:pPr>
    <w:rPr>
      <w:rFonts w:ascii="宋体" w:hAnsi="宋体" w:eastAsia="宋体" w:cs="Times New Roman"/>
      <w:sz w:val="24"/>
      <w:lang w:val="en-US" w:eastAsia="zh-CN" w:bidi="ar-SA"/>
    </w:rPr>
  </w:style>
  <w:style w:type="character" w:styleId="5">
    <w:name w:val="page number"/>
    <w:basedOn w:val="4"/>
    <w:qFormat/>
    <w:uiPriority w:val="0"/>
  </w:style>
  <w:style w:type="character" w:customStyle="1" w:styleId="7">
    <w:name w:val="font01"/>
    <w:basedOn w:val="4"/>
    <w:uiPriority w:val="0"/>
    <w:rPr>
      <w:rFonts w:hint="eastAsia" w:ascii="宋体" w:hAnsi="宋体" w:eastAsia="宋体" w:cs="宋体"/>
      <w:b/>
      <w:color w:val="000000"/>
      <w:sz w:val="22"/>
      <w:szCs w:val="22"/>
      <w:u w:val="none"/>
    </w:rPr>
  </w:style>
  <w:style w:type="character" w:customStyle="1" w:styleId="8">
    <w:name w:val="font71"/>
    <w:basedOn w:val="4"/>
    <w:uiPriority w:val="0"/>
    <w:rPr>
      <w:rFonts w:hint="eastAsia" w:ascii="宋体" w:hAnsi="宋体" w:eastAsia="宋体" w:cs="宋体"/>
      <w:color w:val="000000"/>
      <w:sz w:val="20"/>
      <w:szCs w:val="20"/>
      <w:u w:val="none"/>
    </w:rPr>
  </w:style>
  <w:style w:type="character" w:customStyle="1" w:styleId="9">
    <w:name w:val="font81"/>
    <w:basedOn w:val="4"/>
    <w:uiPriority w:val="0"/>
    <w:rPr>
      <w:rFonts w:hint="eastAsia" w:ascii="宋体" w:hAnsi="宋体" w:eastAsia="宋体" w:cs="宋体"/>
      <w:color w:val="000000"/>
      <w:sz w:val="20"/>
      <w:szCs w:val="20"/>
      <w:u w:val="none"/>
    </w:rPr>
  </w:style>
  <w:style w:type="character" w:customStyle="1" w:styleId="10">
    <w:name w:val="font41"/>
    <w:basedOn w:val="4"/>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2022-08-12T03:09:00Z</dcterms:created>
  <dc:creator>天空</dc:creator>
  <cp:lastModifiedBy>天空</cp:lastModifiedBy>
  <cp:lastPrinted>2022-08-23T03:22:00Z</cp:lastPrinted>
  <dcterms:modified xsi:type="dcterms:W3CDTF">2022-08-24T07:19:06Z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