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ind w:left="-1" w:leftChars="0" w:firstLine="0" w:firstLineChars="0"/>
        <w:jc w:val="center"/>
        <w:rPr>
          <w:rFonts w:ascii="仿宋_GB2312" w:hAnsi="宋体" w:eastAsia="仿宋_GB2312" w:cs="黑体"/>
          <w:b/>
          <w:bCs w:val="0"/>
          <w:spacing w:val="20"/>
          <w:w w:val="105"/>
          <w:sz w:val="36"/>
          <w:szCs w:val="36"/>
        </w:rPr>
      </w:pPr>
      <w:r>
        <w:rPr>
          <w:rFonts w:hint="eastAsia" w:ascii="仿宋_GB2312" w:hAnsi="宋体" w:eastAsia="仿宋_GB2312" w:cs="黑体"/>
          <w:b/>
          <w:bCs w:val="0"/>
          <w:spacing w:val="20"/>
          <w:w w:val="105"/>
          <w:sz w:val="36"/>
          <w:szCs w:val="36"/>
          <w:lang w:val="en-US" w:eastAsia="zh-CN"/>
        </w:rPr>
        <w:t>2022年盘锦市</w:t>
      </w:r>
      <w:r>
        <w:rPr>
          <w:rFonts w:hint="eastAsia" w:ascii="仿宋" w:hAnsi="仿宋" w:eastAsia="仿宋" w:cs="仿宋"/>
          <w:b/>
          <w:bCs w:val="0"/>
          <w:sz w:val="36"/>
          <w:szCs w:val="36"/>
          <w:lang w:val="en-US" w:eastAsia="zh-CN"/>
        </w:rPr>
        <w:t>地板</w:t>
      </w:r>
      <w:r>
        <w:rPr>
          <w:rFonts w:hint="eastAsia" w:ascii="仿宋_GB2312" w:hAnsi="宋体" w:eastAsia="仿宋_GB2312" w:cs="黑体"/>
          <w:b/>
          <w:bCs w:val="0"/>
          <w:spacing w:val="20"/>
          <w:w w:val="105"/>
          <w:sz w:val="36"/>
          <w:szCs w:val="36"/>
        </w:rPr>
        <w:t>产品质量监督抽查实施细则</w:t>
      </w:r>
    </w:p>
    <w:p>
      <w:pPr>
        <w:jc w:val="center"/>
        <w:rPr>
          <w:rFonts w:ascii="仿宋_GB2312" w:hAnsi="宋体" w:eastAsia="仿宋_GB2312" w:cs="黑体"/>
          <w:bCs/>
          <w:spacing w:val="20"/>
          <w:w w:val="105"/>
          <w:sz w:val="36"/>
          <w:szCs w:val="36"/>
        </w:rPr>
      </w:pP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1适用</w:t>
      </w:r>
      <w:r>
        <w:rPr>
          <w:rFonts w:hint="eastAsia" w:ascii="仿宋_GB2312" w:hAnsi="宋体" w:eastAsia="仿宋_GB2312"/>
          <w:sz w:val="28"/>
          <w:szCs w:val="28"/>
        </w:rPr>
        <w:t>范围</w:t>
      </w:r>
    </w:p>
    <w:p>
      <w:pPr>
        <w:pStyle w:val="16"/>
        <w:ind w:left="-1" w:leftChars="0" w:firstLine="0" w:firstLineChars="0"/>
        <w:jc w:val="center"/>
        <w:rPr>
          <w:rFonts w:ascii="仿宋_GB2312" w:hAnsi="宋体" w:eastAsia="仿宋_GB2312"/>
          <w:sz w:val="28"/>
          <w:szCs w:val="28"/>
        </w:rPr>
      </w:pP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本细则适用于</w:t>
      </w:r>
      <w:r>
        <w:rPr>
          <w:rFonts w:hint="eastAsia" w:ascii="仿宋_GB2312" w:hAnsi="宋体" w:eastAsia="仿宋_GB2312"/>
          <w:sz w:val="28"/>
          <w:szCs w:val="28"/>
          <w:lang w:eastAsia="zh-CN"/>
        </w:rPr>
        <w:t>盘锦市</w:t>
      </w:r>
      <w:r>
        <w:rPr>
          <w:rFonts w:hint="eastAsia" w:ascii="仿宋" w:hAnsi="仿宋" w:eastAsia="仿宋" w:cs="仿宋"/>
          <w:sz w:val="28"/>
          <w:szCs w:val="28"/>
          <w:lang w:val="en-US" w:eastAsia="zh-CN"/>
        </w:rPr>
        <w:t>地板</w:t>
      </w:r>
      <w:r>
        <w:rPr>
          <w:rFonts w:hint="eastAsia" w:ascii="仿宋_GB2312" w:hAnsi="宋体" w:eastAsia="仿宋_GB2312"/>
          <w:sz w:val="28"/>
          <w:szCs w:val="28"/>
        </w:rPr>
        <w:t>产品质量监督抽查，针对特殊情况的专项抽查、</w:t>
      </w:r>
      <w:r>
        <w:rPr>
          <w:rFonts w:hint="eastAsia" w:ascii="仿宋_GB2312" w:hAnsi="宋体" w:eastAsia="仿宋_GB2312"/>
          <w:sz w:val="28"/>
          <w:szCs w:val="28"/>
          <w:lang w:eastAsia="zh-CN"/>
        </w:rPr>
        <w:t>盘锦市</w:t>
      </w:r>
      <w:r>
        <w:rPr>
          <w:rFonts w:hint="eastAsia" w:ascii="仿宋_GB2312" w:hAnsi="宋体" w:eastAsia="仿宋_GB2312"/>
          <w:sz w:val="28"/>
          <w:szCs w:val="28"/>
        </w:rPr>
        <w:t>内县级以上地方市场监督管理部门组织的地方监督抽查可参照执行。</w:t>
      </w:r>
      <w:r>
        <w:rPr>
          <w:rFonts w:hint="eastAsia" w:ascii="仿宋_GB2312" w:eastAsia="仿宋_GB2312"/>
          <w:sz w:val="28"/>
          <w:szCs w:val="28"/>
        </w:rPr>
        <w:t>本细则内容包括产品分类、术语和定义、生产企业规模划分、检验依据、抽样、检验要求、判定原则、异议处理。</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2</w:t>
      </w:r>
      <w:r>
        <w:rPr>
          <w:rFonts w:hint="eastAsia" w:ascii="仿宋_GB2312" w:hAnsi="宋体" w:eastAsia="仿宋_GB2312"/>
          <w:sz w:val="28"/>
          <w:szCs w:val="28"/>
        </w:rPr>
        <w:t>产品分类</w:t>
      </w:r>
    </w:p>
    <w:p>
      <w:pPr>
        <w:adjustRightInd w:val="0"/>
        <w:snapToGrid w:val="0"/>
        <w:spacing w:line="594" w:lineRule="exact"/>
        <w:ind w:firstLine="560" w:firstLineChars="200"/>
        <w:rPr>
          <w:rFonts w:ascii="仿宋_GB2312" w:hAnsi="宋体" w:eastAsia="仿宋_GB2312"/>
          <w:sz w:val="28"/>
          <w:szCs w:val="28"/>
        </w:rPr>
      </w:pPr>
      <w:r>
        <w:rPr>
          <w:rFonts w:hint="eastAsia" w:ascii="仿宋_GB2312" w:hAnsi="宋体" w:eastAsia="仿宋_GB2312"/>
          <w:sz w:val="28"/>
          <w:szCs w:val="28"/>
        </w:rPr>
        <w:t>2.1产品分类及代码见表1。</w:t>
      </w:r>
    </w:p>
    <w:p>
      <w:pPr>
        <w:adjustRightInd w:val="0"/>
        <w:snapToGrid w:val="0"/>
        <w:spacing w:line="594" w:lineRule="exact"/>
        <w:jc w:val="center"/>
        <w:rPr>
          <w:rFonts w:ascii="仿宋_GB2312" w:hAnsi="宋体" w:eastAsia="仿宋_GB2312"/>
          <w:sz w:val="32"/>
          <w:szCs w:val="32"/>
        </w:rPr>
      </w:pPr>
      <w:r>
        <w:rPr>
          <w:rFonts w:hint="eastAsia" w:ascii="宋体" w:hAnsi="宋体" w:cs="宋体"/>
          <w:color w:val="000000" w:themeColor="text1"/>
          <w:szCs w:val="21"/>
          <w14:textFill>
            <w14:solidFill>
              <w14:schemeClr w14:val="tx1"/>
            </w14:solidFill>
          </w14:textFill>
        </w:rPr>
        <w:t>表1  产品分类及代码</w:t>
      </w:r>
    </w:p>
    <w:tbl>
      <w:tblPr>
        <w:tblStyle w:val="8"/>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2163"/>
        <w:gridCol w:w="2373"/>
        <w:gridCol w:w="2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1"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产品分类</w:t>
            </w:r>
          </w:p>
        </w:tc>
        <w:tc>
          <w:tcPr>
            <w:tcW w:w="2163"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一级分类</w:t>
            </w:r>
          </w:p>
        </w:tc>
        <w:tc>
          <w:tcPr>
            <w:tcW w:w="2373"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二级分类</w:t>
            </w:r>
          </w:p>
        </w:tc>
        <w:tc>
          <w:tcPr>
            <w:tcW w:w="2702" w:type="dxa"/>
            <w:vAlign w:val="center"/>
          </w:tcPr>
          <w:p>
            <w:pPr>
              <w:snapToGrid w:val="0"/>
              <w:jc w:val="center"/>
              <w:rPr>
                <w:rFonts w:hint="eastAsia" w:ascii="仿宋" w:hAnsi="仿宋" w:eastAsia="仿宋" w:cs="仿宋"/>
                <w:szCs w:val="21"/>
              </w:rPr>
            </w:pPr>
            <w:r>
              <w:rPr>
                <w:rFonts w:hint="eastAsia" w:ascii="仿宋" w:hAnsi="仿宋" w:eastAsia="仿宋" w:cs="仿宋"/>
                <w:sz w:val="24"/>
                <w:szCs w:val="24"/>
              </w:rPr>
              <w:t>产品编码</w:t>
            </w:r>
            <w:r>
              <w:rPr>
                <w:rFonts w:hint="eastAsia" w:ascii="仿宋" w:hAnsi="仿宋" w:eastAsia="仿宋" w:cs="仿宋"/>
                <w:sz w:val="24"/>
                <w:szCs w:val="24"/>
                <w:lang w:eastAsia="zh-CN"/>
              </w:rPr>
              <w:t>及名称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1"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分类代码</w:t>
            </w:r>
          </w:p>
        </w:tc>
        <w:tc>
          <w:tcPr>
            <w:tcW w:w="2163" w:type="dxa"/>
            <w:vAlign w:val="center"/>
          </w:tcPr>
          <w:p>
            <w:pPr>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04</w:t>
            </w:r>
          </w:p>
        </w:tc>
        <w:tc>
          <w:tcPr>
            <w:tcW w:w="2373" w:type="dxa"/>
            <w:vAlign w:val="center"/>
          </w:tcPr>
          <w:p>
            <w:pPr>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01</w:t>
            </w:r>
          </w:p>
        </w:tc>
        <w:tc>
          <w:tcPr>
            <w:tcW w:w="2702" w:type="dxa"/>
            <w:vAlign w:val="center"/>
          </w:tcPr>
          <w:p>
            <w:pPr>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1"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分类名称</w:t>
            </w:r>
          </w:p>
        </w:tc>
        <w:tc>
          <w:tcPr>
            <w:tcW w:w="2163"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建筑和装饰装修材料</w:t>
            </w:r>
          </w:p>
        </w:tc>
        <w:tc>
          <w:tcPr>
            <w:tcW w:w="2373" w:type="dxa"/>
            <w:vAlign w:val="center"/>
          </w:tcPr>
          <w:p>
            <w:pPr>
              <w:snapToGrid w:val="0"/>
              <w:jc w:val="center"/>
              <w:rPr>
                <w:rFonts w:hint="eastAsia" w:ascii="仿宋" w:hAnsi="仿宋" w:eastAsia="仿宋" w:cs="仿宋"/>
                <w:szCs w:val="21"/>
                <w:lang w:eastAsia="zh-CN"/>
              </w:rPr>
            </w:pPr>
            <w:r>
              <w:rPr>
                <w:rFonts w:hint="eastAsia" w:ascii="仿宋" w:hAnsi="仿宋" w:eastAsia="仿宋" w:cs="仿宋"/>
                <w:szCs w:val="21"/>
                <w:lang w:eastAsia="zh-CN"/>
              </w:rPr>
              <w:t>人造板</w:t>
            </w:r>
          </w:p>
        </w:tc>
        <w:tc>
          <w:tcPr>
            <w:tcW w:w="2702"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浸渍纸层压木质地板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1"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分类代码</w:t>
            </w:r>
          </w:p>
        </w:tc>
        <w:tc>
          <w:tcPr>
            <w:tcW w:w="2163" w:type="dxa"/>
            <w:vAlign w:val="center"/>
          </w:tcPr>
          <w:p>
            <w:pPr>
              <w:snapToGrid w:val="0"/>
              <w:jc w:val="center"/>
              <w:rPr>
                <w:rFonts w:hint="eastAsia" w:ascii="仿宋" w:hAnsi="仿宋" w:eastAsia="仿宋" w:cs="仿宋"/>
                <w:szCs w:val="21"/>
              </w:rPr>
            </w:pPr>
            <w:r>
              <w:rPr>
                <w:rFonts w:hint="eastAsia" w:ascii="仿宋" w:hAnsi="仿宋" w:eastAsia="仿宋" w:cs="仿宋"/>
                <w:szCs w:val="21"/>
                <w:lang w:val="en-US" w:eastAsia="zh-CN"/>
              </w:rPr>
              <w:t>04</w:t>
            </w:r>
          </w:p>
        </w:tc>
        <w:tc>
          <w:tcPr>
            <w:tcW w:w="2373" w:type="dxa"/>
            <w:vAlign w:val="center"/>
          </w:tcPr>
          <w:p>
            <w:pPr>
              <w:snapToGrid w:val="0"/>
              <w:jc w:val="center"/>
              <w:rPr>
                <w:rFonts w:hint="eastAsia" w:ascii="仿宋" w:hAnsi="仿宋" w:eastAsia="仿宋" w:cs="仿宋"/>
                <w:szCs w:val="21"/>
                <w:lang w:eastAsia="zh-CN"/>
              </w:rPr>
            </w:pPr>
            <w:r>
              <w:rPr>
                <w:rFonts w:hint="eastAsia" w:ascii="仿宋" w:hAnsi="仿宋" w:eastAsia="仿宋" w:cs="仿宋"/>
                <w:szCs w:val="21"/>
                <w:lang w:val="en-US" w:eastAsia="zh-CN"/>
              </w:rPr>
              <w:t>01</w:t>
            </w:r>
          </w:p>
        </w:tc>
        <w:tc>
          <w:tcPr>
            <w:tcW w:w="2702" w:type="dxa"/>
            <w:vAlign w:val="center"/>
          </w:tcPr>
          <w:p>
            <w:pPr>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1"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分类名称</w:t>
            </w:r>
          </w:p>
        </w:tc>
        <w:tc>
          <w:tcPr>
            <w:tcW w:w="2163"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建筑和装饰装修材料</w:t>
            </w:r>
          </w:p>
        </w:tc>
        <w:tc>
          <w:tcPr>
            <w:tcW w:w="2373" w:type="dxa"/>
            <w:vAlign w:val="center"/>
          </w:tcPr>
          <w:p>
            <w:pPr>
              <w:snapToGrid w:val="0"/>
              <w:jc w:val="center"/>
              <w:rPr>
                <w:rFonts w:hint="eastAsia" w:ascii="仿宋" w:hAnsi="仿宋" w:eastAsia="仿宋" w:cs="仿宋"/>
                <w:szCs w:val="21"/>
                <w:lang w:eastAsia="zh-CN"/>
              </w:rPr>
            </w:pPr>
            <w:r>
              <w:rPr>
                <w:rFonts w:hint="eastAsia" w:ascii="仿宋" w:hAnsi="仿宋" w:eastAsia="仿宋" w:cs="仿宋"/>
                <w:szCs w:val="21"/>
                <w:lang w:eastAsia="zh-CN"/>
              </w:rPr>
              <w:t>人造板</w:t>
            </w:r>
          </w:p>
        </w:tc>
        <w:tc>
          <w:tcPr>
            <w:tcW w:w="2702"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实木复合地板</w:t>
            </w:r>
          </w:p>
        </w:tc>
      </w:tr>
    </w:tbl>
    <w:p>
      <w:pPr>
        <w:adjustRightInd w:val="0"/>
        <w:snapToGrid w:val="0"/>
        <w:spacing w:before="156" w:beforeLines="50" w:line="594" w:lineRule="exact"/>
        <w:ind w:firstLine="560" w:firstLineChars="200"/>
        <w:rPr>
          <w:rFonts w:ascii="仿宋_GB2312" w:eastAsia="仿宋_GB2312"/>
          <w:sz w:val="28"/>
          <w:szCs w:val="28"/>
        </w:rPr>
      </w:pPr>
      <w:r>
        <w:rPr>
          <w:rFonts w:hint="eastAsia" w:ascii="仿宋_GB2312" w:eastAsia="仿宋_GB2312"/>
          <w:sz w:val="28"/>
          <w:szCs w:val="28"/>
        </w:rPr>
        <w:t>2.2产品种类</w:t>
      </w:r>
    </w:p>
    <w:p>
      <w:pPr>
        <w:adjustRightInd w:val="0"/>
        <w:snapToGrid w:val="0"/>
        <w:spacing w:line="594"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本细则涉及产品种类：浸渍纸层压木质地板</w:t>
      </w:r>
      <w:r>
        <w:rPr>
          <w:rFonts w:hint="eastAsia" w:ascii="仿宋_GB2312" w:eastAsia="仿宋_GB2312"/>
          <w:sz w:val="28"/>
          <w:szCs w:val="28"/>
          <w:lang w:eastAsia="zh-CN"/>
        </w:rPr>
        <w:t>、实木复合地板、木塑地板。</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3术语和定义</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本细则中未列出的术语和定义同相关引用标准。</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4生产企业规模划分</w:t>
      </w:r>
    </w:p>
    <w:p>
      <w:pPr>
        <w:adjustRightInd w:val="0"/>
        <w:snapToGrid w:val="0"/>
        <w:spacing w:line="594" w:lineRule="exact"/>
        <w:ind w:firstLine="560" w:firstLineChars="200"/>
        <w:rPr>
          <w:shd w:val="clear" w:color="auto" w:fill="FFFFFF"/>
        </w:rPr>
      </w:pPr>
      <w:r>
        <w:rPr>
          <w:rFonts w:hint="eastAsia" w:ascii="仿宋_GB2312" w:eastAsia="仿宋_GB2312"/>
          <w:sz w:val="28"/>
          <w:szCs w:val="28"/>
        </w:rPr>
        <w:t>根据国家统计局印发的相关管理办法，确定生产企业规模。</w:t>
      </w:r>
    </w:p>
    <w:p>
      <w:pPr>
        <w:adjustRightInd w:val="0"/>
        <w:snapToGrid w:val="0"/>
        <w:spacing w:before="156" w:beforeLines="50" w:line="594" w:lineRule="exact"/>
        <w:ind w:firstLine="560" w:firstLineChars="200"/>
        <w:rPr>
          <w:rFonts w:ascii="仿宋_GB2312" w:eastAsia="仿宋_GB2312"/>
          <w:sz w:val="28"/>
          <w:szCs w:val="28"/>
        </w:rPr>
      </w:pPr>
      <w:r>
        <w:rPr>
          <w:rFonts w:hint="eastAsia" w:ascii="仿宋_GB2312" w:eastAsia="仿宋_GB2312"/>
          <w:sz w:val="28"/>
          <w:szCs w:val="28"/>
        </w:rPr>
        <w:t>5检验依据</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凡是注日期的文件，其随后所有的修改单（不包括勘误的内容）或修订版不适用于本细则。凡是不注日期的文件，其最新版本适用于本细则。</w:t>
      </w:r>
    </w:p>
    <w:p>
      <w:pPr>
        <w:widowControl/>
        <w:snapToGrid w:val="0"/>
        <w:spacing w:line="360" w:lineRule="auto"/>
        <w:ind w:firstLine="537" w:firstLineChars="192"/>
        <w:rPr>
          <w:rFonts w:ascii="仿宋_GB2312" w:eastAsia="仿宋_GB2312"/>
          <w:sz w:val="28"/>
          <w:szCs w:val="28"/>
        </w:rPr>
      </w:pPr>
      <w:r>
        <w:rPr>
          <w:rFonts w:hint="eastAsia" w:ascii="仿宋_GB2312" w:eastAsia="仿宋_GB2312"/>
          <w:sz w:val="28"/>
          <w:szCs w:val="28"/>
        </w:rPr>
        <w:t>GB/T 18102-20</w:t>
      </w:r>
      <w:r>
        <w:rPr>
          <w:rFonts w:hint="eastAsia" w:ascii="仿宋_GB2312" w:eastAsia="仿宋_GB2312"/>
          <w:sz w:val="28"/>
          <w:szCs w:val="28"/>
          <w:lang w:val="en-US" w:eastAsia="zh-CN"/>
        </w:rPr>
        <w:t>20</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浸渍纸层压木质地板</w:t>
      </w:r>
    </w:p>
    <w:p>
      <w:pPr>
        <w:snapToGrid w:val="0"/>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GB/T 24507-2020</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浸渍纸层压板饰面多层实木复合地板</w:t>
      </w:r>
    </w:p>
    <w:p>
      <w:pPr>
        <w:widowControl/>
        <w:snapToGrid w:val="0"/>
        <w:spacing w:line="360" w:lineRule="auto"/>
        <w:ind w:firstLine="537" w:firstLineChars="192"/>
        <w:rPr>
          <w:rFonts w:hint="eastAsia" w:ascii="仿宋" w:hAnsi="仿宋" w:eastAsia="仿宋" w:cs="仿宋"/>
          <w:color w:val="000000"/>
          <w:sz w:val="28"/>
          <w:szCs w:val="28"/>
        </w:rPr>
      </w:pPr>
      <w:r>
        <w:rPr>
          <w:rFonts w:hint="eastAsia" w:ascii="仿宋_GB2312" w:eastAsia="仿宋_GB2312"/>
          <w:sz w:val="28"/>
          <w:szCs w:val="28"/>
        </w:rPr>
        <w:t>GB/T 18103-2013    实木复合地板</w:t>
      </w:r>
    </w:p>
    <w:p>
      <w:pPr>
        <w:snapToGrid w:val="0"/>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GB/T 24508-2020 木塑地板</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现行有效的企业标准、团体标准、地方标准及产品明示质量要求相关的法律法规、部门规章和规范。</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6抽样</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6.1抽样型号或规格</w:t>
      </w:r>
    </w:p>
    <w:p>
      <w:pPr>
        <w:spacing w:line="594" w:lineRule="exact"/>
        <w:ind w:firstLine="560" w:firstLineChars="200"/>
        <w:rPr>
          <w:rFonts w:ascii="仿宋_GB2312" w:hAnsi="仿宋" w:eastAsia="仿宋_GB2312"/>
          <w:sz w:val="28"/>
          <w:szCs w:val="28"/>
        </w:rPr>
      </w:pPr>
      <w:r>
        <w:rPr>
          <w:rFonts w:hint="eastAsia" w:ascii="仿宋_GB2312" w:hAnsi="仿宋" w:eastAsia="仿宋_GB2312"/>
          <w:sz w:val="28"/>
          <w:szCs w:val="28"/>
        </w:rPr>
        <w:t>抽取样品应为同一型号规格、同一批次或相近批次、经过企业检验合格的产品。</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6.2抽样基数、抽样数量</w:t>
      </w:r>
    </w:p>
    <w:p>
      <w:pPr>
        <w:adjustRightInd w:val="0"/>
        <w:snapToGrid w:val="0"/>
        <w:spacing w:line="594" w:lineRule="exact"/>
        <w:ind w:firstLine="560" w:firstLineChars="200"/>
        <w:jc w:val="left"/>
        <w:rPr>
          <w:rFonts w:ascii="仿宋_GB2312" w:hAnsi="仿宋" w:eastAsia="仿宋_GB2312"/>
          <w:sz w:val="28"/>
          <w:szCs w:val="28"/>
        </w:rPr>
      </w:pPr>
      <w:r>
        <w:rPr>
          <w:rFonts w:hint="eastAsia" w:ascii="仿宋_GB2312" w:eastAsia="仿宋_GB2312"/>
          <w:sz w:val="28"/>
          <w:szCs w:val="28"/>
        </w:rPr>
        <w:t>6.2.1</w:t>
      </w:r>
      <w:r>
        <w:rPr>
          <w:rFonts w:hint="eastAsia" w:ascii="仿宋_GB2312" w:hAnsi="仿宋" w:eastAsia="仿宋_GB2312"/>
          <w:sz w:val="28"/>
          <w:szCs w:val="28"/>
        </w:rPr>
        <w:t>流通领域抽样在</w:t>
      </w:r>
      <w:r>
        <w:rPr>
          <w:rFonts w:hint="eastAsia" w:ascii="仿宋_GB2312" w:hAnsi="仿宋" w:eastAsia="仿宋_GB2312"/>
          <w:sz w:val="28"/>
          <w:szCs w:val="28"/>
          <w:lang w:eastAsia="zh-CN"/>
        </w:rPr>
        <w:t>盘锦市</w:t>
      </w:r>
      <w:r>
        <w:rPr>
          <w:rFonts w:hint="eastAsia" w:ascii="仿宋_GB2312" w:hAnsi="仿宋" w:eastAsia="仿宋_GB2312"/>
          <w:sz w:val="28"/>
          <w:szCs w:val="28"/>
        </w:rPr>
        <w:t>行政区域内的</w:t>
      </w:r>
      <w:r>
        <w:rPr>
          <w:rFonts w:hint="eastAsia" w:ascii="仿宋_GB2312" w:hAnsi="宋体" w:eastAsia="仿宋_GB2312"/>
          <w:sz w:val="28"/>
          <w:szCs w:val="28"/>
        </w:rPr>
        <w:t>商场、专卖店、大中型超市、日杂批发市场</w:t>
      </w:r>
      <w:r>
        <w:rPr>
          <w:rFonts w:hint="eastAsia" w:ascii="仿宋_GB2312" w:hAnsi="仿宋" w:eastAsia="仿宋_GB2312"/>
          <w:sz w:val="28"/>
          <w:szCs w:val="28"/>
        </w:rPr>
        <w:t>，检验样品付费购买；备用样品由受检单位先行无偿提供。</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6.2.2抽样基数</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抽样基数满足抽样数量即可。</w:t>
      </w:r>
    </w:p>
    <w:p>
      <w:pPr>
        <w:adjustRightInd w:val="0"/>
        <w:snapToGrid w:val="0"/>
        <w:spacing w:line="594" w:lineRule="exact"/>
        <w:ind w:firstLine="560" w:firstLineChars="200"/>
        <w:rPr>
          <w:rFonts w:hint="eastAsia" w:ascii="仿宋_GB2312" w:eastAsia="仿宋_GB2312"/>
          <w:sz w:val="28"/>
          <w:szCs w:val="28"/>
        </w:rPr>
      </w:pPr>
      <w:r>
        <w:rPr>
          <w:rFonts w:hint="eastAsia" w:ascii="仿宋_GB2312" w:eastAsia="仿宋_GB2312"/>
          <w:sz w:val="28"/>
          <w:szCs w:val="28"/>
        </w:rPr>
        <w:t>6.2.3抽样数量</w:t>
      </w:r>
    </w:p>
    <w:p>
      <w:pPr>
        <w:pStyle w:val="2"/>
        <w:jc w:val="center"/>
        <w:rPr>
          <w:rFonts w:hint="eastAsia" w:ascii="仿宋" w:hAnsi="仿宋" w:eastAsia="仿宋" w:cs="仿宋"/>
          <w:sz w:val="24"/>
          <w:szCs w:val="24"/>
          <w:lang w:val="en-US" w:eastAsia="zh-CN"/>
        </w:rPr>
      </w:pPr>
      <w:r>
        <w:rPr>
          <w:rFonts w:hint="eastAsia" w:ascii="仿宋" w:hAnsi="仿宋" w:eastAsia="仿宋" w:cs="仿宋"/>
          <w:color w:val="000000" w:themeColor="text1"/>
          <w:sz w:val="24"/>
          <w:szCs w:val="24"/>
          <w14:textFill>
            <w14:solidFill>
              <w14:schemeClr w14:val="tx1"/>
            </w14:solidFill>
          </w14:textFill>
        </w:rPr>
        <w:t>表</w:t>
      </w:r>
      <w:r>
        <w:rPr>
          <w:rFonts w:hint="eastAsia" w:ascii="仿宋" w:hAnsi="仿宋" w:eastAsia="仿宋" w:cs="仿宋"/>
          <w:color w:val="000000" w:themeColor="text1"/>
          <w:sz w:val="24"/>
          <w:szCs w:val="24"/>
          <w:lang w:val="en-US" w:eastAsia="zh-CN"/>
          <w14:textFill>
            <w14:solidFill>
              <w14:schemeClr w14:val="tx1"/>
            </w14:solidFill>
          </w14:textFill>
        </w:rPr>
        <w:t>2  抽样数量</w:t>
      </w:r>
    </w:p>
    <w:tbl>
      <w:tblPr>
        <w:tblStyle w:val="8"/>
        <w:tblW w:w="48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558"/>
        <w:gridCol w:w="2287"/>
        <w:gridCol w:w="2498"/>
        <w:gridCol w:w="1623"/>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43" w:hRule="atLeast"/>
          <w:jc w:val="center"/>
        </w:trPr>
        <w:tc>
          <w:tcPr>
            <w:tcW w:w="328" w:type="pct"/>
            <w:noWrap w:val="0"/>
            <w:vAlign w:val="center"/>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1343" w:type="pct"/>
            <w:noWrap w:val="0"/>
            <w:vAlign w:val="center"/>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产品种类</w:t>
            </w:r>
          </w:p>
        </w:tc>
        <w:tc>
          <w:tcPr>
            <w:tcW w:w="1467" w:type="pct"/>
            <w:noWrap w:val="0"/>
            <w:vAlign w:val="center"/>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抽样数量</w:t>
            </w:r>
          </w:p>
        </w:tc>
        <w:tc>
          <w:tcPr>
            <w:tcW w:w="953" w:type="pct"/>
            <w:noWrap w:val="0"/>
            <w:vAlign w:val="center"/>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检验样品数量</w:t>
            </w:r>
          </w:p>
        </w:tc>
        <w:tc>
          <w:tcPr>
            <w:tcW w:w="907" w:type="pct"/>
            <w:noWrap w:val="0"/>
            <w:vAlign w:val="center"/>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备用样品数量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6" w:hRule="atLeast"/>
          <w:jc w:val="center"/>
        </w:trPr>
        <w:tc>
          <w:tcPr>
            <w:tcW w:w="328" w:type="pct"/>
            <w:noWrap w:val="0"/>
            <w:vAlign w:val="center"/>
          </w:tcPr>
          <w:p>
            <w:pPr>
              <w:keepNext w:val="0"/>
              <w:keepLines w:val="0"/>
              <w:pageBreakBefore w:val="0"/>
              <w:kinsoku/>
              <w:wordWrap/>
              <w:overflowPunct/>
              <w:topLinePunct w:val="0"/>
              <w:autoSpaceDE/>
              <w:autoSpaceDN/>
              <w:bidi w:val="0"/>
              <w:adjustRightInd/>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1343" w:type="pct"/>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浸渍纸层压木质地板</w:t>
            </w:r>
          </w:p>
        </w:tc>
        <w:tc>
          <w:tcPr>
            <w:tcW w:w="1467" w:type="pct"/>
            <w:noWrap w:val="0"/>
            <w:vAlign w:val="center"/>
          </w:tcPr>
          <w:p>
            <w:pPr>
              <w:keepNext w:val="0"/>
              <w:keepLines w:val="0"/>
              <w:pageBreakBefore w:val="0"/>
              <w:kinsoku/>
              <w:wordWrap/>
              <w:overflowPunct/>
              <w:topLinePunct w:val="0"/>
              <w:autoSpaceDE/>
              <w:autoSpaceDN/>
              <w:bidi w:val="0"/>
              <w:adjustRightInd/>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sz w:val="24"/>
                <w:szCs w:val="24"/>
              </w:rPr>
              <w:t>抽取面积不少于</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.0</w:t>
            </w:r>
            <w:r>
              <w:rPr>
                <w:rFonts w:hint="eastAsia" w:ascii="仿宋" w:hAnsi="仿宋" w:eastAsia="仿宋" w:cs="仿宋"/>
                <w:sz w:val="24"/>
                <w:szCs w:val="24"/>
              </w:rPr>
              <w:t>m</w:t>
            </w:r>
            <w:r>
              <w:rPr>
                <w:rFonts w:hint="eastAsia" w:ascii="仿宋" w:hAnsi="仿宋" w:eastAsia="仿宋" w:cs="仿宋"/>
                <w:sz w:val="24"/>
                <w:szCs w:val="24"/>
                <w:vertAlign w:val="superscript"/>
              </w:rPr>
              <w:t>2</w:t>
            </w:r>
            <w:r>
              <w:rPr>
                <w:rFonts w:hint="eastAsia" w:ascii="仿宋" w:hAnsi="仿宋" w:eastAsia="仿宋" w:cs="仿宋"/>
                <w:sz w:val="24"/>
                <w:szCs w:val="24"/>
              </w:rPr>
              <w:t>的偶数块样品（不足20块时，抽取20块）</w:t>
            </w:r>
          </w:p>
        </w:tc>
        <w:tc>
          <w:tcPr>
            <w:tcW w:w="953" w:type="pct"/>
            <w:noWrap w:val="0"/>
            <w:vAlign w:val="center"/>
          </w:tcPr>
          <w:p>
            <w:pPr>
              <w:keepNext w:val="0"/>
              <w:keepLines w:val="0"/>
              <w:pageBreakBefore w:val="0"/>
              <w:kinsoku/>
              <w:wordWrap/>
              <w:overflowPunct/>
              <w:topLinePunct w:val="0"/>
              <w:autoSpaceDE/>
              <w:autoSpaceDN/>
              <w:bidi w:val="0"/>
              <w:adjustRightInd/>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sz w:val="24"/>
                <w:szCs w:val="24"/>
              </w:rPr>
              <w:t>不少于</w:t>
            </w:r>
            <w:r>
              <w:rPr>
                <w:rFonts w:hint="eastAsia" w:ascii="仿宋" w:hAnsi="仿宋" w:eastAsia="仿宋" w:cs="仿宋"/>
                <w:color w:val="auto"/>
                <w:sz w:val="24"/>
                <w:szCs w:val="24"/>
                <w:lang w:val="en-US" w:eastAsia="zh-CN"/>
              </w:rPr>
              <w:t>1.5</w:t>
            </w:r>
            <w:r>
              <w:rPr>
                <w:rFonts w:hint="eastAsia" w:ascii="仿宋" w:hAnsi="仿宋" w:eastAsia="仿宋" w:cs="仿宋"/>
                <w:sz w:val="24"/>
                <w:szCs w:val="24"/>
              </w:rPr>
              <w:t>m</w:t>
            </w:r>
            <w:r>
              <w:rPr>
                <w:rFonts w:hint="eastAsia" w:ascii="仿宋" w:hAnsi="仿宋" w:eastAsia="仿宋" w:cs="仿宋"/>
                <w:sz w:val="24"/>
                <w:szCs w:val="24"/>
                <w:vertAlign w:val="superscript"/>
              </w:rPr>
              <w:t>2</w:t>
            </w:r>
          </w:p>
        </w:tc>
        <w:tc>
          <w:tcPr>
            <w:tcW w:w="907" w:type="pct"/>
            <w:noWrap w:val="0"/>
            <w:vAlign w:val="center"/>
          </w:tcPr>
          <w:p>
            <w:pPr>
              <w:snapToGrid w:val="0"/>
              <w:jc w:val="center"/>
              <w:rPr>
                <w:rFonts w:hint="eastAsia" w:ascii="仿宋" w:hAnsi="仿宋" w:eastAsia="仿宋" w:cs="仿宋"/>
                <w:color w:val="000000"/>
                <w:sz w:val="24"/>
                <w:szCs w:val="24"/>
              </w:rPr>
            </w:pPr>
            <w:r>
              <w:rPr>
                <w:rFonts w:hint="eastAsia" w:ascii="仿宋" w:hAnsi="仿宋" w:eastAsia="仿宋" w:cs="仿宋"/>
                <w:sz w:val="24"/>
                <w:szCs w:val="24"/>
              </w:rPr>
              <w:t>不少于</w:t>
            </w:r>
            <w:r>
              <w:rPr>
                <w:rFonts w:hint="eastAsia" w:ascii="仿宋" w:hAnsi="仿宋" w:eastAsia="仿宋" w:cs="仿宋"/>
                <w:color w:val="auto"/>
                <w:sz w:val="24"/>
                <w:szCs w:val="24"/>
                <w:lang w:val="en-US" w:eastAsia="zh-CN"/>
              </w:rPr>
              <w:t>1.5</w:t>
            </w:r>
            <w:r>
              <w:rPr>
                <w:rFonts w:hint="eastAsia" w:ascii="仿宋" w:hAnsi="仿宋" w:eastAsia="仿宋" w:cs="仿宋"/>
                <w:sz w:val="24"/>
                <w:szCs w:val="24"/>
              </w:rPr>
              <w:t>m</w:t>
            </w:r>
            <w:r>
              <w:rPr>
                <w:rFonts w:hint="eastAsia" w:ascii="仿宋" w:hAnsi="仿宋" w:eastAsia="仿宋" w:cs="仿宋"/>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6" w:hRule="atLeast"/>
          <w:jc w:val="center"/>
        </w:trPr>
        <w:tc>
          <w:tcPr>
            <w:tcW w:w="328" w:type="pct"/>
            <w:noWrap w:val="0"/>
            <w:vAlign w:val="center"/>
          </w:tcPr>
          <w:p>
            <w:pPr>
              <w:keepNext w:val="0"/>
              <w:keepLines w:val="0"/>
              <w:pageBreakBefore w:val="0"/>
              <w:kinsoku/>
              <w:wordWrap/>
              <w:overflowPunct/>
              <w:topLinePunct w:val="0"/>
              <w:autoSpaceDE/>
              <w:autoSpaceDN/>
              <w:bidi w:val="0"/>
              <w:adjustRightInd/>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1343" w:type="pct"/>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浸渍纸层压板饰面多层实木复合地板</w:t>
            </w:r>
          </w:p>
        </w:tc>
        <w:tc>
          <w:tcPr>
            <w:tcW w:w="1467" w:type="pct"/>
            <w:noWrap w:val="0"/>
            <w:vAlign w:val="center"/>
          </w:tcPr>
          <w:p>
            <w:pPr>
              <w:keepNext w:val="0"/>
              <w:keepLines w:val="0"/>
              <w:pageBreakBefore w:val="0"/>
              <w:kinsoku/>
              <w:wordWrap/>
              <w:overflowPunct/>
              <w:topLinePunct w:val="0"/>
              <w:autoSpaceDE/>
              <w:autoSpaceDN/>
              <w:bidi w:val="0"/>
              <w:adjustRightInd/>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sz w:val="24"/>
                <w:szCs w:val="24"/>
              </w:rPr>
              <w:t>抽取面积不少于3.0m</w:t>
            </w:r>
            <w:r>
              <w:rPr>
                <w:rFonts w:hint="eastAsia" w:ascii="仿宋" w:hAnsi="仿宋" w:eastAsia="仿宋" w:cs="仿宋"/>
                <w:sz w:val="24"/>
                <w:szCs w:val="24"/>
                <w:vertAlign w:val="superscript"/>
              </w:rPr>
              <w:t>2</w:t>
            </w:r>
            <w:r>
              <w:rPr>
                <w:rFonts w:hint="eastAsia" w:ascii="仿宋" w:hAnsi="仿宋" w:eastAsia="仿宋" w:cs="仿宋"/>
                <w:sz w:val="24"/>
                <w:szCs w:val="24"/>
              </w:rPr>
              <w:t>的偶数块样品（不足20块时，抽取20块）</w:t>
            </w:r>
          </w:p>
        </w:tc>
        <w:tc>
          <w:tcPr>
            <w:tcW w:w="953" w:type="pct"/>
            <w:noWrap w:val="0"/>
            <w:vAlign w:val="center"/>
          </w:tcPr>
          <w:p>
            <w:pPr>
              <w:keepNext w:val="0"/>
              <w:keepLines w:val="0"/>
              <w:pageBreakBefore w:val="0"/>
              <w:kinsoku/>
              <w:wordWrap/>
              <w:overflowPunct/>
              <w:topLinePunct w:val="0"/>
              <w:autoSpaceDE/>
              <w:autoSpaceDN/>
              <w:bidi w:val="0"/>
              <w:adjustRightInd/>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sz w:val="24"/>
                <w:szCs w:val="24"/>
              </w:rPr>
              <w:t>不少于</w:t>
            </w:r>
            <w:r>
              <w:rPr>
                <w:rFonts w:hint="eastAsia" w:ascii="仿宋" w:hAnsi="仿宋" w:eastAsia="仿宋" w:cs="仿宋"/>
                <w:color w:val="auto"/>
                <w:sz w:val="24"/>
                <w:szCs w:val="24"/>
                <w:lang w:val="en-US" w:eastAsia="zh-CN"/>
              </w:rPr>
              <w:t>1.5</w:t>
            </w:r>
            <w:r>
              <w:rPr>
                <w:rFonts w:hint="eastAsia" w:ascii="仿宋" w:hAnsi="仿宋" w:eastAsia="仿宋" w:cs="仿宋"/>
                <w:sz w:val="24"/>
                <w:szCs w:val="24"/>
              </w:rPr>
              <w:t>m</w:t>
            </w:r>
            <w:r>
              <w:rPr>
                <w:rFonts w:hint="eastAsia" w:ascii="仿宋" w:hAnsi="仿宋" w:eastAsia="仿宋" w:cs="仿宋"/>
                <w:sz w:val="24"/>
                <w:szCs w:val="24"/>
                <w:vertAlign w:val="superscript"/>
              </w:rPr>
              <w:t>2</w:t>
            </w:r>
          </w:p>
        </w:tc>
        <w:tc>
          <w:tcPr>
            <w:tcW w:w="907" w:type="pct"/>
            <w:noWrap w:val="0"/>
            <w:vAlign w:val="center"/>
          </w:tcPr>
          <w:p>
            <w:pPr>
              <w:snapToGrid w:val="0"/>
              <w:jc w:val="center"/>
              <w:rPr>
                <w:rFonts w:hint="eastAsia" w:ascii="仿宋" w:hAnsi="仿宋" w:eastAsia="仿宋" w:cs="仿宋"/>
                <w:color w:val="000000"/>
                <w:sz w:val="24"/>
                <w:szCs w:val="24"/>
              </w:rPr>
            </w:pPr>
            <w:r>
              <w:rPr>
                <w:rFonts w:hint="eastAsia" w:ascii="仿宋" w:hAnsi="仿宋" w:eastAsia="仿宋" w:cs="仿宋"/>
                <w:sz w:val="24"/>
                <w:szCs w:val="24"/>
              </w:rPr>
              <w:t>不少于</w:t>
            </w:r>
            <w:r>
              <w:rPr>
                <w:rFonts w:hint="eastAsia" w:ascii="仿宋" w:hAnsi="仿宋" w:eastAsia="仿宋" w:cs="仿宋"/>
                <w:color w:val="auto"/>
                <w:sz w:val="24"/>
                <w:szCs w:val="24"/>
                <w:lang w:val="en-US" w:eastAsia="zh-CN"/>
              </w:rPr>
              <w:t>1.5</w:t>
            </w:r>
            <w:r>
              <w:rPr>
                <w:rFonts w:hint="eastAsia" w:ascii="仿宋" w:hAnsi="仿宋" w:eastAsia="仿宋" w:cs="仿宋"/>
                <w:sz w:val="24"/>
                <w:szCs w:val="24"/>
              </w:rPr>
              <w:t>m</w:t>
            </w:r>
            <w:r>
              <w:rPr>
                <w:rFonts w:hint="eastAsia" w:ascii="仿宋" w:hAnsi="仿宋" w:eastAsia="仿宋" w:cs="仿宋"/>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jc w:val="center"/>
        </w:trPr>
        <w:tc>
          <w:tcPr>
            <w:tcW w:w="328" w:type="pct"/>
            <w:noWrap w:val="0"/>
            <w:vAlign w:val="center"/>
          </w:tcPr>
          <w:p>
            <w:pPr>
              <w:keepNext w:val="0"/>
              <w:keepLines w:val="0"/>
              <w:pageBreakBefore w:val="0"/>
              <w:kinsoku/>
              <w:wordWrap/>
              <w:overflowPunct/>
              <w:topLinePunct w:val="0"/>
              <w:autoSpaceDE/>
              <w:autoSpaceDN/>
              <w:bidi w:val="0"/>
              <w:adjustRightInd/>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1343" w:type="pct"/>
            <w:noWrap w:val="0"/>
            <w:vAlign w:val="center"/>
          </w:tcPr>
          <w:p>
            <w:pPr>
              <w:keepNext w:val="0"/>
              <w:keepLines w:val="0"/>
              <w:pageBreakBefore w:val="0"/>
              <w:widowControl/>
              <w:kinsoku/>
              <w:wordWrap/>
              <w:overflowPunct/>
              <w:topLinePunct w:val="0"/>
              <w:autoSpaceDE/>
              <w:autoSpaceDN/>
              <w:bidi w:val="0"/>
              <w:adjustRightIn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木塑地板</w:t>
            </w:r>
          </w:p>
        </w:tc>
        <w:tc>
          <w:tcPr>
            <w:tcW w:w="1467" w:type="pct"/>
            <w:noWrap w:val="0"/>
            <w:vAlign w:val="center"/>
          </w:tcPr>
          <w:p>
            <w:pPr>
              <w:keepNext w:val="0"/>
              <w:keepLines w:val="0"/>
              <w:pageBreakBefore w:val="0"/>
              <w:kinsoku/>
              <w:wordWrap/>
              <w:overflowPunct/>
              <w:topLinePunct w:val="0"/>
              <w:autoSpaceDE/>
              <w:autoSpaceDN/>
              <w:bidi w:val="0"/>
              <w:adjustRightInd/>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sz w:val="24"/>
                <w:szCs w:val="24"/>
              </w:rPr>
              <w:t>抽取面积不少于3.0m</w:t>
            </w:r>
            <w:r>
              <w:rPr>
                <w:rFonts w:hint="eastAsia" w:ascii="仿宋" w:hAnsi="仿宋" w:eastAsia="仿宋" w:cs="仿宋"/>
                <w:sz w:val="24"/>
                <w:szCs w:val="24"/>
                <w:vertAlign w:val="superscript"/>
              </w:rPr>
              <w:t>2</w:t>
            </w:r>
            <w:r>
              <w:rPr>
                <w:rFonts w:hint="eastAsia" w:ascii="仿宋" w:hAnsi="仿宋" w:eastAsia="仿宋" w:cs="仿宋"/>
                <w:sz w:val="24"/>
                <w:szCs w:val="24"/>
              </w:rPr>
              <w:t>的偶数块样品（不足20块时，抽取20块）</w:t>
            </w:r>
          </w:p>
        </w:tc>
        <w:tc>
          <w:tcPr>
            <w:tcW w:w="953" w:type="pct"/>
            <w:noWrap w:val="0"/>
            <w:vAlign w:val="center"/>
          </w:tcPr>
          <w:p>
            <w:pPr>
              <w:keepNext w:val="0"/>
              <w:keepLines w:val="0"/>
              <w:pageBreakBefore w:val="0"/>
              <w:kinsoku/>
              <w:wordWrap/>
              <w:overflowPunct/>
              <w:topLinePunct w:val="0"/>
              <w:autoSpaceDE/>
              <w:autoSpaceDN/>
              <w:bidi w:val="0"/>
              <w:adjustRightInd/>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sz w:val="24"/>
                <w:szCs w:val="24"/>
              </w:rPr>
              <w:t>不少于</w:t>
            </w:r>
            <w:r>
              <w:rPr>
                <w:rFonts w:hint="eastAsia" w:ascii="仿宋" w:hAnsi="仿宋" w:eastAsia="仿宋" w:cs="仿宋"/>
                <w:color w:val="auto"/>
                <w:sz w:val="24"/>
                <w:szCs w:val="24"/>
                <w:lang w:val="en-US" w:eastAsia="zh-CN"/>
              </w:rPr>
              <w:t>1.5</w:t>
            </w:r>
            <w:r>
              <w:rPr>
                <w:rFonts w:hint="eastAsia" w:ascii="仿宋" w:hAnsi="仿宋" w:eastAsia="仿宋" w:cs="仿宋"/>
                <w:sz w:val="24"/>
                <w:szCs w:val="24"/>
              </w:rPr>
              <w:t>m</w:t>
            </w:r>
            <w:r>
              <w:rPr>
                <w:rFonts w:hint="eastAsia" w:ascii="仿宋" w:hAnsi="仿宋" w:eastAsia="仿宋" w:cs="仿宋"/>
                <w:sz w:val="24"/>
                <w:szCs w:val="24"/>
                <w:vertAlign w:val="superscript"/>
              </w:rPr>
              <w:t>2</w:t>
            </w:r>
          </w:p>
        </w:tc>
        <w:tc>
          <w:tcPr>
            <w:tcW w:w="907" w:type="pct"/>
            <w:noWrap w:val="0"/>
            <w:vAlign w:val="center"/>
          </w:tcPr>
          <w:p>
            <w:pPr>
              <w:snapToGrid w:val="0"/>
              <w:jc w:val="center"/>
              <w:rPr>
                <w:rFonts w:hint="eastAsia" w:ascii="仿宋" w:hAnsi="仿宋" w:eastAsia="仿宋" w:cs="仿宋"/>
                <w:color w:val="000000"/>
                <w:sz w:val="24"/>
                <w:szCs w:val="24"/>
              </w:rPr>
            </w:pPr>
            <w:r>
              <w:rPr>
                <w:rFonts w:hint="eastAsia" w:ascii="仿宋" w:hAnsi="仿宋" w:eastAsia="仿宋" w:cs="仿宋"/>
                <w:sz w:val="24"/>
                <w:szCs w:val="24"/>
              </w:rPr>
              <w:t>不少于</w:t>
            </w:r>
            <w:r>
              <w:rPr>
                <w:rFonts w:hint="eastAsia" w:ascii="仿宋" w:hAnsi="仿宋" w:eastAsia="仿宋" w:cs="仿宋"/>
                <w:color w:val="auto"/>
                <w:sz w:val="24"/>
                <w:szCs w:val="24"/>
                <w:lang w:val="en-US" w:eastAsia="zh-CN"/>
              </w:rPr>
              <w:t>1.5</w:t>
            </w:r>
            <w:r>
              <w:rPr>
                <w:rFonts w:hint="eastAsia" w:ascii="仿宋" w:hAnsi="仿宋" w:eastAsia="仿宋" w:cs="仿宋"/>
                <w:sz w:val="24"/>
                <w:szCs w:val="24"/>
              </w:rPr>
              <w:t>m</w:t>
            </w:r>
            <w:r>
              <w:rPr>
                <w:rFonts w:hint="eastAsia" w:ascii="仿宋" w:hAnsi="仿宋" w:eastAsia="仿宋" w:cs="仿宋"/>
                <w:sz w:val="24"/>
                <w:szCs w:val="24"/>
                <w:vertAlign w:val="superscript"/>
              </w:rPr>
              <w:t>2</w:t>
            </w:r>
          </w:p>
        </w:tc>
      </w:tr>
    </w:tbl>
    <w:p>
      <w:pPr>
        <w:adjustRightInd w:val="0"/>
        <w:snapToGrid w:val="0"/>
        <w:spacing w:before="312" w:beforeLines="100" w:line="594" w:lineRule="exact"/>
        <w:ind w:firstLine="560" w:firstLineChars="200"/>
        <w:rPr>
          <w:rFonts w:ascii="仿宋_GB2312" w:eastAsia="仿宋_GB2312"/>
          <w:sz w:val="28"/>
          <w:szCs w:val="28"/>
        </w:rPr>
      </w:pPr>
      <w:r>
        <w:rPr>
          <w:rFonts w:hint="eastAsia" w:ascii="仿宋_GB2312" w:eastAsia="仿宋_GB2312"/>
          <w:sz w:val="28"/>
          <w:szCs w:val="28"/>
          <w:lang w:val="en-US" w:eastAsia="zh-CN"/>
        </w:rPr>
        <w:t>6.2</w:t>
      </w:r>
      <w:r>
        <w:rPr>
          <w:rFonts w:hint="eastAsia" w:ascii="仿宋_GB2312" w:eastAsia="仿宋_GB2312"/>
          <w:sz w:val="28"/>
          <w:szCs w:val="28"/>
        </w:rPr>
        <w:t>.4抽样时应注意的问题</w:t>
      </w:r>
    </w:p>
    <w:p>
      <w:pPr>
        <w:spacing w:line="594" w:lineRule="exact"/>
        <w:ind w:firstLine="560" w:firstLineChars="200"/>
        <w:rPr>
          <w:rFonts w:ascii="仿宋_GB2312" w:eastAsia="仿宋_GB2312"/>
          <w:sz w:val="28"/>
          <w:szCs w:val="28"/>
        </w:rPr>
      </w:pPr>
      <w:r>
        <w:rPr>
          <w:rFonts w:hint="eastAsia" w:ascii="仿宋_GB2312" w:eastAsia="仿宋_GB2312"/>
          <w:sz w:val="28"/>
          <w:szCs w:val="28"/>
        </w:rPr>
        <w:t>6.2.4.1应由抽样技术人员在现场进行抽取，不得由受检单位自行抽样。抽取的样品应当是有产品质量检验合格证明或者以其他形式表明合格的产品。</w:t>
      </w:r>
    </w:p>
    <w:p>
      <w:pPr>
        <w:spacing w:line="594" w:lineRule="exact"/>
        <w:ind w:firstLine="560" w:firstLineChars="200"/>
        <w:rPr>
          <w:rFonts w:ascii="仿宋_GB2312" w:eastAsia="仿宋_GB2312" w:cs="仿宋_GB2312"/>
          <w:sz w:val="28"/>
          <w:szCs w:val="28"/>
        </w:rPr>
      </w:pPr>
      <w:r>
        <w:rPr>
          <w:rFonts w:hint="eastAsia" w:ascii="仿宋_GB2312" w:eastAsia="仿宋_GB2312"/>
          <w:sz w:val="28"/>
          <w:szCs w:val="28"/>
        </w:rPr>
        <w:t>6.2.4.2</w:t>
      </w:r>
      <w:r>
        <w:rPr>
          <w:rFonts w:hint="eastAsia" w:ascii="仿宋_GB2312" w:eastAsia="仿宋_GB2312" w:cs="仿宋_GB2312"/>
          <w:sz w:val="28"/>
          <w:szCs w:val="28"/>
        </w:rPr>
        <w:t>抽样时，抽样人员应当认真核实营业执照等被抽查企业的相关信息，确认企业不存在不得抽样的情形。</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6.3样品处置</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检验用样品及备用样品应分别封样，应对样品包装箱进行完整签封（上下或左右），签封方式应有防拆封措施。同时应有相应影像记录。购买的备用样品封存于检验机构，由受检单位无偿提供的备用样品封存于受检单位</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封样单上应有被抽查企业和抽样技术人员的签名，注明抽样日期，并确认封样单牢固。</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6.4抽样单</w:t>
      </w:r>
    </w:p>
    <w:p>
      <w:pPr>
        <w:adjustRightInd w:val="0"/>
        <w:snapToGrid w:val="0"/>
        <w:spacing w:line="360" w:lineRule="auto"/>
        <w:ind w:firstLine="560" w:firstLineChars="200"/>
        <w:rPr>
          <w:rFonts w:hint="eastAsia" w:ascii="仿宋_GB2312" w:eastAsia="仿宋_GB2312"/>
          <w:sz w:val="28"/>
          <w:szCs w:val="28"/>
        </w:rPr>
      </w:pPr>
      <w:r>
        <w:rPr>
          <w:rFonts w:hint="eastAsia" w:ascii="仿宋_GB2312" w:eastAsia="仿宋_GB2312"/>
          <w:sz w:val="28"/>
          <w:szCs w:val="28"/>
          <w:highlight w:val="none"/>
        </w:rPr>
        <w:t>应按有关规定填写抽样单，并记录被抽查产品及企业相关信息。需要被抽企业提供的其他样品信息应注明，并经企业确认。</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6.5其他要求</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可对抽样的关键过程留下影像资料。在进入企业、取样、双方签字确认等环节时，影像资料要能清晰记录企业名称、营业执照名称、被抽样的产品、抽样状态、抽样人员和企业陪同人员等。</w:t>
      </w:r>
    </w:p>
    <w:p>
      <w:pPr>
        <w:spacing w:line="360" w:lineRule="auto"/>
        <w:ind w:firstLine="548" w:firstLineChars="196"/>
        <w:contextualSpacing/>
        <w:rPr>
          <w:rFonts w:ascii="仿宋_GB2312" w:hAnsi="宋体" w:eastAsia="仿宋_GB2312"/>
          <w:color w:val="000000"/>
          <w:sz w:val="28"/>
          <w:szCs w:val="28"/>
        </w:rPr>
      </w:pPr>
      <w:r>
        <w:rPr>
          <w:rFonts w:hint="eastAsia" w:ascii="仿宋_GB2312" w:hAnsi="宋体" w:eastAsia="仿宋_GB2312"/>
          <w:color w:val="000000"/>
          <w:sz w:val="28"/>
          <w:szCs w:val="28"/>
          <w:lang w:val="en-US" w:eastAsia="zh-CN"/>
        </w:rPr>
        <w:t>6</w:t>
      </w:r>
      <w:r>
        <w:rPr>
          <w:rFonts w:hint="eastAsia" w:ascii="仿宋_GB2312" w:hAnsi="宋体" w:eastAsia="仿宋_GB2312"/>
          <w:color w:val="000000"/>
          <w:sz w:val="28"/>
          <w:szCs w:val="28"/>
        </w:rPr>
        <w:t>.</w:t>
      </w:r>
      <w:r>
        <w:rPr>
          <w:rFonts w:hint="eastAsia" w:ascii="仿宋_GB2312" w:hAnsi="宋体" w:eastAsia="仿宋_GB2312"/>
          <w:color w:val="000000"/>
          <w:sz w:val="28"/>
          <w:szCs w:val="28"/>
          <w:lang w:val="en-US" w:eastAsia="zh-CN"/>
        </w:rPr>
        <w:t>6</w:t>
      </w:r>
      <w:r>
        <w:rPr>
          <w:rFonts w:hint="eastAsia" w:ascii="仿宋" w:hAnsi="仿宋" w:eastAsia="仿宋" w:cs="仿宋"/>
          <w:sz w:val="28"/>
          <w:szCs w:val="28"/>
        </w:rPr>
        <w:t>样品获取方式</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w:t>
      </w:r>
      <w:r>
        <w:rPr>
          <w:rFonts w:hint="eastAsia" w:ascii="仿宋" w:hAnsi="仿宋" w:eastAsia="仿宋" w:cs="仿宋"/>
          <w:sz w:val="28"/>
          <w:szCs w:val="28"/>
          <w:lang w:val="en-US" w:eastAsia="zh-CN"/>
        </w:rPr>
        <w:t>6</w:t>
      </w:r>
      <w:r>
        <w:rPr>
          <w:rFonts w:hint="eastAsia" w:ascii="仿宋" w:hAnsi="仿宋" w:eastAsia="仿宋" w:cs="仿宋"/>
          <w:sz w:val="28"/>
          <w:szCs w:val="28"/>
        </w:rPr>
        <w:t>.1 监督抽查所需的检验样品要在受检单位以购买方式获取</w:t>
      </w:r>
      <w:r>
        <w:rPr>
          <w:rFonts w:hint="eastAsia" w:ascii="仿宋" w:hAnsi="仿宋" w:eastAsia="仿宋" w:cs="仿宋"/>
          <w:sz w:val="28"/>
          <w:szCs w:val="28"/>
          <w:lang w:eastAsia="zh-CN"/>
        </w:rPr>
        <w:t>，受检单位开具发票</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ascii="仿宋_GB2312" w:eastAsia="仿宋_GB2312"/>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w:t>
      </w:r>
      <w:r>
        <w:rPr>
          <w:rFonts w:hint="eastAsia" w:ascii="仿宋" w:hAnsi="仿宋" w:eastAsia="仿宋" w:cs="仿宋"/>
          <w:sz w:val="28"/>
          <w:szCs w:val="28"/>
          <w:lang w:val="en-US" w:eastAsia="zh-CN"/>
        </w:rPr>
        <w:t>6</w:t>
      </w:r>
      <w:r>
        <w:rPr>
          <w:rFonts w:hint="eastAsia" w:ascii="仿宋" w:hAnsi="仿宋" w:eastAsia="仿宋" w:cs="仿宋"/>
          <w:sz w:val="28"/>
          <w:szCs w:val="28"/>
        </w:rPr>
        <w:t>.2 当被抽样生产者对检验结论有异议需要复检时，应当向</w:t>
      </w:r>
      <w:r>
        <w:rPr>
          <w:rFonts w:hint="eastAsia" w:ascii="仿宋" w:hAnsi="仿宋" w:eastAsia="仿宋" w:cs="仿宋"/>
          <w:sz w:val="28"/>
          <w:szCs w:val="28"/>
          <w:lang w:eastAsia="zh-CN"/>
        </w:rPr>
        <w:t>受检单位</w:t>
      </w:r>
      <w:r>
        <w:rPr>
          <w:rFonts w:hint="eastAsia" w:ascii="仿宋" w:hAnsi="仿宋" w:eastAsia="仿宋" w:cs="仿宋"/>
          <w:sz w:val="28"/>
          <w:szCs w:val="28"/>
        </w:rPr>
        <w:t>支付备用样品费用。</w:t>
      </w:r>
    </w:p>
    <w:p>
      <w:pPr>
        <w:adjustRightInd w:val="0"/>
        <w:snapToGrid w:val="0"/>
        <w:spacing w:line="594" w:lineRule="exact"/>
        <w:ind w:firstLine="560" w:firstLineChars="200"/>
        <w:rPr>
          <w:rFonts w:ascii="仿宋_GB2312" w:eastAsia="仿宋_GB2312"/>
          <w:sz w:val="28"/>
          <w:szCs w:val="28"/>
        </w:rPr>
      </w:pP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7检验要求</w:t>
      </w:r>
    </w:p>
    <w:p>
      <w:pPr>
        <w:adjustRightInd w:val="0"/>
        <w:snapToGrid w:val="0"/>
        <w:spacing w:line="594" w:lineRule="exact"/>
        <w:ind w:firstLine="560" w:firstLineChars="200"/>
        <w:rPr>
          <w:rFonts w:ascii="仿宋_GB2312" w:eastAsia="仿宋_GB2312"/>
          <w:sz w:val="28"/>
          <w:szCs w:val="28"/>
        </w:rPr>
      </w:pPr>
      <w:r>
        <w:rPr>
          <w:rFonts w:hint="eastAsia" w:ascii="仿宋_GB2312" w:hAnsi="仿宋" w:eastAsia="仿宋_GB2312"/>
          <w:snapToGrid w:val="0"/>
          <w:sz w:val="28"/>
          <w:szCs w:val="28"/>
        </w:rPr>
        <w:t>7.1检验项目</w:t>
      </w:r>
    </w:p>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表</w:t>
      </w:r>
      <w:r>
        <w:rPr>
          <w:rFonts w:hint="eastAsia" w:ascii="仿宋" w:hAnsi="仿宋" w:eastAsia="仿宋" w:cs="仿宋"/>
          <w:color w:val="000000"/>
          <w:sz w:val="24"/>
          <w:szCs w:val="24"/>
          <w:lang w:val="en-US" w:eastAsia="zh-CN"/>
        </w:rPr>
        <w:t>3</w:t>
      </w:r>
      <w:r>
        <w:rPr>
          <w:rFonts w:hint="eastAsia" w:ascii="仿宋" w:hAnsi="仿宋" w:eastAsia="仿宋" w:cs="仿宋"/>
          <w:color w:val="000000"/>
          <w:kern w:val="0"/>
          <w:sz w:val="24"/>
          <w:szCs w:val="24"/>
          <w:lang w:bidi="ar"/>
        </w:rPr>
        <w:t>浸渍纸层压木质地板</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165"/>
        <w:gridCol w:w="4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top"/>
          </w:tcPr>
          <w:p>
            <w:pPr>
              <w:keepNext w:val="0"/>
              <w:keepLines w:val="0"/>
              <w:pageBreakBefore w:val="0"/>
              <w:kinsoku/>
              <w:wordWrap/>
              <w:overflowPunct/>
              <w:topLinePunct w:val="0"/>
              <w:autoSpaceDE/>
              <w:autoSpaceDN/>
              <w:bidi w:val="0"/>
              <w:adjustRightInd/>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3165" w:type="dxa"/>
            <w:noWrap w:val="0"/>
            <w:vAlign w:val="top"/>
          </w:tcPr>
          <w:p>
            <w:pPr>
              <w:keepNext w:val="0"/>
              <w:keepLines w:val="0"/>
              <w:pageBreakBefore w:val="0"/>
              <w:kinsoku/>
              <w:wordWrap/>
              <w:overflowPunct/>
              <w:topLinePunct w:val="0"/>
              <w:autoSpaceDE/>
              <w:autoSpaceDN/>
              <w:bidi w:val="0"/>
              <w:adjustRightInd/>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检验项目</w:t>
            </w:r>
          </w:p>
        </w:tc>
        <w:tc>
          <w:tcPr>
            <w:tcW w:w="4717" w:type="dxa"/>
            <w:noWrap w:val="0"/>
            <w:vAlign w:val="top"/>
          </w:tcPr>
          <w:p>
            <w:pPr>
              <w:keepNext w:val="0"/>
              <w:keepLines w:val="0"/>
              <w:pageBreakBefore w:val="0"/>
              <w:kinsoku/>
              <w:wordWrap/>
              <w:overflowPunct/>
              <w:topLinePunct w:val="0"/>
              <w:autoSpaceDE/>
              <w:autoSpaceDN/>
              <w:bidi w:val="0"/>
              <w:adjustRightInd/>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top"/>
          </w:tcPr>
          <w:p>
            <w:pPr>
              <w:keepNext w:val="0"/>
              <w:keepLines w:val="0"/>
              <w:pageBreakBefore w:val="0"/>
              <w:widowControl/>
              <w:suppressLineNumbers w:val="0"/>
              <w:kinsoku/>
              <w:wordWrap/>
              <w:overflowPunct/>
              <w:topLinePunct w:val="0"/>
              <w:autoSpaceDE/>
              <w:autoSpaceDN/>
              <w:bidi w:val="0"/>
              <w:adjustRightIn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1</w:t>
            </w:r>
          </w:p>
        </w:tc>
        <w:tc>
          <w:tcPr>
            <w:tcW w:w="3165" w:type="dxa"/>
            <w:noWrap w:val="0"/>
            <w:vAlign w:val="top"/>
          </w:tcPr>
          <w:p>
            <w:pPr>
              <w:keepNext w:val="0"/>
              <w:keepLines w:val="0"/>
              <w:pageBreakBefore w:val="0"/>
              <w:widowControl/>
              <w:suppressLineNumbers w:val="0"/>
              <w:kinsoku/>
              <w:wordWrap/>
              <w:overflowPunct/>
              <w:topLinePunct w:val="0"/>
              <w:autoSpaceDE/>
              <w:autoSpaceDN/>
              <w:bidi w:val="0"/>
              <w:adjustRightIn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含水率</w:t>
            </w:r>
          </w:p>
        </w:tc>
        <w:tc>
          <w:tcPr>
            <w:tcW w:w="4717" w:type="dxa"/>
            <w:noWrap w:val="0"/>
            <w:vAlign w:val="top"/>
          </w:tcPr>
          <w:p>
            <w:pPr>
              <w:keepNext w:val="0"/>
              <w:keepLines w:val="0"/>
              <w:pageBreakBefore w:val="0"/>
              <w:widowControl/>
              <w:suppressLineNumbers w:val="0"/>
              <w:kinsoku/>
              <w:wordWrap/>
              <w:overflowPunct/>
              <w:topLinePunct w:val="0"/>
              <w:autoSpaceDE/>
              <w:autoSpaceDN/>
              <w:bidi w:val="0"/>
              <w:adjustRightIn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17" w:type="dxa"/>
            <w:noWrap w:val="0"/>
            <w:vAlign w:val="top"/>
          </w:tcPr>
          <w:p>
            <w:pPr>
              <w:keepNext w:val="0"/>
              <w:keepLines w:val="0"/>
              <w:pageBreakBefore w:val="0"/>
              <w:widowControl/>
              <w:suppressLineNumbers w:val="0"/>
              <w:kinsoku/>
              <w:wordWrap/>
              <w:overflowPunct/>
              <w:topLinePunct w:val="0"/>
              <w:autoSpaceDE/>
              <w:autoSpaceDN/>
              <w:bidi w:val="0"/>
              <w:adjustRightIn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2</w:t>
            </w:r>
          </w:p>
        </w:tc>
        <w:tc>
          <w:tcPr>
            <w:tcW w:w="3165" w:type="dxa"/>
            <w:noWrap w:val="0"/>
            <w:vAlign w:val="top"/>
          </w:tcPr>
          <w:p>
            <w:pPr>
              <w:keepNext w:val="0"/>
              <w:keepLines w:val="0"/>
              <w:pageBreakBefore w:val="0"/>
              <w:widowControl/>
              <w:suppressLineNumbers w:val="0"/>
              <w:kinsoku/>
              <w:wordWrap/>
              <w:overflowPunct/>
              <w:topLinePunct w:val="0"/>
              <w:autoSpaceDE/>
              <w:autoSpaceDN/>
              <w:bidi w:val="0"/>
              <w:adjustRightIn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吸水厚度膨胀率</w:t>
            </w:r>
          </w:p>
        </w:tc>
        <w:tc>
          <w:tcPr>
            <w:tcW w:w="4717" w:type="dxa"/>
            <w:noWrap w:val="0"/>
            <w:vAlign w:val="top"/>
          </w:tcPr>
          <w:p>
            <w:pPr>
              <w:keepNext w:val="0"/>
              <w:keepLines w:val="0"/>
              <w:pageBreakBefore w:val="0"/>
              <w:widowControl/>
              <w:suppressLineNumbers w:val="0"/>
              <w:kinsoku/>
              <w:wordWrap/>
              <w:overflowPunct/>
              <w:topLinePunct w:val="0"/>
              <w:autoSpaceDE/>
              <w:autoSpaceDN/>
              <w:bidi w:val="0"/>
              <w:adjustRightIn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top"/>
          </w:tcPr>
          <w:p>
            <w:pPr>
              <w:keepNext w:val="0"/>
              <w:keepLines w:val="0"/>
              <w:pageBreakBefore w:val="0"/>
              <w:widowControl/>
              <w:suppressLineNumbers w:val="0"/>
              <w:kinsoku/>
              <w:wordWrap/>
              <w:overflowPunct/>
              <w:topLinePunct w:val="0"/>
              <w:autoSpaceDE/>
              <w:autoSpaceDN/>
              <w:bidi w:val="0"/>
              <w:adjustRightIn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3</w:t>
            </w:r>
          </w:p>
        </w:tc>
        <w:tc>
          <w:tcPr>
            <w:tcW w:w="3165" w:type="dxa"/>
            <w:noWrap w:val="0"/>
            <w:vAlign w:val="top"/>
          </w:tcPr>
          <w:p>
            <w:pPr>
              <w:keepNext w:val="0"/>
              <w:keepLines w:val="0"/>
              <w:pageBreakBefore w:val="0"/>
              <w:widowControl/>
              <w:suppressLineNumbers w:val="0"/>
              <w:kinsoku/>
              <w:wordWrap/>
              <w:overflowPunct/>
              <w:topLinePunct w:val="0"/>
              <w:autoSpaceDE/>
              <w:autoSpaceDN/>
              <w:bidi w:val="0"/>
              <w:adjustRightIn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内结合强度</w:t>
            </w:r>
          </w:p>
        </w:tc>
        <w:tc>
          <w:tcPr>
            <w:tcW w:w="4717" w:type="dxa"/>
            <w:noWrap w:val="0"/>
            <w:vAlign w:val="top"/>
          </w:tcPr>
          <w:p>
            <w:pPr>
              <w:keepNext w:val="0"/>
              <w:keepLines w:val="0"/>
              <w:pageBreakBefore w:val="0"/>
              <w:widowControl/>
              <w:suppressLineNumbers w:val="0"/>
              <w:kinsoku/>
              <w:wordWrap/>
              <w:overflowPunct/>
              <w:topLinePunct w:val="0"/>
              <w:autoSpaceDE/>
              <w:autoSpaceDN/>
              <w:bidi w:val="0"/>
              <w:adjustRightIn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top"/>
          </w:tcPr>
          <w:p>
            <w:pPr>
              <w:keepNext w:val="0"/>
              <w:keepLines w:val="0"/>
              <w:pageBreakBefore w:val="0"/>
              <w:widowControl/>
              <w:suppressLineNumbers w:val="0"/>
              <w:kinsoku/>
              <w:wordWrap/>
              <w:overflowPunct/>
              <w:topLinePunct w:val="0"/>
              <w:autoSpaceDE/>
              <w:autoSpaceDN/>
              <w:bidi w:val="0"/>
              <w:adjustRightIn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4</w:t>
            </w:r>
          </w:p>
        </w:tc>
        <w:tc>
          <w:tcPr>
            <w:tcW w:w="3165" w:type="dxa"/>
            <w:noWrap w:val="0"/>
            <w:vAlign w:val="top"/>
          </w:tcPr>
          <w:p>
            <w:pPr>
              <w:keepNext w:val="0"/>
              <w:keepLines w:val="0"/>
              <w:pageBreakBefore w:val="0"/>
              <w:widowControl/>
              <w:suppressLineNumbers w:val="0"/>
              <w:kinsoku/>
              <w:wordWrap/>
              <w:overflowPunct/>
              <w:topLinePunct w:val="0"/>
              <w:autoSpaceDE/>
              <w:autoSpaceDN/>
              <w:bidi w:val="0"/>
              <w:adjustRightIn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表面胶合强度</w:t>
            </w:r>
          </w:p>
        </w:tc>
        <w:tc>
          <w:tcPr>
            <w:tcW w:w="4717" w:type="dxa"/>
            <w:noWrap w:val="0"/>
            <w:vAlign w:val="top"/>
          </w:tcPr>
          <w:p>
            <w:pPr>
              <w:keepNext w:val="0"/>
              <w:keepLines w:val="0"/>
              <w:pageBreakBefore w:val="0"/>
              <w:widowControl/>
              <w:suppressLineNumbers w:val="0"/>
              <w:kinsoku/>
              <w:wordWrap/>
              <w:overflowPunct/>
              <w:topLinePunct w:val="0"/>
              <w:autoSpaceDE/>
              <w:autoSpaceDN/>
              <w:bidi w:val="0"/>
              <w:adjustRightIn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top"/>
          </w:tcPr>
          <w:p>
            <w:pPr>
              <w:keepNext w:val="0"/>
              <w:keepLines w:val="0"/>
              <w:pageBreakBefore w:val="0"/>
              <w:widowControl/>
              <w:suppressLineNumbers w:val="0"/>
              <w:kinsoku/>
              <w:wordWrap/>
              <w:overflowPunct/>
              <w:topLinePunct w:val="0"/>
              <w:autoSpaceDE/>
              <w:autoSpaceDN/>
              <w:bidi w:val="0"/>
              <w:adjustRightIn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5</w:t>
            </w:r>
          </w:p>
        </w:tc>
        <w:tc>
          <w:tcPr>
            <w:tcW w:w="3165" w:type="dxa"/>
            <w:noWrap w:val="0"/>
            <w:vAlign w:val="top"/>
          </w:tcPr>
          <w:p>
            <w:pPr>
              <w:keepNext w:val="0"/>
              <w:keepLines w:val="0"/>
              <w:pageBreakBefore w:val="0"/>
              <w:widowControl/>
              <w:suppressLineNumbers w:val="0"/>
              <w:kinsoku/>
              <w:wordWrap/>
              <w:overflowPunct/>
              <w:topLinePunct w:val="0"/>
              <w:autoSpaceDE/>
              <w:autoSpaceDN/>
              <w:bidi w:val="0"/>
              <w:adjustRightIn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表面耐划痕</w:t>
            </w:r>
          </w:p>
        </w:tc>
        <w:tc>
          <w:tcPr>
            <w:tcW w:w="4717" w:type="dxa"/>
            <w:noWrap w:val="0"/>
            <w:vAlign w:val="top"/>
          </w:tcPr>
          <w:p>
            <w:pPr>
              <w:keepNext w:val="0"/>
              <w:keepLines w:val="0"/>
              <w:pageBreakBefore w:val="0"/>
              <w:widowControl/>
              <w:suppressLineNumbers w:val="0"/>
              <w:kinsoku/>
              <w:wordWrap/>
              <w:overflowPunct/>
              <w:topLinePunct w:val="0"/>
              <w:autoSpaceDE/>
              <w:autoSpaceDN/>
              <w:bidi w:val="0"/>
              <w:adjustRightIn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top"/>
          </w:tcPr>
          <w:p>
            <w:pPr>
              <w:keepNext w:val="0"/>
              <w:keepLines w:val="0"/>
              <w:pageBreakBefore w:val="0"/>
              <w:widowControl/>
              <w:suppressLineNumbers w:val="0"/>
              <w:kinsoku/>
              <w:wordWrap/>
              <w:overflowPunct/>
              <w:topLinePunct w:val="0"/>
              <w:autoSpaceDE/>
              <w:autoSpaceDN/>
              <w:bidi w:val="0"/>
              <w:adjustRightIn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6</w:t>
            </w:r>
          </w:p>
        </w:tc>
        <w:tc>
          <w:tcPr>
            <w:tcW w:w="3165" w:type="dxa"/>
            <w:noWrap w:val="0"/>
            <w:vAlign w:val="top"/>
          </w:tcPr>
          <w:p>
            <w:pPr>
              <w:keepNext w:val="0"/>
              <w:keepLines w:val="0"/>
              <w:pageBreakBefore w:val="0"/>
              <w:widowControl/>
              <w:suppressLineNumbers w:val="0"/>
              <w:kinsoku/>
              <w:wordWrap/>
              <w:overflowPunct/>
              <w:topLinePunct w:val="0"/>
              <w:autoSpaceDE/>
              <w:autoSpaceDN/>
              <w:bidi w:val="0"/>
              <w:adjustRightIn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表面耐冷热循环</w:t>
            </w:r>
          </w:p>
        </w:tc>
        <w:tc>
          <w:tcPr>
            <w:tcW w:w="4717" w:type="dxa"/>
            <w:noWrap w:val="0"/>
            <w:vAlign w:val="top"/>
          </w:tcPr>
          <w:p>
            <w:pPr>
              <w:keepNext w:val="0"/>
              <w:keepLines w:val="0"/>
              <w:pageBreakBefore w:val="0"/>
              <w:widowControl/>
              <w:suppressLineNumbers w:val="0"/>
              <w:kinsoku/>
              <w:wordWrap/>
              <w:overflowPunct/>
              <w:topLinePunct w:val="0"/>
              <w:autoSpaceDE/>
              <w:autoSpaceDN/>
              <w:bidi w:val="0"/>
              <w:adjustRightIn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top"/>
          </w:tcPr>
          <w:p>
            <w:pPr>
              <w:keepNext w:val="0"/>
              <w:keepLines w:val="0"/>
              <w:pageBreakBefore w:val="0"/>
              <w:widowControl/>
              <w:suppressLineNumbers w:val="0"/>
              <w:kinsoku/>
              <w:wordWrap/>
              <w:overflowPunct/>
              <w:topLinePunct w:val="0"/>
              <w:autoSpaceDE/>
              <w:autoSpaceDN/>
              <w:bidi w:val="0"/>
              <w:adjustRightIn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7</w:t>
            </w:r>
          </w:p>
        </w:tc>
        <w:tc>
          <w:tcPr>
            <w:tcW w:w="3165" w:type="dxa"/>
            <w:noWrap w:val="0"/>
            <w:vAlign w:val="top"/>
          </w:tcPr>
          <w:p>
            <w:pPr>
              <w:keepNext w:val="0"/>
              <w:keepLines w:val="0"/>
              <w:pageBreakBefore w:val="0"/>
              <w:widowControl/>
              <w:suppressLineNumbers w:val="0"/>
              <w:kinsoku/>
              <w:wordWrap/>
              <w:overflowPunct/>
              <w:topLinePunct w:val="0"/>
              <w:autoSpaceDE/>
              <w:autoSpaceDN/>
              <w:bidi w:val="0"/>
              <w:adjustRightIn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尺寸稳定性</w:t>
            </w:r>
          </w:p>
        </w:tc>
        <w:tc>
          <w:tcPr>
            <w:tcW w:w="4717" w:type="dxa"/>
            <w:noWrap w:val="0"/>
            <w:vAlign w:val="top"/>
          </w:tcPr>
          <w:p>
            <w:pPr>
              <w:keepNext w:val="0"/>
              <w:keepLines w:val="0"/>
              <w:pageBreakBefore w:val="0"/>
              <w:widowControl/>
              <w:suppressLineNumbers w:val="0"/>
              <w:kinsoku/>
              <w:wordWrap/>
              <w:overflowPunct/>
              <w:topLinePunct w:val="0"/>
              <w:autoSpaceDE/>
              <w:autoSpaceDN/>
              <w:bidi w:val="0"/>
              <w:adjustRightIn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GB/T 18102-2020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top"/>
          </w:tcPr>
          <w:p>
            <w:pPr>
              <w:keepNext w:val="0"/>
              <w:keepLines w:val="0"/>
              <w:pageBreakBefore w:val="0"/>
              <w:widowControl/>
              <w:suppressLineNumbers w:val="0"/>
              <w:kinsoku/>
              <w:wordWrap/>
              <w:overflowPunct/>
              <w:topLinePunct w:val="0"/>
              <w:autoSpaceDE/>
              <w:autoSpaceDN/>
              <w:bidi w:val="0"/>
              <w:adjustRightIn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8</w:t>
            </w:r>
          </w:p>
        </w:tc>
        <w:tc>
          <w:tcPr>
            <w:tcW w:w="3165" w:type="dxa"/>
            <w:noWrap w:val="0"/>
            <w:vAlign w:val="top"/>
          </w:tcPr>
          <w:p>
            <w:pPr>
              <w:keepNext w:val="0"/>
              <w:keepLines w:val="0"/>
              <w:pageBreakBefore w:val="0"/>
              <w:widowControl/>
              <w:suppressLineNumbers w:val="0"/>
              <w:kinsoku/>
              <w:wordWrap/>
              <w:overflowPunct/>
              <w:topLinePunct w:val="0"/>
              <w:autoSpaceDE/>
              <w:autoSpaceDN/>
              <w:bidi w:val="0"/>
              <w:adjustRightIn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表面耐磨</w:t>
            </w:r>
          </w:p>
        </w:tc>
        <w:tc>
          <w:tcPr>
            <w:tcW w:w="4717" w:type="dxa"/>
            <w:noWrap w:val="0"/>
            <w:vAlign w:val="top"/>
          </w:tcPr>
          <w:p>
            <w:pPr>
              <w:keepNext w:val="0"/>
              <w:keepLines w:val="0"/>
              <w:pageBreakBefore w:val="0"/>
              <w:widowControl/>
              <w:suppressLineNumbers w:val="0"/>
              <w:kinsoku/>
              <w:wordWrap/>
              <w:overflowPunct/>
              <w:topLinePunct w:val="0"/>
              <w:autoSpaceDE/>
              <w:autoSpaceDN/>
              <w:bidi w:val="0"/>
              <w:adjustRightIn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top"/>
          </w:tcPr>
          <w:p>
            <w:pPr>
              <w:keepNext w:val="0"/>
              <w:keepLines w:val="0"/>
              <w:pageBreakBefore w:val="0"/>
              <w:widowControl/>
              <w:suppressLineNumbers w:val="0"/>
              <w:kinsoku/>
              <w:wordWrap/>
              <w:overflowPunct/>
              <w:topLinePunct w:val="0"/>
              <w:autoSpaceDE/>
              <w:autoSpaceDN/>
              <w:bidi w:val="0"/>
              <w:adjustRightIn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9</w:t>
            </w:r>
          </w:p>
        </w:tc>
        <w:tc>
          <w:tcPr>
            <w:tcW w:w="3165" w:type="dxa"/>
            <w:noWrap w:val="0"/>
            <w:vAlign w:val="top"/>
          </w:tcPr>
          <w:p>
            <w:pPr>
              <w:keepNext w:val="0"/>
              <w:keepLines w:val="0"/>
              <w:pageBreakBefore w:val="0"/>
              <w:widowControl/>
              <w:suppressLineNumbers w:val="0"/>
              <w:kinsoku/>
              <w:wordWrap/>
              <w:overflowPunct/>
              <w:topLinePunct w:val="0"/>
              <w:autoSpaceDE/>
              <w:autoSpaceDN/>
              <w:bidi w:val="0"/>
              <w:adjustRightIn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表面耐香烟灼烧</w:t>
            </w:r>
          </w:p>
        </w:tc>
        <w:tc>
          <w:tcPr>
            <w:tcW w:w="4717" w:type="dxa"/>
            <w:noWrap w:val="0"/>
            <w:vAlign w:val="top"/>
          </w:tcPr>
          <w:p>
            <w:pPr>
              <w:keepNext w:val="0"/>
              <w:keepLines w:val="0"/>
              <w:pageBreakBefore w:val="0"/>
              <w:widowControl/>
              <w:suppressLineNumbers w:val="0"/>
              <w:kinsoku/>
              <w:wordWrap/>
              <w:overflowPunct/>
              <w:topLinePunct w:val="0"/>
              <w:autoSpaceDE/>
              <w:autoSpaceDN/>
              <w:bidi w:val="0"/>
              <w:adjustRightIn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top"/>
          </w:tcPr>
          <w:p>
            <w:pPr>
              <w:keepNext w:val="0"/>
              <w:keepLines w:val="0"/>
              <w:pageBreakBefore w:val="0"/>
              <w:widowControl/>
              <w:suppressLineNumbers w:val="0"/>
              <w:kinsoku/>
              <w:wordWrap/>
              <w:overflowPunct/>
              <w:topLinePunct w:val="0"/>
              <w:autoSpaceDE/>
              <w:autoSpaceDN/>
              <w:bidi w:val="0"/>
              <w:adjustRightIn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10</w:t>
            </w:r>
          </w:p>
        </w:tc>
        <w:tc>
          <w:tcPr>
            <w:tcW w:w="3165" w:type="dxa"/>
            <w:noWrap w:val="0"/>
            <w:vAlign w:val="top"/>
          </w:tcPr>
          <w:p>
            <w:pPr>
              <w:keepNext w:val="0"/>
              <w:keepLines w:val="0"/>
              <w:pageBreakBefore w:val="0"/>
              <w:widowControl/>
              <w:suppressLineNumbers w:val="0"/>
              <w:kinsoku/>
              <w:wordWrap/>
              <w:overflowPunct/>
              <w:topLinePunct w:val="0"/>
              <w:autoSpaceDE/>
              <w:autoSpaceDN/>
              <w:bidi w:val="0"/>
              <w:adjustRightIn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表面耐干热</w:t>
            </w:r>
          </w:p>
        </w:tc>
        <w:tc>
          <w:tcPr>
            <w:tcW w:w="4717" w:type="dxa"/>
            <w:noWrap w:val="0"/>
            <w:vAlign w:val="top"/>
          </w:tcPr>
          <w:p>
            <w:pPr>
              <w:keepNext w:val="0"/>
              <w:keepLines w:val="0"/>
              <w:pageBreakBefore w:val="0"/>
              <w:widowControl/>
              <w:suppressLineNumbers w:val="0"/>
              <w:kinsoku/>
              <w:wordWrap/>
              <w:overflowPunct/>
              <w:topLinePunct w:val="0"/>
              <w:autoSpaceDE/>
              <w:autoSpaceDN/>
              <w:bidi w:val="0"/>
              <w:adjustRightIn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top"/>
          </w:tcPr>
          <w:p>
            <w:pPr>
              <w:keepNext w:val="0"/>
              <w:keepLines w:val="0"/>
              <w:pageBreakBefore w:val="0"/>
              <w:widowControl/>
              <w:suppressLineNumbers w:val="0"/>
              <w:kinsoku/>
              <w:wordWrap/>
              <w:overflowPunct/>
              <w:topLinePunct w:val="0"/>
              <w:autoSpaceDE/>
              <w:autoSpaceDN/>
              <w:bidi w:val="0"/>
              <w:adjustRightIn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11</w:t>
            </w:r>
          </w:p>
        </w:tc>
        <w:tc>
          <w:tcPr>
            <w:tcW w:w="3165" w:type="dxa"/>
            <w:noWrap w:val="0"/>
            <w:vAlign w:val="top"/>
          </w:tcPr>
          <w:p>
            <w:pPr>
              <w:keepNext w:val="0"/>
              <w:keepLines w:val="0"/>
              <w:pageBreakBefore w:val="0"/>
              <w:widowControl/>
              <w:suppressLineNumbers w:val="0"/>
              <w:kinsoku/>
              <w:wordWrap/>
              <w:overflowPunct/>
              <w:topLinePunct w:val="0"/>
              <w:autoSpaceDE/>
              <w:autoSpaceDN/>
              <w:bidi w:val="0"/>
              <w:adjustRightIn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表面耐污染</w:t>
            </w:r>
          </w:p>
        </w:tc>
        <w:tc>
          <w:tcPr>
            <w:tcW w:w="4717" w:type="dxa"/>
            <w:noWrap w:val="0"/>
            <w:vAlign w:val="top"/>
          </w:tcPr>
          <w:p>
            <w:pPr>
              <w:keepNext w:val="0"/>
              <w:keepLines w:val="0"/>
              <w:pageBreakBefore w:val="0"/>
              <w:widowControl/>
              <w:suppressLineNumbers w:val="0"/>
              <w:kinsoku/>
              <w:wordWrap/>
              <w:overflowPunct/>
              <w:topLinePunct w:val="0"/>
              <w:autoSpaceDE/>
              <w:autoSpaceDN/>
              <w:bidi w:val="0"/>
              <w:adjustRightIn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top"/>
          </w:tcPr>
          <w:p>
            <w:pPr>
              <w:keepNext w:val="0"/>
              <w:keepLines w:val="0"/>
              <w:pageBreakBefore w:val="0"/>
              <w:widowControl/>
              <w:suppressLineNumbers w:val="0"/>
              <w:kinsoku/>
              <w:wordWrap/>
              <w:overflowPunct/>
              <w:topLinePunct w:val="0"/>
              <w:autoSpaceDE/>
              <w:autoSpaceDN/>
              <w:bidi w:val="0"/>
              <w:adjustRightIn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12</w:t>
            </w:r>
          </w:p>
        </w:tc>
        <w:tc>
          <w:tcPr>
            <w:tcW w:w="3165" w:type="dxa"/>
            <w:noWrap w:val="0"/>
            <w:vAlign w:val="top"/>
          </w:tcPr>
          <w:p>
            <w:pPr>
              <w:keepNext w:val="0"/>
              <w:keepLines w:val="0"/>
              <w:pageBreakBefore w:val="0"/>
              <w:widowControl/>
              <w:suppressLineNumbers w:val="0"/>
              <w:kinsoku/>
              <w:wordWrap/>
              <w:overflowPunct/>
              <w:topLinePunct w:val="0"/>
              <w:autoSpaceDE/>
              <w:autoSpaceDN/>
              <w:bidi w:val="0"/>
              <w:adjustRightIn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表面耐龟裂</w:t>
            </w:r>
          </w:p>
        </w:tc>
        <w:tc>
          <w:tcPr>
            <w:tcW w:w="4717" w:type="dxa"/>
            <w:noWrap w:val="0"/>
            <w:vAlign w:val="top"/>
          </w:tcPr>
          <w:p>
            <w:pPr>
              <w:keepNext w:val="0"/>
              <w:keepLines w:val="0"/>
              <w:pageBreakBefore w:val="0"/>
              <w:widowControl/>
              <w:suppressLineNumbers w:val="0"/>
              <w:kinsoku/>
              <w:wordWrap/>
              <w:overflowPunct/>
              <w:topLinePunct w:val="0"/>
              <w:autoSpaceDE/>
              <w:autoSpaceDN/>
              <w:bidi w:val="0"/>
              <w:adjustRightIn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top"/>
          </w:tcPr>
          <w:p>
            <w:pPr>
              <w:keepNext w:val="0"/>
              <w:keepLines w:val="0"/>
              <w:pageBreakBefore w:val="0"/>
              <w:widowControl/>
              <w:suppressLineNumbers w:val="0"/>
              <w:kinsoku/>
              <w:wordWrap/>
              <w:overflowPunct/>
              <w:topLinePunct w:val="0"/>
              <w:autoSpaceDE/>
              <w:autoSpaceDN/>
              <w:bidi w:val="0"/>
              <w:adjustRightIn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13</w:t>
            </w:r>
          </w:p>
        </w:tc>
        <w:tc>
          <w:tcPr>
            <w:tcW w:w="3165" w:type="dxa"/>
            <w:noWrap w:val="0"/>
            <w:vAlign w:val="top"/>
          </w:tcPr>
          <w:p>
            <w:pPr>
              <w:keepNext w:val="0"/>
              <w:keepLines w:val="0"/>
              <w:pageBreakBefore w:val="0"/>
              <w:widowControl/>
              <w:suppressLineNumbers w:val="0"/>
              <w:kinsoku/>
              <w:wordWrap/>
              <w:overflowPunct/>
              <w:topLinePunct w:val="0"/>
              <w:autoSpaceDE/>
              <w:autoSpaceDN/>
              <w:bidi w:val="0"/>
              <w:adjustRightIn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抗冲击</w:t>
            </w:r>
          </w:p>
        </w:tc>
        <w:tc>
          <w:tcPr>
            <w:tcW w:w="4717" w:type="dxa"/>
            <w:noWrap w:val="0"/>
            <w:vAlign w:val="top"/>
          </w:tcPr>
          <w:p>
            <w:pPr>
              <w:keepNext w:val="0"/>
              <w:keepLines w:val="0"/>
              <w:pageBreakBefore w:val="0"/>
              <w:widowControl/>
              <w:suppressLineNumbers w:val="0"/>
              <w:kinsoku/>
              <w:wordWrap/>
              <w:overflowPunct/>
              <w:topLinePunct w:val="0"/>
              <w:autoSpaceDE/>
              <w:autoSpaceDN/>
              <w:bidi w:val="0"/>
              <w:adjustRightIn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top"/>
          </w:tcPr>
          <w:p>
            <w:pPr>
              <w:keepNext w:val="0"/>
              <w:keepLines w:val="0"/>
              <w:pageBreakBefore w:val="0"/>
              <w:widowControl/>
              <w:suppressLineNumbers w:val="0"/>
              <w:kinsoku/>
              <w:wordWrap/>
              <w:overflowPunct/>
              <w:topLinePunct w:val="0"/>
              <w:autoSpaceDE/>
              <w:autoSpaceDN/>
              <w:bidi w:val="0"/>
              <w:adjustRightInd/>
              <w:spacing w:line="440" w:lineRule="exact"/>
              <w:jc w:val="center"/>
              <w:textAlignment w:val="top"/>
              <w:rPr>
                <w:rFonts w:hint="eastAsia" w:ascii="仿宋" w:hAnsi="仿宋" w:eastAsia="仿宋" w:cs="仿宋"/>
                <w:sz w:val="24"/>
                <w:szCs w:val="24"/>
                <w:highlight w:val="none"/>
                <w:lang w:val="en-US" w:eastAsia="zh-CN"/>
              </w:rPr>
            </w:pPr>
            <w:r>
              <w:rPr>
                <w:rFonts w:hint="eastAsia" w:ascii="仿宋" w:hAnsi="仿宋" w:eastAsia="仿宋" w:cs="仿宋"/>
                <w:i w:val="0"/>
                <w:iCs w:val="0"/>
                <w:color w:val="000000"/>
                <w:kern w:val="0"/>
                <w:sz w:val="24"/>
                <w:szCs w:val="24"/>
                <w:u w:val="none"/>
                <w:lang w:val="en-US" w:eastAsia="zh-CN" w:bidi="ar"/>
              </w:rPr>
              <w:t>14</w:t>
            </w:r>
          </w:p>
        </w:tc>
        <w:tc>
          <w:tcPr>
            <w:tcW w:w="3165" w:type="dxa"/>
            <w:noWrap w:val="0"/>
            <w:vAlign w:val="top"/>
          </w:tcPr>
          <w:p>
            <w:pPr>
              <w:keepNext w:val="0"/>
              <w:keepLines w:val="0"/>
              <w:pageBreakBefore w:val="0"/>
              <w:widowControl/>
              <w:suppressLineNumbers w:val="0"/>
              <w:kinsoku/>
              <w:wordWrap/>
              <w:overflowPunct/>
              <w:topLinePunct w:val="0"/>
              <w:autoSpaceDE/>
              <w:autoSpaceDN/>
              <w:bidi w:val="0"/>
              <w:adjustRightInd/>
              <w:spacing w:line="440" w:lineRule="exact"/>
              <w:jc w:val="center"/>
              <w:textAlignment w:val="top"/>
              <w:rPr>
                <w:rFonts w:hint="eastAsia" w:ascii="仿宋" w:hAnsi="仿宋" w:eastAsia="仿宋" w:cs="仿宋"/>
                <w:kern w:val="2"/>
                <w:sz w:val="24"/>
                <w:szCs w:val="24"/>
                <w:highlight w:val="none"/>
                <w:lang w:val="en-US" w:eastAsia="zh-CN" w:bidi="ar-SA"/>
              </w:rPr>
            </w:pPr>
            <w:r>
              <w:rPr>
                <w:rFonts w:hint="eastAsia" w:ascii="仿宋" w:hAnsi="仿宋" w:eastAsia="仿宋" w:cs="仿宋"/>
                <w:i w:val="0"/>
                <w:iCs w:val="0"/>
                <w:color w:val="000000"/>
                <w:kern w:val="0"/>
                <w:sz w:val="24"/>
                <w:szCs w:val="24"/>
                <w:u w:val="none"/>
                <w:lang w:val="en-US" w:eastAsia="zh-CN" w:bidi="ar"/>
              </w:rPr>
              <w:t>甲醛释放量</w:t>
            </w:r>
          </w:p>
        </w:tc>
        <w:tc>
          <w:tcPr>
            <w:tcW w:w="4717" w:type="dxa"/>
            <w:noWrap w:val="0"/>
            <w:vAlign w:val="top"/>
          </w:tcPr>
          <w:p>
            <w:pPr>
              <w:keepNext w:val="0"/>
              <w:keepLines w:val="0"/>
              <w:pageBreakBefore w:val="0"/>
              <w:widowControl/>
              <w:suppressLineNumbers w:val="0"/>
              <w:kinsoku/>
              <w:wordWrap/>
              <w:overflowPunct/>
              <w:topLinePunct w:val="0"/>
              <w:autoSpaceDE/>
              <w:autoSpaceDN/>
              <w:bidi w:val="0"/>
              <w:adjustRightInd/>
              <w:spacing w:line="440" w:lineRule="exact"/>
              <w:jc w:val="center"/>
              <w:textAlignment w:val="top"/>
              <w:rPr>
                <w:rFonts w:hint="eastAsia" w:ascii="仿宋" w:hAnsi="仿宋" w:eastAsia="仿宋" w:cs="仿宋"/>
                <w:kern w:val="2"/>
                <w:sz w:val="24"/>
                <w:szCs w:val="24"/>
                <w:highlight w:val="none"/>
                <w:lang w:val="en-US" w:eastAsia="zh-CN" w:bidi="ar-SA"/>
              </w:rPr>
            </w:pPr>
            <w:r>
              <w:rPr>
                <w:rFonts w:hint="eastAsia" w:ascii="仿宋" w:hAnsi="仿宋" w:eastAsia="仿宋" w:cs="仿宋"/>
                <w:i w:val="0"/>
                <w:iCs w:val="0"/>
                <w:color w:val="000000"/>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top"/>
          </w:tcPr>
          <w:p>
            <w:pPr>
              <w:keepNext w:val="0"/>
              <w:keepLines w:val="0"/>
              <w:pageBreakBefore w:val="0"/>
              <w:widowControl/>
              <w:suppressLineNumbers w:val="0"/>
              <w:kinsoku/>
              <w:wordWrap/>
              <w:overflowPunct/>
              <w:topLinePunct w:val="0"/>
              <w:autoSpaceDE/>
              <w:autoSpaceDN/>
              <w:bidi w:val="0"/>
              <w:adjustRightInd/>
              <w:spacing w:line="440" w:lineRule="exact"/>
              <w:jc w:val="center"/>
              <w:textAlignment w:val="top"/>
              <w:rPr>
                <w:rFonts w:hint="eastAsia" w:ascii="仿宋" w:hAnsi="仿宋" w:eastAsia="仿宋" w:cs="仿宋"/>
                <w:sz w:val="24"/>
                <w:szCs w:val="24"/>
                <w:highlight w:val="none"/>
                <w:lang w:val="en-US" w:eastAsia="zh-CN"/>
              </w:rPr>
            </w:pPr>
            <w:r>
              <w:rPr>
                <w:rFonts w:hint="eastAsia" w:ascii="仿宋" w:hAnsi="仿宋" w:eastAsia="仿宋" w:cs="仿宋"/>
                <w:i w:val="0"/>
                <w:iCs w:val="0"/>
                <w:color w:val="000000"/>
                <w:kern w:val="0"/>
                <w:sz w:val="24"/>
                <w:szCs w:val="24"/>
                <w:u w:val="none"/>
                <w:lang w:val="en-US" w:eastAsia="zh-CN" w:bidi="ar"/>
              </w:rPr>
              <w:t>15</w:t>
            </w:r>
          </w:p>
        </w:tc>
        <w:tc>
          <w:tcPr>
            <w:tcW w:w="3165" w:type="dxa"/>
            <w:noWrap w:val="0"/>
            <w:vAlign w:val="top"/>
          </w:tcPr>
          <w:p>
            <w:pPr>
              <w:keepNext w:val="0"/>
              <w:keepLines w:val="0"/>
              <w:pageBreakBefore w:val="0"/>
              <w:widowControl/>
              <w:suppressLineNumbers w:val="0"/>
              <w:kinsoku/>
              <w:wordWrap/>
              <w:overflowPunct/>
              <w:topLinePunct w:val="0"/>
              <w:autoSpaceDE/>
              <w:autoSpaceDN/>
              <w:bidi w:val="0"/>
              <w:adjustRightInd/>
              <w:spacing w:line="440" w:lineRule="exact"/>
              <w:jc w:val="center"/>
              <w:textAlignment w:val="top"/>
              <w:rPr>
                <w:rFonts w:hint="eastAsia" w:ascii="仿宋" w:hAnsi="仿宋" w:eastAsia="仿宋" w:cs="仿宋"/>
                <w:kern w:val="2"/>
                <w:sz w:val="24"/>
                <w:szCs w:val="24"/>
                <w:highlight w:val="none"/>
                <w:lang w:val="en-US" w:eastAsia="zh-CN" w:bidi="ar-SA"/>
              </w:rPr>
            </w:pPr>
            <w:r>
              <w:rPr>
                <w:rFonts w:hint="eastAsia" w:ascii="仿宋" w:hAnsi="仿宋" w:eastAsia="仿宋" w:cs="仿宋"/>
                <w:i w:val="0"/>
                <w:iCs w:val="0"/>
                <w:color w:val="000000"/>
                <w:kern w:val="0"/>
                <w:sz w:val="24"/>
                <w:szCs w:val="24"/>
                <w:u w:val="none"/>
                <w:lang w:val="en-US" w:eastAsia="zh-CN" w:bidi="ar"/>
              </w:rPr>
              <w:t>标识</w:t>
            </w:r>
          </w:p>
        </w:tc>
        <w:tc>
          <w:tcPr>
            <w:tcW w:w="4717" w:type="dxa"/>
            <w:noWrap w:val="0"/>
            <w:vAlign w:val="top"/>
          </w:tcPr>
          <w:p>
            <w:pPr>
              <w:keepNext w:val="0"/>
              <w:keepLines w:val="0"/>
              <w:pageBreakBefore w:val="0"/>
              <w:widowControl/>
              <w:suppressLineNumbers w:val="0"/>
              <w:kinsoku/>
              <w:wordWrap/>
              <w:overflowPunct/>
              <w:topLinePunct w:val="0"/>
              <w:autoSpaceDE/>
              <w:autoSpaceDN/>
              <w:bidi w:val="0"/>
              <w:adjustRightInd/>
              <w:spacing w:line="440" w:lineRule="exact"/>
              <w:jc w:val="center"/>
              <w:textAlignment w:val="top"/>
              <w:rPr>
                <w:rFonts w:hint="eastAsia" w:ascii="仿宋" w:hAnsi="仿宋" w:eastAsia="仿宋" w:cs="仿宋"/>
                <w:kern w:val="2"/>
                <w:sz w:val="24"/>
                <w:szCs w:val="24"/>
                <w:highlight w:val="none"/>
                <w:lang w:val="en-US" w:eastAsia="zh-CN" w:bidi="ar-SA"/>
              </w:rPr>
            </w:pPr>
            <w:r>
              <w:rPr>
                <w:rFonts w:hint="eastAsia" w:ascii="仿宋" w:hAnsi="仿宋" w:eastAsia="仿宋" w:cs="仿宋"/>
                <w:i w:val="0"/>
                <w:iCs w:val="0"/>
                <w:color w:val="000000"/>
                <w:kern w:val="0"/>
                <w:sz w:val="24"/>
                <w:szCs w:val="24"/>
                <w:u w:val="none"/>
                <w:lang w:val="en-US" w:eastAsia="zh-CN" w:bidi="ar"/>
              </w:rPr>
              <w:t>GB/T 18102-2020</w:t>
            </w:r>
          </w:p>
        </w:tc>
      </w:tr>
    </w:tbl>
    <w:p>
      <w:pPr>
        <w:snapToGrid w:val="0"/>
        <w:spacing w:line="440" w:lineRule="exact"/>
        <w:jc w:val="center"/>
        <w:rPr>
          <w:rFonts w:hint="eastAsia" w:ascii="仿宋" w:hAnsi="仿宋" w:eastAsia="仿宋" w:cs="仿宋"/>
          <w:color w:val="000000"/>
          <w:sz w:val="24"/>
          <w:szCs w:val="24"/>
        </w:rPr>
      </w:pPr>
    </w:p>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表</w:t>
      </w: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 xml:space="preserve"> </w:t>
      </w:r>
      <w:r>
        <w:rPr>
          <w:rFonts w:hint="eastAsia" w:ascii="仿宋" w:hAnsi="仿宋" w:eastAsia="仿宋" w:cs="仿宋"/>
          <w:color w:val="000000"/>
          <w:kern w:val="0"/>
          <w:sz w:val="24"/>
          <w:szCs w:val="24"/>
          <w:lang w:bidi="ar"/>
        </w:rPr>
        <w:t>浸渍纸层压板饰面多层实木复合地板</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148"/>
        <w:gridCol w:w="4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17" w:type="dxa"/>
            <w:noWrap w:val="0"/>
            <w:vAlign w:val="top"/>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3148" w:type="dxa"/>
            <w:noWrap w:val="0"/>
            <w:vAlign w:val="top"/>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检验项目</w:t>
            </w:r>
          </w:p>
        </w:tc>
        <w:tc>
          <w:tcPr>
            <w:tcW w:w="4700" w:type="dxa"/>
            <w:noWrap w:val="0"/>
            <w:vAlign w:val="top"/>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auto"/>
                <w:kern w:val="0"/>
                <w:sz w:val="24"/>
                <w:szCs w:val="24"/>
                <w:u w:val="none"/>
                <w:lang w:val="en-US" w:eastAsia="zh-CN" w:bidi="ar"/>
              </w:rPr>
              <w:t>1</w:t>
            </w:r>
          </w:p>
        </w:tc>
        <w:tc>
          <w:tcPr>
            <w:tcW w:w="31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auto"/>
                <w:kern w:val="0"/>
                <w:sz w:val="24"/>
                <w:szCs w:val="24"/>
                <w:u w:val="none"/>
                <w:lang w:val="en-US" w:eastAsia="zh-CN" w:bidi="ar"/>
              </w:rPr>
              <w:t>浸渍剥离性能</w:t>
            </w:r>
          </w:p>
        </w:tc>
        <w:tc>
          <w:tcPr>
            <w:tcW w:w="4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auto"/>
                <w:kern w:val="0"/>
                <w:sz w:val="24"/>
                <w:szCs w:val="24"/>
                <w:u w:val="none"/>
                <w:lang w:val="en-US" w:eastAsia="zh-CN" w:bidi="ar"/>
              </w:rPr>
              <w:t>GB/T 18103-2013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auto"/>
                <w:kern w:val="0"/>
                <w:sz w:val="24"/>
                <w:szCs w:val="24"/>
                <w:u w:val="none"/>
                <w:lang w:val="en-US" w:eastAsia="zh-CN" w:bidi="ar"/>
              </w:rPr>
              <w:t>2</w:t>
            </w:r>
          </w:p>
        </w:tc>
        <w:tc>
          <w:tcPr>
            <w:tcW w:w="31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auto"/>
                <w:kern w:val="0"/>
                <w:sz w:val="24"/>
                <w:szCs w:val="24"/>
                <w:u w:val="none"/>
                <w:lang w:val="en-US" w:eastAsia="zh-CN" w:bidi="ar"/>
              </w:rPr>
              <w:t>静曲强度</w:t>
            </w:r>
          </w:p>
        </w:tc>
        <w:tc>
          <w:tcPr>
            <w:tcW w:w="4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auto"/>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auto"/>
                <w:kern w:val="0"/>
                <w:sz w:val="24"/>
                <w:szCs w:val="24"/>
                <w:u w:val="none"/>
                <w:lang w:val="en-US" w:eastAsia="zh-CN" w:bidi="ar"/>
              </w:rPr>
              <w:t>3</w:t>
            </w:r>
          </w:p>
        </w:tc>
        <w:tc>
          <w:tcPr>
            <w:tcW w:w="31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auto"/>
                <w:kern w:val="0"/>
                <w:sz w:val="24"/>
                <w:szCs w:val="24"/>
                <w:u w:val="none"/>
                <w:lang w:val="en-US" w:eastAsia="zh-CN" w:bidi="ar"/>
              </w:rPr>
              <w:t>弹性模量</w:t>
            </w:r>
          </w:p>
        </w:tc>
        <w:tc>
          <w:tcPr>
            <w:tcW w:w="4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auto"/>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auto"/>
                <w:kern w:val="0"/>
                <w:sz w:val="24"/>
                <w:szCs w:val="24"/>
                <w:u w:val="none"/>
                <w:lang w:val="en-US" w:eastAsia="zh-CN" w:bidi="ar"/>
              </w:rPr>
              <w:t>4</w:t>
            </w:r>
          </w:p>
        </w:tc>
        <w:tc>
          <w:tcPr>
            <w:tcW w:w="31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auto"/>
                <w:kern w:val="0"/>
                <w:sz w:val="24"/>
                <w:szCs w:val="24"/>
                <w:u w:val="none"/>
                <w:lang w:val="en-US" w:eastAsia="zh-CN" w:bidi="ar"/>
              </w:rPr>
              <w:t>含水率</w:t>
            </w:r>
          </w:p>
        </w:tc>
        <w:tc>
          <w:tcPr>
            <w:tcW w:w="4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auto"/>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auto"/>
                <w:kern w:val="0"/>
                <w:sz w:val="24"/>
                <w:szCs w:val="24"/>
                <w:u w:val="none"/>
                <w:lang w:val="en-US" w:eastAsia="zh-CN" w:bidi="ar"/>
              </w:rPr>
              <w:t>5</w:t>
            </w:r>
          </w:p>
        </w:tc>
        <w:tc>
          <w:tcPr>
            <w:tcW w:w="31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auto"/>
                <w:kern w:val="0"/>
                <w:sz w:val="24"/>
                <w:szCs w:val="24"/>
                <w:u w:val="none"/>
                <w:lang w:val="en-US" w:eastAsia="zh-CN" w:bidi="ar"/>
              </w:rPr>
              <w:t>表面耐冷热循环性能</w:t>
            </w:r>
          </w:p>
        </w:tc>
        <w:tc>
          <w:tcPr>
            <w:tcW w:w="4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auto"/>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auto"/>
                <w:kern w:val="0"/>
                <w:sz w:val="24"/>
                <w:szCs w:val="24"/>
                <w:u w:val="none"/>
                <w:lang w:val="en-US" w:eastAsia="zh-CN" w:bidi="ar"/>
              </w:rPr>
              <w:t>6</w:t>
            </w:r>
          </w:p>
        </w:tc>
        <w:tc>
          <w:tcPr>
            <w:tcW w:w="31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auto"/>
                <w:kern w:val="0"/>
                <w:sz w:val="24"/>
                <w:szCs w:val="24"/>
                <w:u w:val="none"/>
                <w:lang w:val="en-US" w:eastAsia="zh-CN" w:bidi="ar"/>
              </w:rPr>
              <w:t>表面耐划痕性能</w:t>
            </w:r>
          </w:p>
        </w:tc>
        <w:tc>
          <w:tcPr>
            <w:tcW w:w="4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auto"/>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auto"/>
                <w:kern w:val="0"/>
                <w:sz w:val="24"/>
                <w:szCs w:val="24"/>
                <w:u w:val="none"/>
                <w:lang w:val="en-US" w:eastAsia="zh-CN" w:bidi="ar"/>
              </w:rPr>
              <w:t>7</w:t>
            </w:r>
          </w:p>
        </w:tc>
        <w:tc>
          <w:tcPr>
            <w:tcW w:w="31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auto"/>
                <w:kern w:val="0"/>
                <w:sz w:val="24"/>
                <w:szCs w:val="24"/>
                <w:u w:val="none"/>
                <w:lang w:val="en-US" w:eastAsia="zh-CN" w:bidi="ar"/>
              </w:rPr>
              <w:t>尺寸稳定性</w:t>
            </w:r>
          </w:p>
        </w:tc>
        <w:tc>
          <w:tcPr>
            <w:tcW w:w="4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auto"/>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lang w:val="en-US" w:eastAsia="zh-CN"/>
              </w:rPr>
            </w:pPr>
            <w:r>
              <w:rPr>
                <w:rFonts w:hint="eastAsia" w:ascii="仿宋" w:hAnsi="仿宋" w:eastAsia="仿宋" w:cs="仿宋"/>
                <w:i w:val="0"/>
                <w:iCs w:val="0"/>
                <w:color w:val="auto"/>
                <w:kern w:val="0"/>
                <w:sz w:val="24"/>
                <w:szCs w:val="24"/>
                <w:u w:val="none"/>
                <w:lang w:val="en-US" w:eastAsia="zh-CN" w:bidi="ar"/>
              </w:rPr>
              <w:t>8</w:t>
            </w:r>
          </w:p>
        </w:tc>
        <w:tc>
          <w:tcPr>
            <w:tcW w:w="31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lang w:eastAsia="zh-CN"/>
              </w:rPr>
            </w:pPr>
            <w:r>
              <w:rPr>
                <w:rFonts w:hint="eastAsia" w:ascii="仿宋" w:hAnsi="仿宋" w:eastAsia="仿宋" w:cs="仿宋"/>
                <w:i w:val="0"/>
                <w:iCs w:val="0"/>
                <w:color w:val="auto"/>
                <w:kern w:val="0"/>
                <w:sz w:val="24"/>
                <w:szCs w:val="24"/>
                <w:u w:val="none"/>
                <w:lang w:val="en-US" w:eastAsia="zh-CN" w:bidi="ar"/>
              </w:rPr>
              <w:t>表面耐磨性能</w:t>
            </w:r>
          </w:p>
        </w:tc>
        <w:tc>
          <w:tcPr>
            <w:tcW w:w="4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auto"/>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lang w:val="en-US" w:eastAsia="zh-CN"/>
              </w:rPr>
            </w:pPr>
            <w:r>
              <w:rPr>
                <w:rFonts w:hint="eastAsia" w:ascii="仿宋" w:hAnsi="仿宋" w:eastAsia="仿宋" w:cs="仿宋"/>
                <w:i w:val="0"/>
                <w:iCs w:val="0"/>
                <w:color w:val="auto"/>
                <w:kern w:val="0"/>
                <w:sz w:val="24"/>
                <w:szCs w:val="24"/>
                <w:u w:val="none"/>
                <w:lang w:val="en-US" w:eastAsia="zh-CN" w:bidi="ar"/>
              </w:rPr>
              <w:t>9</w:t>
            </w:r>
          </w:p>
        </w:tc>
        <w:tc>
          <w:tcPr>
            <w:tcW w:w="31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lang w:eastAsia="zh-CN"/>
              </w:rPr>
            </w:pPr>
            <w:r>
              <w:rPr>
                <w:rFonts w:hint="eastAsia" w:ascii="仿宋" w:hAnsi="仿宋" w:eastAsia="仿宋" w:cs="仿宋"/>
                <w:i w:val="0"/>
                <w:iCs w:val="0"/>
                <w:color w:val="auto"/>
                <w:kern w:val="0"/>
                <w:sz w:val="24"/>
                <w:szCs w:val="24"/>
                <w:u w:val="none"/>
                <w:lang w:val="en-US" w:eastAsia="zh-CN" w:bidi="ar"/>
              </w:rPr>
              <w:t>表面耐龟裂性能</w:t>
            </w:r>
          </w:p>
        </w:tc>
        <w:tc>
          <w:tcPr>
            <w:tcW w:w="4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auto"/>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lang w:val="en-US" w:eastAsia="zh-CN"/>
              </w:rPr>
            </w:pPr>
            <w:r>
              <w:rPr>
                <w:rFonts w:hint="eastAsia" w:ascii="仿宋" w:hAnsi="仿宋" w:eastAsia="仿宋" w:cs="仿宋"/>
                <w:i w:val="0"/>
                <w:iCs w:val="0"/>
                <w:color w:val="auto"/>
                <w:kern w:val="0"/>
                <w:sz w:val="24"/>
                <w:szCs w:val="24"/>
                <w:u w:val="none"/>
                <w:lang w:val="en-US" w:eastAsia="zh-CN" w:bidi="ar"/>
              </w:rPr>
              <w:t>10</w:t>
            </w:r>
          </w:p>
        </w:tc>
        <w:tc>
          <w:tcPr>
            <w:tcW w:w="31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lang w:eastAsia="zh-CN"/>
              </w:rPr>
            </w:pPr>
            <w:r>
              <w:rPr>
                <w:rFonts w:hint="eastAsia" w:ascii="仿宋" w:hAnsi="仿宋" w:eastAsia="仿宋" w:cs="仿宋"/>
                <w:i w:val="0"/>
                <w:iCs w:val="0"/>
                <w:color w:val="auto"/>
                <w:kern w:val="0"/>
                <w:sz w:val="24"/>
                <w:szCs w:val="24"/>
                <w:u w:val="none"/>
                <w:lang w:val="en-US" w:eastAsia="zh-CN" w:bidi="ar"/>
              </w:rPr>
              <w:t>表面耐香烟灼烧性能</w:t>
            </w:r>
          </w:p>
        </w:tc>
        <w:tc>
          <w:tcPr>
            <w:tcW w:w="4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auto"/>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lang w:val="en-US" w:eastAsia="zh-CN"/>
              </w:rPr>
            </w:pPr>
            <w:r>
              <w:rPr>
                <w:rFonts w:hint="eastAsia" w:ascii="仿宋" w:hAnsi="仿宋" w:eastAsia="仿宋" w:cs="仿宋"/>
                <w:i w:val="0"/>
                <w:iCs w:val="0"/>
                <w:color w:val="auto"/>
                <w:kern w:val="0"/>
                <w:sz w:val="24"/>
                <w:szCs w:val="24"/>
                <w:u w:val="none"/>
                <w:lang w:val="en-US" w:eastAsia="zh-CN" w:bidi="ar"/>
              </w:rPr>
              <w:t>11</w:t>
            </w:r>
          </w:p>
        </w:tc>
        <w:tc>
          <w:tcPr>
            <w:tcW w:w="31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lang w:eastAsia="zh-CN"/>
              </w:rPr>
            </w:pPr>
            <w:r>
              <w:rPr>
                <w:rFonts w:hint="eastAsia" w:ascii="仿宋" w:hAnsi="仿宋" w:eastAsia="仿宋" w:cs="仿宋"/>
                <w:i w:val="0"/>
                <w:iCs w:val="0"/>
                <w:color w:val="auto"/>
                <w:kern w:val="0"/>
                <w:sz w:val="24"/>
                <w:szCs w:val="24"/>
                <w:u w:val="none"/>
                <w:lang w:val="en-US" w:eastAsia="zh-CN" w:bidi="ar"/>
              </w:rPr>
              <w:t>表面耐干热性能</w:t>
            </w:r>
          </w:p>
        </w:tc>
        <w:tc>
          <w:tcPr>
            <w:tcW w:w="4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auto"/>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lang w:val="en-US" w:eastAsia="zh-CN"/>
              </w:rPr>
            </w:pPr>
            <w:r>
              <w:rPr>
                <w:rFonts w:hint="eastAsia" w:ascii="仿宋" w:hAnsi="仿宋" w:eastAsia="仿宋" w:cs="仿宋"/>
                <w:i w:val="0"/>
                <w:iCs w:val="0"/>
                <w:color w:val="auto"/>
                <w:kern w:val="0"/>
                <w:sz w:val="24"/>
                <w:szCs w:val="24"/>
                <w:u w:val="none"/>
                <w:lang w:val="en-US" w:eastAsia="zh-CN" w:bidi="ar"/>
              </w:rPr>
              <w:t>12</w:t>
            </w:r>
          </w:p>
        </w:tc>
        <w:tc>
          <w:tcPr>
            <w:tcW w:w="31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lang w:eastAsia="zh-CN"/>
              </w:rPr>
            </w:pPr>
            <w:r>
              <w:rPr>
                <w:rFonts w:hint="eastAsia" w:ascii="仿宋" w:hAnsi="仿宋" w:eastAsia="仿宋" w:cs="仿宋"/>
                <w:i w:val="0"/>
                <w:iCs w:val="0"/>
                <w:color w:val="auto"/>
                <w:kern w:val="0"/>
                <w:sz w:val="24"/>
                <w:szCs w:val="24"/>
                <w:u w:val="none"/>
                <w:lang w:val="en-US" w:eastAsia="zh-CN" w:bidi="ar"/>
              </w:rPr>
              <w:t>表面耐湿热性能</w:t>
            </w:r>
          </w:p>
        </w:tc>
        <w:tc>
          <w:tcPr>
            <w:tcW w:w="4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auto"/>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lang w:val="en-US" w:eastAsia="zh-CN"/>
              </w:rPr>
            </w:pPr>
            <w:r>
              <w:rPr>
                <w:rFonts w:hint="eastAsia" w:ascii="仿宋" w:hAnsi="仿宋" w:eastAsia="仿宋" w:cs="仿宋"/>
                <w:i w:val="0"/>
                <w:iCs w:val="0"/>
                <w:color w:val="auto"/>
                <w:kern w:val="0"/>
                <w:sz w:val="24"/>
                <w:szCs w:val="24"/>
                <w:u w:val="none"/>
                <w:lang w:val="en-US" w:eastAsia="zh-CN" w:bidi="ar"/>
              </w:rPr>
              <w:t>13</w:t>
            </w:r>
          </w:p>
        </w:tc>
        <w:tc>
          <w:tcPr>
            <w:tcW w:w="31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lang w:eastAsia="zh-CN"/>
              </w:rPr>
            </w:pPr>
            <w:r>
              <w:rPr>
                <w:rFonts w:hint="eastAsia" w:ascii="仿宋" w:hAnsi="仿宋" w:eastAsia="仿宋" w:cs="仿宋"/>
                <w:i w:val="0"/>
                <w:iCs w:val="0"/>
                <w:color w:val="auto"/>
                <w:kern w:val="0"/>
                <w:sz w:val="24"/>
                <w:szCs w:val="24"/>
                <w:u w:val="none"/>
                <w:lang w:val="en-US" w:eastAsia="zh-CN" w:bidi="ar"/>
              </w:rPr>
              <w:t>表面耐污染性能</w:t>
            </w:r>
          </w:p>
        </w:tc>
        <w:tc>
          <w:tcPr>
            <w:tcW w:w="4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auto"/>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lang w:val="en-US" w:eastAsia="zh-CN"/>
              </w:rPr>
            </w:pPr>
            <w:r>
              <w:rPr>
                <w:rFonts w:hint="eastAsia" w:ascii="仿宋" w:hAnsi="仿宋" w:eastAsia="仿宋" w:cs="仿宋"/>
                <w:i w:val="0"/>
                <w:iCs w:val="0"/>
                <w:color w:val="auto"/>
                <w:kern w:val="0"/>
                <w:sz w:val="24"/>
                <w:szCs w:val="24"/>
                <w:u w:val="none"/>
                <w:lang w:val="en-US" w:eastAsia="zh-CN" w:bidi="ar"/>
              </w:rPr>
              <w:t>14</w:t>
            </w:r>
          </w:p>
        </w:tc>
        <w:tc>
          <w:tcPr>
            <w:tcW w:w="31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auto"/>
                <w:kern w:val="0"/>
                <w:sz w:val="24"/>
                <w:szCs w:val="24"/>
                <w:u w:val="none"/>
                <w:lang w:val="en-US" w:eastAsia="zh-CN" w:bidi="ar"/>
              </w:rPr>
              <w:t>甲醛释放量</w:t>
            </w:r>
          </w:p>
        </w:tc>
        <w:tc>
          <w:tcPr>
            <w:tcW w:w="4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auto"/>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lang w:val="en-US" w:eastAsia="zh-CN"/>
              </w:rPr>
            </w:pPr>
            <w:r>
              <w:rPr>
                <w:rFonts w:hint="eastAsia" w:ascii="仿宋" w:hAnsi="仿宋" w:eastAsia="仿宋" w:cs="仿宋"/>
                <w:i w:val="0"/>
                <w:iCs w:val="0"/>
                <w:color w:val="auto"/>
                <w:kern w:val="0"/>
                <w:sz w:val="24"/>
                <w:szCs w:val="24"/>
                <w:u w:val="none"/>
                <w:lang w:val="en-US" w:eastAsia="zh-CN" w:bidi="ar"/>
              </w:rPr>
              <w:t>15</w:t>
            </w:r>
          </w:p>
        </w:tc>
        <w:tc>
          <w:tcPr>
            <w:tcW w:w="31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auto"/>
                <w:kern w:val="0"/>
                <w:sz w:val="24"/>
                <w:szCs w:val="24"/>
                <w:u w:val="none"/>
                <w:lang w:val="en-US" w:eastAsia="zh-CN" w:bidi="ar"/>
              </w:rPr>
              <w:t>标识</w:t>
            </w:r>
          </w:p>
        </w:tc>
        <w:tc>
          <w:tcPr>
            <w:tcW w:w="4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auto"/>
                <w:kern w:val="0"/>
                <w:sz w:val="24"/>
                <w:szCs w:val="24"/>
                <w:u w:val="none"/>
                <w:lang w:val="en-US" w:eastAsia="zh-CN" w:bidi="ar"/>
              </w:rPr>
              <w:t>GB/T 24507-2020</w:t>
            </w:r>
          </w:p>
        </w:tc>
      </w:tr>
    </w:tbl>
    <w:p>
      <w:pPr>
        <w:snapToGrid w:val="0"/>
        <w:spacing w:line="440" w:lineRule="exact"/>
        <w:jc w:val="center"/>
        <w:rPr>
          <w:rFonts w:hint="eastAsia" w:ascii="仿宋" w:hAnsi="仿宋" w:eastAsia="仿宋" w:cs="仿宋"/>
          <w:b/>
          <w:bCs/>
          <w:color w:val="000000"/>
          <w:sz w:val="24"/>
          <w:szCs w:val="24"/>
        </w:rPr>
      </w:pPr>
    </w:p>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表</w:t>
      </w:r>
      <w:r>
        <w:rPr>
          <w:rFonts w:hint="eastAsia" w:ascii="仿宋" w:hAnsi="仿宋" w:eastAsia="仿宋" w:cs="仿宋"/>
          <w:color w:val="000000"/>
          <w:sz w:val="24"/>
          <w:szCs w:val="24"/>
          <w:lang w:val="en-US" w:eastAsia="zh-CN"/>
        </w:rPr>
        <w:t>5</w:t>
      </w:r>
      <w:r>
        <w:rPr>
          <w:rFonts w:hint="eastAsia" w:ascii="仿宋" w:hAnsi="仿宋" w:eastAsia="仿宋" w:cs="仿宋"/>
          <w:color w:val="000000"/>
          <w:kern w:val="0"/>
          <w:sz w:val="24"/>
          <w:szCs w:val="24"/>
          <w:lang w:bidi="ar"/>
        </w:rPr>
        <w:t>木塑地板</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105"/>
        <w:gridCol w:w="4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top"/>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3105" w:type="dxa"/>
            <w:noWrap w:val="0"/>
            <w:vAlign w:val="top"/>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检验项目</w:t>
            </w:r>
          </w:p>
        </w:tc>
        <w:tc>
          <w:tcPr>
            <w:tcW w:w="4657" w:type="dxa"/>
            <w:noWrap w:val="0"/>
            <w:vAlign w:val="top"/>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1</w:t>
            </w:r>
          </w:p>
        </w:tc>
        <w:tc>
          <w:tcPr>
            <w:tcW w:w="31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静曲强度</w:t>
            </w:r>
          </w:p>
        </w:tc>
        <w:tc>
          <w:tcPr>
            <w:tcW w:w="465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2</w:t>
            </w:r>
          </w:p>
        </w:tc>
        <w:tc>
          <w:tcPr>
            <w:tcW w:w="31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弹性模量</w:t>
            </w:r>
          </w:p>
        </w:tc>
        <w:tc>
          <w:tcPr>
            <w:tcW w:w="465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3</w:t>
            </w:r>
          </w:p>
        </w:tc>
        <w:tc>
          <w:tcPr>
            <w:tcW w:w="31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常温落球冲击</w:t>
            </w:r>
          </w:p>
        </w:tc>
        <w:tc>
          <w:tcPr>
            <w:tcW w:w="465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4</w:t>
            </w:r>
          </w:p>
        </w:tc>
        <w:tc>
          <w:tcPr>
            <w:tcW w:w="31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密度</w:t>
            </w:r>
          </w:p>
        </w:tc>
        <w:tc>
          <w:tcPr>
            <w:tcW w:w="465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5</w:t>
            </w:r>
          </w:p>
        </w:tc>
        <w:tc>
          <w:tcPr>
            <w:tcW w:w="31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吸水率</w:t>
            </w:r>
          </w:p>
        </w:tc>
        <w:tc>
          <w:tcPr>
            <w:tcW w:w="465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6</w:t>
            </w:r>
          </w:p>
        </w:tc>
        <w:tc>
          <w:tcPr>
            <w:tcW w:w="31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吸水尺寸变化率</w:t>
            </w:r>
          </w:p>
        </w:tc>
        <w:tc>
          <w:tcPr>
            <w:tcW w:w="465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GB/T 24508-2020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7</w:t>
            </w:r>
          </w:p>
        </w:tc>
        <w:tc>
          <w:tcPr>
            <w:tcW w:w="31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表面耐污染腐蚀</w:t>
            </w:r>
          </w:p>
        </w:tc>
        <w:tc>
          <w:tcPr>
            <w:tcW w:w="465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8</w:t>
            </w:r>
          </w:p>
        </w:tc>
        <w:tc>
          <w:tcPr>
            <w:tcW w:w="31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表面胶合强度</w:t>
            </w:r>
          </w:p>
        </w:tc>
        <w:tc>
          <w:tcPr>
            <w:tcW w:w="465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9</w:t>
            </w:r>
          </w:p>
        </w:tc>
        <w:tc>
          <w:tcPr>
            <w:tcW w:w="31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表面耐划痕</w:t>
            </w:r>
          </w:p>
        </w:tc>
        <w:tc>
          <w:tcPr>
            <w:tcW w:w="465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10</w:t>
            </w:r>
          </w:p>
        </w:tc>
        <w:tc>
          <w:tcPr>
            <w:tcW w:w="31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表面耐磨</w:t>
            </w:r>
          </w:p>
        </w:tc>
        <w:tc>
          <w:tcPr>
            <w:tcW w:w="465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11</w:t>
            </w:r>
          </w:p>
        </w:tc>
        <w:tc>
          <w:tcPr>
            <w:tcW w:w="31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甲醛释放量</w:t>
            </w:r>
          </w:p>
        </w:tc>
        <w:tc>
          <w:tcPr>
            <w:tcW w:w="465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GB 18580-2017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12</w:t>
            </w:r>
          </w:p>
        </w:tc>
        <w:tc>
          <w:tcPr>
            <w:tcW w:w="31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低温落锤冲击</w:t>
            </w:r>
          </w:p>
        </w:tc>
        <w:tc>
          <w:tcPr>
            <w:tcW w:w="465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GB/T 24508-2020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13</w:t>
            </w:r>
          </w:p>
        </w:tc>
        <w:tc>
          <w:tcPr>
            <w:tcW w:w="31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耐冷热循环</w:t>
            </w:r>
          </w:p>
        </w:tc>
        <w:tc>
          <w:tcPr>
            <w:tcW w:w="465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GB/T 24508-2020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14</w:t>
            </w:r>
          </w:p>
        </w:tc>
        <w:tc>
          <w:tcPr>
            <w:tcW w:w="31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标志</w:t>
            </w:r>
          </w:p>
        </w:tc>
        <w:tc>
          <w:tcPr>
            <w:tcW w:w="465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GB/T 24508-2020</w:t>
            </w:r>
          </w:p>
        </w:tc>
      </w:tr>
    </w:tbl>
    <w:p>
      <w:pPr>
        <w:adjustRightInd w:val="0"/>
        <w:snapToGrid w:val="0"/>
        <w:spacing w:line="594" w:lineRule="exact"/>
        <w:ind w:firstLine="560" w:firstLineChars="200"/>
        <w:rPr>
          <w:rFonts w:hint="eastAsia" w:ascii="仿宋_GB2312" w:eastAsia="仿宋_GB2312"/>
          <w:sz w:val="28"/>
          <w:szCs w:val="28"/>
        </w:rPr>
      </w:pP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7.</w:t>
      </w:r>
      <w:r>
        <w:rPr>
          <w:rFonts w:ascii="仿宋_GB2312" w:eastAsia="仿宋_GB2312"/>
          <w:sz w:val="28"/>
          <w:szCs w:val="28"/>
        </w:rPr>
        <w:t>2</w:t>
      </w:r>
      <w:r>
        <w:rPr>
          <w:rFonts w:hint="eastAsia" w:ascii="仿宋_GB2312" w:eastAsia="仿宋_GB2312"/>
          <w:sz w:val="28"/>
          <w:szCs w:val="28"/>
        </w:rPr>
        <w:t>检验应注意的问题</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若被检产品明示的质量要求高于本细则中检验项目依据的标准要求时，应按被检产品明示的质量要求判定。</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若被检产品明示的质量要求低于本细则中检验项目依据的强制性标准要求时，应按照强制性标准要求判定。</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若被检产品明示的质量要求低于或包含本细则中检验项目依据的推荐性标准要求时，应以被检产品明示的质量要求判定。</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若被检产品明示的质量要求缺少本细则中检验项目依据的强制性标准要求时，应按照强制性标准要求判定。</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若被检产品明示的质量要求缺少本细则中检验项目依据的推荐性标准要求时，该项目不参与判定，但应在检验报告备注中进行说明。</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8判定原则</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经检验，检验项目全部合格，判定为被抽查产品所检项目未发现不合格；检验项目中任一项或一项以上不合格，判定为被抽查产品不合格。</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9异议处理</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对被判定为不合格企业进行异议处理时，按以下方式进行：</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9.1核查不合格项目相关证据，能够以记录（纸质记录或电子记录或影像记录）或与不合格项目相关联的其它质量数据等检验证据证明。</w:t>
      </w:r>
    </w:p>
    <w:p>
      <w:pPr>
        <w:adjustRightInd w:val="0"/>
        <w:snapToGrid w:val="0"/>
        <w:spacing w:line="594" w:lineRule="exact"/>
        <w:ind w:firstLine="560" w:firstLineChars="200"/>
        <w:rPr>
          <w:rFonts w:hint="eastAsia" w:ascii="仿宋_GB2312" w:eastAsia="仿宋_GB2312"/>
          <w:sz w:val="28"/>
          <w:szCs w:val="28"/>
        </w:rPr>
      </w:pPr>
      <w:r>
        <w:rPr>
          <w:rFonts w:hint="eastAsia" w:ascii="仿宋_GB2312" w:eastAsia="仿宋_GB2312"/>
          <w:sz w:val="28"/>
          <w:szCs w:val="28"/>
        </w:rPr>
        <w:t>9.2对需要复检并具备检验条件的，处理企业异议的市场监督管理部门或者指定检验机构应当按原监督抽查细则对留存的样品或抽取的备用样品组织复检，并出具检验报告。复检结论为最终结论。</w:t>
      </w:r>
    </w:p>
    <w:p>
      <w:pPr>
        <w:adjustRightInd w:val="0"/>
        <w:snapToGrid w:val="0"/>
        <w:spacing w:line="360" w:lineRule="auto"/>
        <w:ind w:firstLine="548" w:firstLineChars="196"/>
        <w:rPr>
          <w:rFonts w:ascii="仿宋_GB2312" w:eastAsia="仿宋_GB2312"/>
          <w:b w:val="0"/>
          <w:bCs/>
          <w:sz w:val="28"/>
          <w:szCs w:val="28"/>
        </w:rPr>
      </w:pPr>
      <w:r>
        <w:rPr>
          <w:rFonts w:hint="eastAsia" w:ascii="仿宋_GB2312" w:eastAsia="仿宋_GB2312"/>
          <w:b w:val="0"/>
          <w:bCs/>
          <w:sz w:val="28"/>
          <w:szCs w:val="28"/>
          <w:lang w:val="en-US" w:eastAsia="zh-CN"/>
        </w:rPr>
        <w:t>10</w:t>
      </w:r>
      <w:r>
        <w:rPr>
          <w:rFonts w:hint="eastAsia" w:ascii="仿宋_GB2312" w:eastAsia="仿宋_GB2312"/>
          <w:b w:val="0"/>
          <w:bCs/>
          <w:sz w:val="28"/>
          <w:szCs w:val="28"/>
        </w:rPr>
        <w:t xml:space="preserve"> 附则</w:t>
      </w:r>
    </w:p>
    <w:p>
      <w:pPr>
        <w:pStyle w:val="2"/>
        <w:keepNext w:val="0"/>
        <w:keepLines w:val="0"/>
        <w:pageBreakBefore w:val="0"/>
        <w:widowControl w:val="0"/>
        <w:kinsoku/>
        <w:wordWrap/>
        <w:overflowPunct/>
        <w:autoSpaceDE/>
        <w:autoSpaceDN/>
        <w:bidi w:val="0"/>
        <w:spacing w:line="540" w:lineRule="exact"/>
        <w:textAlignment w:val="auto"/>
        <w:rPr>
          <w:rFonts w:hint="eastAsia" w:ascii="仿宋_GB2312" w:eastAsia="仿宋_GB2312"/>
          <w:sz w:val="28"/>
          <w:szCs w:val="28"/>
        </w:rPr>
      </w:pPr>
      <w:r>
        <w:rPr>
          <w:rFonts w:hint="eastAsia" w:ascii="仿宋_GB2312" w:eastAsia="仿宋_GB2312"/>
          <w:sz w:val="28"/>
          <w:szCs w:val="28"/>
        </w:rPr>
        <w:t>本细则编写单位:山东腾翔产品质量检测有限公司。</w:t>
      </w:r>
    </w:p>
    <w:p>
      <w:pPr>
        <w:pStyle w:val="2"/>
        <w:keepNext w:val="0"/>
        <w:keepLines w:val="0"/>
        <w:pageBreakBefore w:val="0"/>
        <w:widowControl w:val="0"/>
        <w:kinsoku/>
        <w:wordWrap/>
        <w:overflowPunct/>
        <w:autoSpaceDE/>
        <w:autoSpaceDN/>
        <w:bidi w:val="0"/>
        <w:spacing w:line="540" w:lineRule="exact"/>
        <w:textAlignment w:val="auto"/>
        <w:rPr>
          <w:rFonts w:hint="eastAsia" w:eastAsia="仿宋_GB2312"/>
          <w:lang w:eastAsia="zh-CN"/>
        </w:rPr>
      </w:pPr>
      <w:r>
        <w:rPr>
          <w:rFonts w:hint="eastAsia" w:ascii="仿宋_GB2312" w:eastAsia="仿宋_GB2312"/>
          <w:sz w:val="28"/>
          <w:szCs w:val="28"/>
        </w:rPr>
        <w:t xml:space="preserve">本细则由盘锦市市场监督管理局管理。 </w:t>
      </w:r>
    </w:p>
    <w:p>
      <w:pPr>
        <w:adjustRightInd w:val="0"/>
        <w:snapToGrid w:val="0"/>
        <w:spacing w:line="360" w:lineRule="auto"/>
        <w:ind w:firstLine="548" w:firstLineChars="196"/>
        <w:rPr>
          <w:rFonts w:ascii="仿宋_GB2312" w:hAnsi="黑体" w:eastAsia="仿宋_GB2312"/>
          <w:sz w:val="28"/>
          <w:szCs w:val="32"/>
        </w:rPr>
      </w:pPr>
      <w:bookmarkStart w:id="0" w:name="_GoBack"/>
      <w:bookmarkEnd w:id="0"/>
    </w:p>
    <w:p>
      <w:pPr>
        <w:pStyle w:val="2"/>
      </w:pPr>
    </w:p>
    <w:sectPr>
      <w:footerReference r:id="rId3" w:type="default"/>
      <w:pgSz w:w="11906" w:h="16838"/>
      <w:pgMar w:top="1701" w:right="1644" w:bottom="1701" w:left="164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鼎简书宋二">
    <w:altName w:val="宋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ascii="宋体" w:hAnsi="宋体" w:cs="宋体"/>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PAGE  \* MERGEFORMAT </w:instrText>
                          </w:r>
                          <w:r>
                            <w:rPr>
                              <w:rFonts w:hint="eastAsia" w:ascii="宋体" w:hAnsi="宋体" w:cs="宋体"/>
                              <w:sz w:val="21"/>
                              <w:szCs w:val="21"/>
                            </w:rPr>
                            <w:fldChar w:fldCharType="separate"/>
                          </w:r>
                          <w:r>
                            <w:rPr>
                              <w:rFonts w:ascii="宋体" w:hAnsi="宋体" w:cs="宋体"/>
                              <w:sz w:val="21"/>
                              <w:szCs w:val="21"/>
                            </w:rPr>
                            <w:t>- 2 -</w:t>
                          </w:r>
                          <w:r>
                            <w:rPr>
                              <w:rFonts w:hint="eastAsia" w:ascii="宋体" w:hAnsi="宋体" w:cs="宋体"/>
                              <w:sz w:val="21"/>
                              <w:szCs w:val="21"/>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6"/>
                      <w:rPr>
                        <w:rFonts w:ascii="宋体" w:hAnsi="宋体" w:cs="宋体"/>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PAGE  \* MERGEFORMAT </w:instrText>
                    </w:r>
                    <w:r>
                      <w:rPr>
                        <w:rFonts w:hint="eastAsia" w:ascii="宋体" w:hAnsi="宋体" w:cs="宋体"/>
                        <w:sz w:val="21"/>
                        <w:szCs w:val="21"/>
                      </w:rPr>
                      <w:fldChar w:fldCharType="separate"/>
                    </w:r>
                    <w:r>
                      <w:rPr>
                        <w:rFonts w:ascii="宋体" w:hAnsi="宋体" w:cs="宋体"/>
                        <w:sz w:val="21"/>
                        <w:szCs w:val="21"/>
                      </w:rPr>
                      <w:t>- 2 -</w:t>
                    </w:r>
                    <w:r>
                      <w:rPr>
                        <w:rFonts w:hint="eastAsia" w:ascii="宋体" w:hAnsi="宋体" w:cs="宋体"/>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kYTYzZjNlYWM3MjJlOTBiZjIwNjA2Y2UwNTk0YzgifQ=="/>
  </w:docVars>
  <w:rsids>
    <w:rsidRoot w:val="00B32679"/>
    <w:rsid w:val="00014F35"/>
    <w:rsid w:val="000204C4"/>
    <w:rsid w:val="00053EFC"/>
    <w:rsid w:val="000623B5"/>
    <w:rsid w:val="00070754"/>
    <w:rsid w:val="00073B28"/>
    <w:rsid w:val="0008672C"/>
    <w:rsid w:val="000930C6"/>
    <w:rsid w:val="00097F4F"/>
    <w:rsid w:val="000A718D"/>
    <w:rsid w:val="000A7648"/>
    <w:rsid w:val="000B46E9"/>
    <w:rsid w:val="000B5BF2"/>
    <w:rsid w:val="000C40CF"/>
    <w:rsid w:val="000E4826"/>
    <w:rsid w:val="000F79E9"/>
    <w:rsid w:val="000F7DB4"/>
    <w:rsid w:val="001300B3"/>
    <w:rsid w:val="00130529"/>
    <w:rsid w:val="00141995"/>
    <w:rsid w:val="00190AE8"/>
    <w:rsid w:val="001A2372"/>
    <w:rsid w:val="001B6E21"/>
    <w:rsid w:val="001C3E50"/>
    <w:rsid w:val="001C6932"/>
    <w:rsid w:val="001D3D4A"/>
    <w:rsid w:val="001D4CF7"/>
    <w:rsid w:val="001E71D1"/>
    <w:rsid w:val="001F0EEF"/>
    <w:rsid w:val="001F1C54"/>
    <w:rsid w:val="001F445B"/>
    <w:rsid w:val="0025241A"/>
    <w:rsid w:val="002704EE"/>
    <w:rsid w:val="002776F4"/>
    <w:rsid w:val="0028765B"/>
    <w:rsid w:val="00294A42"/>
    <w:rsid w:val="002B49FB"/>
    <w:rsid w:val="002B783E"/>
    <w:rsid w:val="002E70FD"/>
    <w:rsid w:val="003076DF"/>
    <w:rsid w:val="00341A24"/>
    <w:rsid w:val="00345DF4"/>
    <w:rsid w:val="003626D0"/>
    <w:rsid w:val="00373FB4"/>
    <w:rsid w:val="0037771F"/>
    <w:rsid w:val="003812B8"/>
    <w:rsid w:val="00387151"/>
    <w:rsid w:val="00387BC2"/>
    <w:rsid w:val="003901CA"/>
    <w:rsid w:val="00396E4A"/>
    <w:rsid w:val="00397AD9"/>
    <w:rsid w:val="003A5FDA"/>
    <w:rsid w:val="003A773D"/>
    <w:rsid w:val="003B64F6"/>
    <w:rsid w:val="003C2030"/>
    <w:rsid w:val="003D558C"/>
    <w:rsid w:val="003F6E0B"/>
    <w:rsid w:val="00400181"/>
    <w:rsid w:val="00401EBD"/>
    <w:rsid w:val="00413A29"/>
    <w:rsid w:val="0041721D"/>
    <w:rsid w:val="00422D25"/>
    <w:rsid w:val="00431DF0"/>
    <w:rsid w:val="00435B96"/>
    <w:rsid w:val="00474497"/>
    <w:rsid w:val="0048725B"/>
    <w:rsid w:val="004911A3"/>
    <w:rsid w:val="004C6996"/>
    <w:rsid w:val="004D363B"/>
    <w:rsid w:val="004E0A2B"/>
    <w:rsid w:val="00500F8C"/>
    <w:rsid w:val="005017AC"/>
    <w:rsid w:val="00506CA8"/>
    <w:rsid w:val="00517D56"/>
    <w:rsid w:val="00522D22"/>
    <w:rsid w:val="00527EE9"/>
    <w:rsid w:val="00535688"/>
    <w:rsid w:val="005535EA"/>
    <w:rsid w:val="0055450C"/>
    <w:rsid w:val="00561759"/>
    <w:rsid w:val="00585440"/>
    <w:rsid w:val="00591CFA"/>
    <w:rsid w:val="005B1CBA"/>
    <w:rsid w:val="005D21DE"/>
    <w:rsid w:val="005D5D25"/>
    <w:rsid w:val="005E7252"/>
    <w:rsid w:val="00601AE5"/>
    <w:rsid w:val="00602822"/>
    <w:rsid w:val="006109C5"/>
    <w:rsid w:val="00616651"/>
    <w:rsid w:val="00642116"/>
    <w:rsid w:val="0064672C"/>
    <w:rsid w:val="00655BF3"/>
    <w:rsid w:val="006579D3"/>
    <w:rsid w:val="0066127D"/>
    <w:rsid w:val="0067014B"/>
    <w:rsid w:val="00672090"/>
    <w:rsid w:val="00673170"/>
    <w:rsid w:val="0067546D"/>
    <w:rsid w:val="00676455"/>
    <w:rsid w:val="00694E22"/>
    <w:rsid w:val="00694E7B"/>
    <w:rsid w:val="006A37F9"/>
    <w:rsid w:val="006C2F2A"/>
    <w:rsid w:val="006C40C9"/>
    <w:rsid w:val="006C6256"/>
    <w:rsid w:val="006D44E0"/>
    <w:rsid w:val="006D67D2"/>
    <w:rsid w:val="006E0EB3"/>
    <w:rsid w:val="006E202F"/>
    <w:rsid w:val="006E49E5"/>
    <w:rsid w:val="006F0477"/>
    <w:rsid w:val="006F3A1F"/>
    <w:rsid w:val="006F64A7"/>
    <w:rsid w:val="007024A4"/>
    <w:rsid w:val="00703F28"/>
    <w:rsid w:val="0071325A"/>
    <w:rsid w:val="0072053A"/>
    <w:rsid w:val="00725A28"/>
    <w:rsid w:val="007425B8"/>
    <w:rsid w:val="007509E8"/>
    <w:rsid w:val="00771CBF"/>
    <w:rsid w:val="00780717"/>
    <w:rsid w:val="00784475"/>
    <w:rsid w:val="007920FB"/>
    <w:rsid w:val="00795803"/>
    <w:rsid w:val="007F1EC3"/>
    <w:rsid w:val="0083253B"/>
    <w:rsid w:val="0083269E"/>
    <w:rsid w:val="0086199A"/>
    <w:rsid w:val="00862CA8"/>
    <w:rsid w:val="00864767"/>
    <w:rsid w:val="00865236"/>
    <w:rsid w:val="008735DD"/>
    <w:rsid w:val="008741C9"/>
    <w:rsid w:val="00885EF2"/>
    <w:rsid w:val="00891150"/>
    <w:rsid w:val="008A7442"/>
    <w:rsid w:val="008B29A9"/>
    <w:rsid w:val="008C6985"/>
    <w:rsid w:val="00904983"/>
    <w:rsid w:val="00907571"/>
    <w:rsid w:val="0091728B"/>
    <w:rsid w:val="009312EA"/>
    <w:rsid w:val="00957B40"/>
    <w:rsid w:val="009741E2"/>
    <w:rsid w:val="00985542"/>
    <w:rsid w:val="0098705C"/>
    <w:rsid w:val="009B19BD"/>
    <w:rsid w:val="009B65CD"/>
    <w:rsid w:val="009C010E"/>
    <w:rsid w:val="009C070A"/>
    <w:rsid w:val="009D01CC"/>
    <w:rsid w:val="009D4E50"/>
    <w:rsid w:val="00A21244"/>
    <w:rsid w:val="00A66407"/>
    <w:rsid w:val="00A8269E"/>
    <w:rsid w:val="00AA06F9"/>
    <w:rsid w:val="00AA1224"/>
    <w:rsid w:val="00AE3359"/>
    <w:rsid w:val="00AE7967"/>
    <w:rsid w:val="00B03A40"/>
    <w:rsid w:val="00B043A5"/>
    <w:rsid w:val="00B10826"/>
    <w:rsid w:val="00B20DCF"/>
    <w:rsid w:val="00B32679"/>
    <w:rsid w:val="00B70C44"/>
    <w:rsid w:val="00B71B29"/>
    <w:rsid w:val="00B738C7"/>
    <w:rsid w:val="00B813C6"/>
    <w:rsid w:val="00B864DB"/>
    <w:rsid w:val="00B938E2"/>
    <w:rsid w:val="00BB3727"/>
    <w:rsid w:val="00BB6052"/>
    <w:rsid w:val="00BC5EBE"/>
    <w:rsid w:val="00BD56E4"/>
    <w:rsid w:val="00BE410C"/>
    <w:rsid w:val="00C00962"/>
    <w:rsid w:val="00C023B0"/>
    <w:rsid w:val="00C731A1"/>
    <w:rsid w:val="00C80094"/>
    <w:rsid w:val="00CC70FE"/>
    <w:rsid w:val="00CE33AA"/>
    <w:rsid w:val="00CE3EEC"/>
    <w:rsid w:val="00CE626B"/>
    <w:rsid w:val="00CE7A86"/>
    <w:rsid w:val="00D21591"/>
    <w:rsid w:val="00D511F5"/>
    <w:rsid w:val="00D53080"/>
    <w:rsid w:val="00D5315E"/>
    <w:rsid w:val="00D71625"/>
    <w:rsid w:val="00D77A15"/>
    <w:rsid w:val="00D82F23"/>
    <w:rsid w:val="00DB17A3"/>
    <w:rsid w:val="00DB51A6"/>
    <w:rsid w:val="00DD76E0"/>
    <w:rsid w:val="00E0495E"/>
    <w:rsid w:val="00E0683A"/>
    <w:rsid w:val="00E11DB4"/>
    <w:rsid w:val="00E24F62"/>
    <w:rsid w:val="00E25CB8"/>
    <w:rsid w:val="00E4383B"/>
    <w:rsid w:val="00E47A1C"/>
    <w:rsid w:val="00E57036"/>
    <w:rsid w:val="00E67A5D"/>
    <w:rsid w:val="00E75C4E"/>
    <w:rsid w:val="00E84E68"/>
    <w:rsid w:val="00E918C6"/>
    <w:rsid w:val="00E97924"/>
    <w:rsid w:val="00EC0A1C"/>
    <w:rsid w:val="00EC46F1"/>
    <w:rsid w:val="00EC5562"/>
    <w:rsid w:val="00ED32BF"/>
    <w:rsid w:val="00ED6E86"/>
    <w:rsid w:val="00EE637B"/>
    <w:rsid w:val="00F04F3B"/>
    <w:rsid w:val="00F15A10"/>
    <w:rsid w:val="00F15D77"/>
    <w:rsid w:val="00F33E4B"/>
    <w:rsid w:val="00F35E82"/>
    <w:rsid w:val="00F363AD"/>
    <w:rsid w:val="00F54A74"/>
    <w:rsid w:val="00F55E33"/>
    <w:rsid w:val="00F6554B"/>
    <w:rsid w:val="00F67C53"/>
    <w:rsid w:val="00F7538D"/>
    <w:rsid w:val="00F7631B"/>
    <w:rsid w:val="00FA62AA"/>
    <w:rsid w:val="00FB0D1C"/>
    <w:rsid w:val="00FD30CE"/>
    <w:rsid w:val="00FE3786"/>
    <w:rsid w:val="047B6E55"/>
    <w:rsid w:val="0F982805"/>
    <w:rsid w:val="22E5774B"/>
    <w:rsid w:val="354925FA"/>
    <w:rsid w:val="3960230B"/>
    <w:rsid w:val="3BD10CA3"/>
    <w:rsid w:val="41811BF6"/>
    <w:rsid w:val="424C0FE7"/>
    <w:rsid w:val="43EA3C80"/>
    <w:rsid w:val="460C775D"/>
    <w:rsid w:val="4E7E71EB"/>
    <w:rsid w:val="5D5C01D5"/>
    <w:rsid w:val="60215D14"/>
    <w:rsid w:val="68121426"/>
    <w:rsid w:val="681E22A3"/>
    <w:rsid w:val="74C3265F"/>
    <w:rsid w:val="75805B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wang正文"/>
    <w:basedOn w:val="1"/>
    <w:qFormat/>
    <w:uiPriority w:val="0"/>
    <w:pPr>
      <w:tabs>
        <w:tab w:val="left" w:pos="6840"/>
      </w:tabs>
      <w:topLinePunct/>
      <w:ind w:firstLine="420"/>
    </w:pPr>
    <w:rPr>
      <w:kern w:val="0"/>
    </w:rPr>
  </w:style>
  <w:style w:type="paragraph" w:styleId="3">
    <w:name w:val="Plain Text"/>
    <w:basedOn w:val="1"/>
    <w:unhideWhenUsed/>
    <w:qFormat/>
    <w:uiPriority w:val="0"/>
    <w:rPr>
      <w:rFonts w:ascii="宋体" w:hAnsi="Courier New"/>
      <w:kern w:val="0"/>
      <w:sz w:val="20"/>
      <w:szCs w:val="20"/>
    </w:rPr>
  </w:style>
  <w:style w:type="paragraph" w:styleId="4">
    <w:name w:val="Date"/>
    <w:basedOn w:val="1"/>
    <w:next w:val="1"/>
    <w:link w:val="15"/>
    <w:semiHidden/>
    <w:unhideWhenUsed/>
    <w:qFormat/>
    <w:uiPriority w:val="99"/>
    <w:pPr>
      <w:ind w:left="100" w:leftChars="2500"/>
    </w:pPr>
  </w:style>
  <w:style w:type="paragraph" w:styleId="5">
    <w:name w:val="Balloon Text"/>
    <w:basedOn w:val="1"/>
    <w:link w:val="11"/>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批注框文本 Char"/>
    <w:basedOn w:val="10"/>
    <w:link w:val="5"/>
    <w:semiHidden/>
    <w:qFormat/>
    <w:uiPriority w:val="99"/>
    <w:rPr>
      <w:rFonts w:ascii="Calibri" w:hAnsi="Calibri" w:eastAsia="宋体" w:cs="Times New Roman"/>
      <w:sz w:val="18"/>
      <w:szCs w:val="18"/>
    </w:rPr>
  </w:style>
  <w:style w:type="paragraph" w:customStyle="1" w:styleId="12">
    <w:name w:val="肥料正文"/>
    <w:basedOn w:val="1"/>
    <w:qFormat/>
    <w:uiPriority w:val="0"/>
    <w:pPr>
      <w:adjustRightInd w:val="0"/>
      <w:snapToGrid w:val="0"/>
      <w:spacing w:line="316" w:lineRule="auto"/>
      <w:ind w:firstLine="200" w:firstLineChars="200"/>
    </w:pPr>
    <w:rPr>
      <w:rFonts w:ascii="Times New Roman" w:hAnsi="Times New Roman" w:eastAsia="汉鼎简书宋二"/>
      <w:spacing w:val="2"/>
      <w:kern w:val="0"/>
      <w:sz w:val="22"/>
      <w:szCs w:val="24"/>
    </w:rPr>
  </w:style>
  <w:style w:type="character" w:customStyle="1" w:styleId="13">
    <w:name w:val="页眉 Char"/>
    <w:basedOn w:val="10"/>
    <w:link w:val="7"/>
    <w:qFormat/>
    <w:uiPriority w:val="99"/>
    <w:rPr>
      <w:rFonts w:ascii="Calibri" w:hAnsi="Calibri" w:eastAsia="宋体" w:cs="Times New Roman"/>
      <w:sz w:val="18"/>
      <w:szCs w:val="18"/>
    </w:rPr>
  </w:style>
  <w:style w:type="character" w:customStyle="1" w:styleId="14">
    <w:name w:val="页脚 Char"/>
    <w:basedOn w:val="10"/>
    <w:link w:val="6"/>
    <w:qFormat/>
    <w:uiPriority w:val="99"/>
    <w:rPr>
      <w:rFonts w:ascii="Calibri" w:hAnsi="Calibri" w:eastAsia="宋体" w:cs="Times New Roman"/>
      <w:sz w:val="18"/>
      <w:szCs w:val="18"/>
    </w:rPr>
  </w:style>
  <w:style w:type="character" w:customStyle="1" w:styleId="15">
    <w:name w:val="日期 Char"/>
    <w:basedOn w:val="10"/>
    <w:link w:val="4"/>
    <w:semiHidden/>
    <w:qFormat/>
    <w:uiPriority w:val="99"/>
    <w:rPr>
      <w:rFonts w:ascii="Calibri" w:hAnsi="Calibri" w:eastAsia="宋体" w:cs="Times New Roman"/>
    </w:rPr>
  </w:style>
  <w:style w:type="paragraph" w:customStyle="1" w:styleId="16">
    <w:name w:val="列出段落1"/>
    <w:basedOn w:val="1"/>
    <w:next w:val="1"/>
    <w:qFormat/>
    <w:uiPriority w:val="34"/>
    <w:pPr>
      <w:ind w:firstLine="420" w:firstLineChars="200"/>
    </w:pPr>
    <w:rPr>
      <w:rFonts w:ascii="Calibri" w:hAnsi="Calibri" w:eastAsia="宋体" w:cs="黑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2244</Words>
  <Characters>2947</Characters>
  <Lines>17</Lines>
  <Paragraphs>4</Paragraphs>
  <TotalTime>0</TotalTime>
  <ScaleCrop>false</ScaleCrop>
  <LinksUpToDate>false</LinksUpToDate>
  <CharactersWithSpaces>3016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2019-12-17T05:00:00Z</dcterms:created>
  <dc:creator>jiangdw</dc:creator>
  <cp:lastModifiedBy>dell</cp:lastModifiedBy>
  <dcterms:modified xsi:type="dcterms:W3CDTF">2022-07-18T00:44:26Z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F0592B43261D4FCE833D5981A439AEC4</vt:lpwstr>
  </property>
</Properties>
</file>