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bCs/>
          <w:spacing w:val="20"/>
          <w:w w:val="105"/>
          <w:sz w:val="32"/>
          <w:szCs w:val="32"/>
        </w:rPr>
      </w:pPr>
      <w:r>
        <w:rPr>
          <w:rFonts w:hint="eastAsia" w:ascii="仿宋_GB2312" w:hAnsi="宋体" w:eastAsia="仿宋_GB2312" w:cs="黑体"/>
          <w:b/>
          <w:bCs/>
          <w:spacing w:val="20"/>
          <w:w w:val="105"/>
          <w:sz w:val="32"/>
          <w:szCs w:val="32"/>
          <w:lang w:val="en-US" w:eastAsia="zh-CN"/>
        </w:rPr>
        <w:t>2022年盘锦市</w:t>
      </w:r>
      <w:r>
        <w:rPr>
          <w:rFonts w:hint="eastAsia" w:ascii="仿宋_GB2312" w:hAnsi="宋体" w:eastAsia="仿宋_GB2312" w:cs="黑体"/>
          <w:b/>
          <w:bCs/>
          <w:spacing w:val="20"/>
          <w:w w:val="105"/>
          <w:sz w:val="32"/>
          <w:szCs w:val="32"/>
        </w:rPr>
        <w:t>燃气</w:t>
      </w:r>
      <w:r>
        <w:rPr>
          <w:rFonts w:hint="eastAsia" w:ascii="仿宋_GB2312" w:hAnsi="宋体" w:eastAsia="仿宋_GB2312" w:cs="黑体"/>
          <w:b/>
          <w:bCs/>
          <w:spacing w:val="20"/>
          <w:w w:val="105"/>
          <w:sz w:val="32"/>
          <w:szCs w:val="32"/>
          <w:lang w:eastAsia="zh-CN"/>
        </w:rPr>
        <w:t>报警</w:t>
      </w:r>
      <w:r>
        <w:rPr>
          <w:rFonts w:hint="eastAsia" w:ascii="仿宋_GB2312" w:hAnsi="宋体" w:eastAsia="仿宋_GB2312" w:cs="黑体"/>
          <w:b/>
          <w:bCs/>
          <w:spacing w:val="20"/>
          <w:w w:val="105"/>
          <w:sz w:val="32"/>
          <w:szCs w:val="32"/>
        </w:rPr>
        <w:t>器</w:t>
      </w:r>
    </w:p>
    <w:p>
      <w:pPr>
        <w:jc w:val="center"/>
        <w:rPr>
          <w:rFonts w:ascii="仿宋_GB2312" w:hAnsi="宋体" w:eastAsia="仿宋_GB2312" w:cs="黑体"/>
          <w:b/>
          <w:bCs/>
          <w:spacing w:val="20"/>
          <w:w w:val="105"/>
          <w:sz w:val="32"/>
          <w:szCs w:val="32"/>
        </w:rPr>
      </w:pPr>
      <w:r>
        <w:rPr>
          <w:rFonts w:hint="eastAsia" w:ascii="仿宋_GB2312" w:hAnsi="宋体" w:eastAsia="仿宋_GB2312" w:cs="黑体"/>
          <w:b/>
          <w:bCs/>
          <w:spacing w:val="20"/>
          <w:w w:val="105"/>
          <w:sz w:val="32"/>
          <w:szCs w:val="32"/>
        </w:rPr>
        <w:t>产品质量监督抽查实施细则</w:t>
      </w:r>
    </w:p>
    <w:p>
      <w:pPr>
        <w:adjustRightInd w:val="0"/>
        <w:snapToGrid w:val="0"/>
        <w:spacing w:line="594" w:lineRule="exact"/>
        <w:ind w:firstLine="560" w:firstLineChars="200"/>
        <w:rPr>
          <w:rFonts w:ascii="仿宋_GB2312" w:hAnsi="仿宋" w:eastAsia="仿宋_GB2312" w:cs="仿宋"/>
          <w:sz w:val="28"/>
          <w:szCs w:val="28"/>
        </w:rPr>
      </w:pP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 适用范围</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本细则适用于</w:t>
      </w:r>
      <w:r>
        <w:rPr>
          <w:rFonts w:hint="eastAsia" w:ascii="仿宋_GB2312" w:hAnsi="仿宋" w:eastAsia="仿宋_GB2312" w:cs="仿宋"/>
          <w:sz w:val="28"/>
          <w:szCs w:val="28"/>
          <w:lang w:eastAsia="zh-CN"/>
        </w:rPr>
        <w:t>盘锦市燃气报警器</w:t>
      </w:r>
      <w:r>
        <w:rPr>
          <w:rFonts w:hint="eastAsia" w:ascii="仿宋_GB2312" w:hAnsi="仿宋" w:eastAsia="仿宋_GB2312" w:cs="仿宋"/>
          <w:sz w:val="28"/>
          <w:szCs w:val="28"/>
        </w:rPr>
        <w:t>产品质量监督抽查，针对特殊情况的专项抽查、</w:t>
      </w:r>
      <w:r>
        <w:rPr>
          <w:rFonts w:hint="eastAsia" w:ascii="仿宋_GB2312" w:hAnsi="仿宋" w:eastAsia="仿宋_GB2312" w:cs="仿宋"/>
          <w:sz w:val="28"/>
          <w:szCs w:val="28"/>
          <w:lang w:eastAsia="zh-CN"/>
        </w:rPr>
        <w:t>盘锦市</w:t>
      </w:r>
      <w:r>
        <w:rPr>
          <w:rFonts w:hint="eastAsia" w:ascii="仿宋_GB2312" w:hAnsi="仿宋" w:eastAsia="仿宋_GB2312" w:cs="仿宋"/>
          <w:sz w:val="28"/>
          <w:szCs w:val="28"/>
        </w:rPr>
        <w:t>内县级及以上地方市场监督管理部门组织的地方专项监督抽查可参照执行。本实施细则内容包括产品种类、术语和定义、生产企业规模划分、检验依据、抽样、检验要求、判定原则及异议处理。</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 产品种类</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2.1产品种类</w:t>
      </w:r>
    </w:p>
    <w:p>
      <w:pPr>
        <w:widowControl/>
        <w:spacing w:line="594" w:lineRule="exact"/>
        <w:ind w:firstLine="560" w:firstLineChars="200"/>
        <w:jc w:val="left"/>
        <w:rPr>
          <w:rFonts w:ascii="仿宋_GB2312" w:hAnsi="仿宋" w:eastAsia="仿宋_GB2312" w:cs="仿宋"/>
          <w:sz w:val="28"/>
          <w:szCs w:val="28"/>
        </w:rPr>
      </w:pPr>
      <w:r>
        <w:rPr>
          <w:rFonts w:hint="eastAsia" w:ascii="仿宋_GB2312" w:eastAsia="仿宋_GB2312"/>
          <w:sz w:val="28"/>
          <w:szCs w:val="28"/>
        </w:rPr>
        <w:t>按产品执行标准分类</w:t>
      </w:r>
      <w:r>
        <w:rPr>
          <w:rFonts w:hint="eastAsia" w:ascii="仿宋_GB2312" w:hAnsi="仿宋" w:eastAsia="仿宋_GB2312" w:cs="仿宋"/>
          <w:sz w:val="28"/>
          <w:szCs w:val="28"/>
        </w:rPr>
        <w:t>：</w:t>
      </w:r>
      <w:r>
        <w:rPr>
          <w:rFonts w:hint="eastAsia" w:ascii="仿宋_GB2312" w:hAnsi="仿宋" w:eastAsia="仿宋_GB2312" w:cs="仿宋"/>
          <w:color w:val="000000"/>
          <w:kern w:val="0"/>
          <w:sz w:val="28"/>
          <w:szCs w:val="28"/>
        </w:rPr>
        <w:t>家用可燃气体探测器</w:t>
      </w:r>
      <w:r>
        <w:rPr>
          <w:rFonts w:hint="eastAsia" w:ascii="仿宋_GB2312" w:hAnsi="仿宋" w:eastAsia="仿宋_GB2312" w:cs="仿宋"/>
          <w:color w:val="000000"/>
          <w:kern w:val="0"/>
          <w:sz w:val="28"/>
          <w:szCs w:val="28"/>
          <w:lang w:eastAsia="zh-CN"/>
        </w:rPr>
        <w:t>、</w:t>
      </w:r>
      <w:r>
        <w:rPr>
          <w:rFonts w:hint="eastAsia" w:ascii="仿宋_GB2312" w:hAnsi="仿宋" w:eastAsia="仿宋_GB2312" w:cs="仿宋"/>
          <w:color w:val="000000"/>
          <w:kern w:val="0"/>
          <w:sz w:val="28"/>
          <w:szCs w:val="28"/>
        </w:rPr>
        <w:t>家用和小型餐饮厨房用燃气报警器</w:t>
      </w:r>
      <w:r>
        <w:rPr>
          <w:rFonts w:hint="eastAsia" w:ascii="仿宋_GB2312" w:hAnsi="仿宋" w:eastAsia="仿宋_GB2312" w:cs="仿宋"/>
          <w:color w:val="000000"/>
          <w:kern w:val="0"/>
          <w:sz w:val="28"/>
          <w:szCs w:val="28"/>
          <w:lang w:eastAsia="zh-CN"/>
        </w:rPr>
        <w:t>、</w:t>
      </w:r>
      <w:r>
        <w:rPr>
          <w:rFonts w:hint="eastAsia" w:ascii="仿宋_GB2312" w:hAnsi="仿宋" w:eastAsia="仿宋_GB2312" w:cs="仿宋"/>
          <w:color w:val="000000"/>
          <w:kern w:val="0"/>
          <w:sz w:val="28"/>
          <w:szCs w:val="28"/>
        </w:rPr>
        <w:t>家用燃气报警器。</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 术语和定义</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本细则中所使用的术语和定义同相关引用标准。</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 生产企业规模划分</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根据国家统计局印发的相关管理办法，确定企业规模。</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 检验依据</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凡是注日期的文件，其随后所有的修改单（不包括勘误的内容）或修订版不适用于本细则。凡是不注日期的文件，其最新版本适用于本细则。</w:t>
      </w:r>
    </w:p>
    <w:p>
      <w:pPr>
        <w:adjustRightInd w:val="0"/>
        <w:snapToGrid w:val="0"/>
        <w:spacing w:line="594"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GB 15322.2-2019《可燃气体探测器 第2部分：家用可燃气体探测器》</w:t>
      </w:r>
    </w:p>
    <w:p>
      <w:pPr>
        <w:adjustRightInd w:val="0"/>
        <w:snapToGrid w:val="0"/>
        <w:spacing w:line="594"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GB/T 34004-2017《家用和小型餐饮厨房用燃气报警器及传感器》</w:t>
      </w:r>
    </w:p>
    <w:p>
      <w:pPr>
        <w:adjustRightInd w:val="0"/>
        <w:snapToGrid w:val="0"/>
        <w:spacing w:line="594" w:lineRule="exact"/>
        <w:ind w:firstLine="560" w:firstLineChars="200"/>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rPr>
        <w:t>CJ/T 347-2010《家用燃气报警器及传感器》</w:t>
      </w:r>
    </w:p>
    <w:p>
      <w:pPr>
        <w:snapToGrid w:val="0"/>
        <w:spacing w:line="594" w:lineRule="exact"/>
        <w:ind w:firstLine="560" w:firstLineChars="200"/>
        <w:rPr>
          <w:rFonts w:ascii="仿宋_GB2312" w:hAnsi="仿宋" w:eastAsia="仿宋_GB2312" w:cs="仿宋"/>
          <w:color w:val="000000"/>
          <w:sz w:val="28"/>
          <w:szCs w:val="28"/>
        </w:rPr>
      </w:pPr>
      <w:r>
        <w:rPr>
          <w:rFonts w:hint="eastAsia" w:ascii="仿宋_GB2312" w:hAnsi="仿宋" w:eastAsia="仿宋_GB2312" w:cs="仿宋"/>
          <w:color w:val="000000"/>
          <w:sz w:val="28"/>
          <w:szCs w:val="28"/>
        </w:rPr>
        <w:t>相关的法律法规、部门规章和规范</w:t>
      </w:r>
    </w:p>
    <w:p>
      <w:pPr>
        <w:pStyle w:val="13"/>
        <w:spacing w:line="594" w:lineRule="exact"/>
        <w:ind w:left="0" w:firstLine="560" w:firstLineChars="200"/>
        <w:rPr>
          <w:rFonts w:ascii="仿宋_GB2312" w:hAnsi="仿宋" w:eastAsia="仿宋_GB2312" w:cs="仿宋"/>
          <w:kern w:val="0"/>
          <w:sz w:val="28"/>
          <w:szCs w:val="28"/>
        </w:rPr>
      </w:pPr>
      <w:r>
        <w:rPr>
          <w:rFonts w:hint="eastAsia" w:ascii="仿宋_GB2312" w:hAnsi="仿宋" w:eastAsia="仿宋_GB2312" w:cs="仿宋"/>
          <w:sz w:val="28"/>
          <w:szCs w:val="28"/>
        </w:rPr>
        <w:t>经公示现行有效的企业标准、地方标准、团体标准及产品明示质量要求。</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 抽样</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6.1抽样型号或规格</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抽取样品应为同一型号规格、同一批次的产品，优先抽取企业的主导产品。</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6.2抽样基数、抽样数量</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 xml:space="preserve">6.2.1 </w:t>
      </w:r>
      <w:r>
        <w:rPr>
          <w:rFonts w:hint="eastAsia" w:ascii="仿宋_GB2312" w:hAnsi="仿宋_GB2312" w:eastAsia="仿宋_GB2312" w:cs="仿宋_GB2312"/>
          <w:sz w:val="28"/>
          <w:szCs w:val="28"/>
        </w:rPr>
        <w:t>在企业的成品库内或市场待销产品中随机抽取有产品质量检验合格证明或者以其他形式表明合格的、近期生产的产品。</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6.2.2抽样基数</w:t>
      </w:r>
    </w:p>
    <w:p>
      <w:pPr>
        <w:adjustRightInd w:val="0"/>
        <w:snapToGrid w:val="0"/>
        <w:spacing w:line="594"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生产领域抽样时，</w:t>
      </w:r>
      <w:r>
        <w:rPr>
          <w:rFonts w:hint="eastAsia" w:ascii="仿宋_GB2312" w:eastAsia="仿宋_GB2312"/>
          <w:sz w:val="28"/>
          <w:szCs w:val="28"/>
        </w:rPr>
        <w:t>抽样基数满足抽样数量即可</w:t>
      </w:r>
      <w:r>
        <w:rPr>
          <w:rFonts w:hint="eastAsia" w:ascii="仿宋_GB2312" w:hAnsi="仿宋_GB2312" w:eastAsia="仿宋_GB2312" w:cs="仿宋_GB2312"/>
          <w:sz w:val="28"/>
          <w:szCs w:val="28"/>
        </w:rPr>
        <w:t>。在流通领域抽样时，抽样基数满足抽样数量即可。</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6.2.3抽样方法及数量</w:t>
      </w:r>
    </w:p>
    <w:p>
      <w:pPr>
        <w:pStyle w:val="8"/>
        <w:spacing w:line="594" w:lineRule="exact"/>
        <w:ind w:firstLine="200"/>
        <w:rPr>
          <w:rFonts w:ascii="仿宋_GB2312" w:eastAsia="仿宋_GB2312"/>
          <w:color w:val="0000FF"/>
          <w:sz w:val="28"/>
          <w:szCs w:val="28"/>
        </w:rPr>
      </w:pPr>
      <w:r>
        <w:rPr>
          <w:rFonts w:hint="eastAsia" w:ascii="仿宋_GB2312" w:eastAsia="仿宋_GB2312"/>
          <w:sz w:val="28"/>
          <w:szCs w:val="28"/>
        </w:rPr>
        <w:t>每批次产品随机抽取样品数量见表1。</w:t>
      </w:r>
    </w:p>
    <w:p>
      <w:pPr>
        <w:spacing w:line="594" w:lineRule="exact"/>
        <w:jc w:val="center"/>
        <w:rPr>
          <w:rFonts w:hint="eastAsia" w:ascii="仿宋" w:hAnsi="仿宋" w:eastAsia="仿宋" w:cs="仿宋"/>
          <w:sz w:val="24"/>
          <w:szCs w:val="24"/>
          <w:lang w:eastAsia="zh-CN"/>
        </w:rPr>
      </w:pPr>
      <w:r>
        <w:rPr>
          <w:rFonts w:hint="eastAsia" w:ascii="仿宋" w:hAnsi="仿宋" w:eastAsia="仿宋" w:cs="仿宋"/>
          <w:color w:val="000000"/>
          <w:sz w:val="24"/>
          <w:szCs w:val="24"/>
        </w:rPr>
        <w:t>表1</w:t>
      </w:r>
      <w:r>
        <w:rPr>
          <w:rFonts w:hint="eastAsia" w:ascii="仿宋" w:hAnsi="仿宋" w:eastAsia="仿宋" w:cs="仿宋"/>
          <w:color w:val="000000"/>
          <w:sz w:val="24"/>
          <w:szCs w:val="24"/>
          <w:lang w:eastAsia="zh-CN"/>
        </w:rPr>
        <w:t>抽样数量</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8"/>
        <w:gridCol w:w="2792"/>
        <w:gridCol w:w="199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8" w:type="dxa"/>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序号</w:t>
            </w:r>
          </w:p>
        </w:tc>
        <w:tc>
          <w:tcPr>
            <w:tcW w:w="2792" w:type="dxa"/>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产品标准</w:t>
            </w:r>
          </w:p>
        </w:tc>
        <w:tc>
          <w:tcPr>
            <w:tcW w:w="1996" w:type="dxa"/>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检验数量</w:t>
            </w:r>
          </w:p>
        </w:tc>
        <w:tc>
          <w:tcPr>
            <w:tcW w:w="1976" w:type="dxa"/>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8" w:type="dxa"/>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1</w:t>
            </w:r>
          </w:p>
        </w:tc>
        <w:tc>
          <w:tcPr>
            <w:tcW w:w="2792" w:type="dxa"/>
            <w:vAlign w:val="center"/>
          </w:tcPr>
          <w:p>
            <w:pPr>
              <w:pStyle w:val="8"/>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15322.2-2019</w:t>
            </w:r>
          </w:p>
        </w:tc>
        <w:tc>
          <w:tcPr>
            <w:tcW w:w="199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4个</w:t>
            </w:r>
          </w:p>
        </w:tc>
        <w:tc>
          <w:tcPr>
            <w:tcW w:w="19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8" w:type="dxa"/>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2</w:t>
            </w:r>
          </w:p>
        </w:tc>
        <w:tc>
          <w:tcPr>
            <w:tcW w:w="2792" w:type="dxa"/>
            <w:vAlign w:val="center"/>
          </w:tcPr>
          <w:p>
            <w:pPr>
              <w:pStyle w:val="8"/>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GB/T 34004-2017</w:t>
            </w:r>
          </w:p>
        </w:tc>
        <w:tc>
          <w:tcPr>
            <w:tcW w:w="199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2个</w:t>
            </w:r>
          </w:p>
        </w:tc>
        <w:tc>
          <w:tcPr>
            <w:tcW w:w="19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8" w:type="dxa"/>
            <w:vAlign w:val="center"/>
          </w:tcPr>
          <w:p>
            <w:pPr>
              <w:pStyle w:val="8"/>
              <w:jc w:val="center"/>
              <w:rPr>
                <w:rFonts w:hint="eastAsia" w:ascii="仿宋" w:hAnsi="仿宋" w:eastAsia="仿宋" w:cs="仿宋"/>
                <w:sz w:val="24"/>
                <w:szCs w:val="24"/>
              </w:rPr>
            </w:pPr>
            <w:r>
              <w:rPr>
                <w:rFonts w:hint="eastAsia" w:ascii="仿宋" w:hAnsi="仿宋" w:eastAsia="仿宋" w:cs="仿宋"/>
                <w:sz w:val="24"/>
                <w:szCs w:val="24"/>
              </w:rPr>
              <w:t>3</w:t>
            </w:r>
          </w:p>
        </w:tc>
        <w:tc>
          <w:tcPr>
            <w:tcW w:w="2792" w:type="dxa"/>
            <w:vAlign w:val="center"/>
          </w:tcPr>
          <w:p>
            <w:pPr>
              <w:pStyle w:val="8"/>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CJ/T 347-2010</w:t>
            </w:r>
          </w:p>
        </w:tc>
        <w:tc>
          <w:tcPr>
            <w:tcW w:w="199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2个</w:t>
            </w:r>
          </w:p>
        </w:tc>
        <w:tc>
          <w:tcPr>
            <w:tcW w:w="197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2个</w:t>
            </w:r>
          </w:p>
        </w:tc>
      </w:tr>
    </w:tbl>
    <w:p>
      <w:pPr>
        <w:adjustRightInd w:val="0"/>
        <w:snapToGrid w:val="0"/>
        <w:spacing w:line="594" w:lineRule="exact"/>
        <w:rPr>
          <w:rFonts w:ascii="仿宋_GB2312" w:eastAsia="仿宋_GB2312"/>
          <w:sz w:val="28"/>
          <w:szCs w:val="28"/>
        </w:rPr>
      </w:pPr>
      <w:r>
        <w:rPr>
          <w:rFonts w:hint="eastAsia"/>
        </w:rPr>
        <w:t xml:space="preserve">    </w:t>
      </w:r>
      <w:r>
        <w:rPr>
          <w:rFonts w:hint="eastAsia" w:ascii="仿宋_GB2312" w:eastAsia="仿宋_GB2312"/>
          <w:sz w:val="28"/>
          <w:szCs w:val="28"/>
        </w:rPr>
        <w:t>随机抽样工具选择扑克牌或骰子，随机数一般可使用随机数表、骰子或扑克牌等方法产生。</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6.3样品处置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6.3.1封样</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抽取的样品应包装好，将封样单展开粘贴于已包装样品的封口处，由抽样人员和被抽查企业有关人员在封样单上签名。为防拆封，可使用多张封样单。</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6.3.2样品保存</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检验样品及备用样品应分别封样，抽取的样品（连同其原包装和使用说明）用清洁的包装袋（箱）密封包装后加贴封条封样。包装的方式应能防止样品在运送过程中损坏或被污染，封样的方式应能有效防止未经授权的拆封。</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6.3.3运送时应防止剧烈碰撞损坏样品。</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6.4抽样单</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6.5其他要求</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可对抽样的关键过程留下影像资料。在进入企业、取样、双方签字确认等环节时，影像资料要能清晰记录企业名称、营业执照名称、被抽样的产品、抽样状态、抽样人员和企业陪同人员等。</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6.6样品获取方式</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监督抽查所需的样品要在受检单位以购买方式获取。</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6.7抽样注意事项</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抽样时，抽样人员应当认真核实营业执照等被抽查企业的相关信息，确认受检单位不存在不得抽样的情形。遇有下列情况之一且能提供有效证明的，不得抽样： </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（1）被抽查企业无监督抽查通知书或者相关文件复印件所列产品的；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（2）有充分证据证明拟抽查的产品是不用于销售的；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（3）产品不涉及强制性标准要求，仅按双方约定的技术要求加工生产，且未执行任何标准的；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（4）有充分证据证明拟抽查的产品为企业用于出口，并且出口合同对产品质量另有规定的；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（5）产品或者标签、包装、说明书标有“试制”、“处理”或者“样品”等字样的；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（6）企业提供上级市场监管部门6个月内该种产品的监督抽查抽样单或者合格检验报告的。</w:t>
      </w:r>
    </w:p>
    <w:p>
      <w:pPr>
        <w:adjustRightInd w:val="0"/>
        <w:snapToGrid w:val="0"/>
        <w:spacing w:line="594" w:lineRule="exact"/>
        <w:rPr>
          <w:rFonts w:ascii="仿宋_GB2312" w:hAnsi="仿宋" w:eastAsia="仿宋_GB2312" w:cs="仿宋"/>
          <w:bCs/>
          <w:sz w:val="28"/>
          <w:szCs w:val="28"/>
        </w:rPr>
      </w:pPr>
      <w:r>
        <w:rPr>
          <w:rFonts w:hint="eastAsia" w:ascii="仿宋_GB2312" w:eastAsia="仿宋_GB2312"/>
          <w:sz w:val="28"/>
          <w:szCs w:val="28"/>
        </w:rPr>
        <w:t xml:space="preserve">    </w:t>
      </w:r>
      <w:r>
        <w:rPr>
          <w:rFonts w:hint="eastAsia" w:ascii="仿宋_GB2312" w:hAnsi="仿宋" w:eastAsia="仿宋_GB2312" w:cs="仿宋"/>
          <w:bCs/>
          <w:sz w:val="28"/>
          <w:szCs w:val="28"/>
        </w:rPr>
        <w:t>7 检验要求</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7.1检验项目</w:t>
      </w:r>
    </w:p>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表</w:t>
      </w:r>
      <w:r>
        <w:rPr>
          <w:rFonts w:hint="eastAsia" w:ascii="仿宋" w:hAnsi="仿宋" w:eastAsia="仿宋" w:cs="仿宋"/>
          <w:color w:val="000000"/>
          <w:sz w:val="24"/>
          <w:szCs w:val="24"/>
          <w:lang w:val="en-US" w:eastAsia="zh-CN"/>
        </w:rPr>
        <w:t>2家用燃气报警器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4524"/>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76"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4524"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356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一般结构</w:t>
            </w:r>
          </w:p>
        </w:tc>
        <w:tc>
          <w:tcPr>
            <w:tcW w:w="3567" w:type="dxa"/>
            <w:noWrap w:val="0"/>
            <w:vAlign w:val="center"/>
          </w:tcPr>
          <w:p>
            <w:pPr>
              <w:keepNext w:val="0"/>
              <w:keepLines w:val="0"/>
              <w:widowControl/>
              <w:suppressLineNumbers w:val="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通电显示</w:t>
            </w:r>
          </w:p>
        </w:tc>
        <w:tc>
          <w:tcPr>
            <w:tcW w:w="3567"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报警信号及故障表示</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电源线强度</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绝缘耐压性能</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报警音量</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消音功能</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低电压提示性能</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低电压提示声音</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低电压时的报警动作</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报警输出</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w:t>
            </w:r>
          </w:p>
        </w:tc>
        <w:tc>
          <w:tcPr>
            <w:tcW w:w="4524"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标志、包装</w:t>
            </w:r>
          </w:p>
        </w:tc>
        <w:tc>
          <w:tcPr>
            <w:tcW w:w="3567"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CJ/T 347-2010</w:t>
            </w:r>
          </w:p>
        </w:tc>
      </w:tr>
    </w:tbl>
    <w:p>
      <w:pPr>
        <w:snapToGrid w:val="0"/>
        <w:spacing w:line="440" w:lineRule="exact"/>
        <w:jc w:val="center"/>
        <w:rPr>
          <w:rFonts w:hint="eastAsia" w:ascii="仿宋" w:hAnsi="仿宋" w:eastAsia="仿宋" w:cs="仿宋"/>
          <w:color w:val="000000"/>
          <w:sz w:val="24"/>
          <w:szCs w:val="24"/>
          <w:lang w:val="en-US" w:eastAsia="zh-CN"/>
        </w:rPr>
      </w:pPr>
    </w:p>
    <w:p>
      <w:pPr>
        <w:keepNext w:val="0"/>
        <w:keepLines w:val="0"/>
        <w:widowControl/>
        <w:suppressLineNumbers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表3家用可燃气体探测器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4525"/>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74"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4525"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3568"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外观要求</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一般要求</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电池容量</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电气强度</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报警动作值</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6</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报警重复性</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7</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低温（运行）试验</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8</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响应时间</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高温（运行）试验</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w:t>
            </w:r>
          </w:p>
        </w:tc>
        <w:tc>
          <w:tcPr>
            <w:tcW w:w="4525"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color w:val="000000"/>
                <w:sz w:val="24"/>
                <w:szCs w:val="24"/>
                <w:lang w:val="en-US" w:eastAsia="zh-CN"/>
              </w:rPr>
              <w:t>标志</w:t>
            </w:r>
          </w:p>
        </w:tc>
        <w:tc>
          <w:tcPr>
            <w:tcW w:w="356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color w:val="000000"/>
                <w:sz w:val="24"/>
                <w:szCs w:val="24"/>
                <w:lang w:val="en-US" w:eastAsia="zh-CN"/>
              </w:rPr>
              <w:t>GB 15322.2-2019</w:t>
            </w:r>
          </w:p>
        </w:tc>
      </w:tr>
    </w:tbl>
    <w:p>
      <w:pPr>
        <w:snapToGrid w:val="0"/>
        <w:spacing w:line="440" w:lineRule="exact"/>
        <w:jc w:val="center"/>
        <w:rPr>
          <w:rFonts w:hint="eastAsia" w:ascii="仿宋" w:hAnsi="仿宋" w:eastAsia="仿宋" w:cs="仿宋"/>
          <w:color w:val="000000"/>
          <w:sz w:val="24"/>
          <w:szCs w:val="24"/>
          <w:lang w:val="en-US" w:eastAsia="zh-CN"/>
        </w:rPr>
      </w:pPr>
    </w:p>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表4家用和小型餐饮厨房用燃气报警器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4525"/>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74"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4525"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3568"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525"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状态指示</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功能检查键</w:t>
            </w:r>
          </w:p>
        </w:tc>
        <w:tc>
          <w:tcPr>
            <w:tcW w:w="3568"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电源线强度</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报警音量</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绝缘电阻</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电气强度</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低电压提示音</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低电压时的报警动作</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报警输出功能</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top"/>
          </w:tcPr>
          <w:p>
            <w:pPr>
              <w:snapToGrid w:val="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c>
          <w:tcPr>
            <w:tcW w:w="4525" w:type="dxa"/>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标志</w:t>
            </w:r>
          </w:p>
        </w:tc>
        <w:tc>
          <w:tcPr>
            <w:tcW w:w="3568" w:type="dxa"/>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GB/T 34004-2017</w:t>
            </w:r>
          </w:p>
        </w:tc>
      </w:tr>
    </w:tbl>
    <w:p>
      <w:pPr>
        <w:spacing w:line="594" w:lineRule="exact"/>
        <w:ind w:firstLine="480" w:firstLineChars="200"/>
        <w:rPr>
          <w:rFonts w:ascii="仿宋_GB2312" w:hAnsi="仿宋" w:eastAsia="仿宋_GB2312" w:cs="仿宋"/>
          <w:sz w:val="28"/>
          <w:szCs w:val="28"/>
        </w:rPr>
      </w:pPr>
      <w:r>
        <w:rPr>
          <w:rFonts w:hint="eastAsia" w:ascii="仿宋" w:hAnsi="仿宋" w:eastAsia="仿宋" w:cs="仿宋"/>
        </w:rPr>
        <w:t xml:space="preserve"> </w:t>
      </w:r>
      <w:r>
        <w:rPr>
          <w:rFonts w:hint="eastAsia" w:ascii="仿宋_GB2312" w:hAnsi="仿宋" w:eastAsia="仿宋_GB2312" w:cs="仿宋"/>
          <w:sz w:val="28"/>
          <w:szCs w:val="28"/>
        </w:rPr>
        <w:t>7.2 检验应注意的问题</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若被检产品明示的质量要求高于本细则中的检验项目依据的标准要求时，应按被检产品明示的质量要求判定。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若被检产品明示的质量要求低于本细则中的检验项目依据的强制性标准要求时，应按强制性标准要求判定。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若被检产品明示的质量要求低于或包含细则中检验项目依据的推荐性标准要求时，应以被检产品明示的质量要求判定。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若被检产品明示的质量要求缺少本细则中检验项目依据的强制性标准要求时，应按照强制性标准要求判定。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若被检产品明示的质量要求缺少本细则中检验项目依据的推荐性标准要求时，该项目不参与判定，但应在检验报告备注中进行说明。</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检验过程中遇到有样品失效或者其它情况致使检验无法进行时，必须如实记录即时情况，并有充分的证实材料。</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当一个检验项目有多个检测方法时，出现可疑结果或不合格结果（即在有异议）时，应以产品标准中规定方法的测定结果为准。</w:t>
      </w:r>
    </w:p>
    <w:p>
      <w:pPr>
        <w:spacing w:line="594"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8 判定原则</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经检验，检验项目全部合格，判定为被抽查产品所检项目未发现不合格；检验项目中任一项或一项以上不合格，判定为被抽查产品不合格。</w:t>
      </w:r>
    </w:p>
    <w:p>
      <w:pPr>
        <w:spacing w:line="594"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9 异议处理</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对被判定为不合格产品进行异议处理时，按以下方式进行：</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9.1 核查不合格项目相关证据，能够以记录（纸质记录或电子记录或影像记录）或与不合格项目相关联的其它质量数据等检验证据证明。</w:t>
      </w:r>
    </w:p>
    <w:p>
      <w:pPr>
        <w:spacing w:line="594"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9.2对需要复检并具备检验条件的，处理企业异议的市场监督管理部门或者指定检验机构应当按原监督抽查方案对留存的样品或抽取的备用样品组织复检，复检项目如有仲裁法需用仲裁法进行复检，并出具检验报告。复检结论为最终结论。</w:t>
      </w:r>
    </w:p>
    <w:p>
      <w:pPr>
        <w:adjustRightInd w:val="0"/>
        <w:snapToGrid w:val="0"/>
        <w:spacing w:line="360" w:lineRule="auto"/>
        <w:ind w:firstLine="548" w:firstLineChars="196"/>
        <w:rPr>
          <w:rFonts w:hint="eastAsia" w:ascii="仿宋_GB2312" w:eastAsia="仿宋_GB2312"/>
          <w:b w:val="0"/>
          <w:bCs/>
          <w:sz w:val="28"/>
          <w:szCs w:val="28"/>
          <w:lang w:val="en-US" w:eastAsia="zh-CN"/>
        </w:rPr>
      </w:pPr>
    </w:p>
    <w:p>
      <w:pPr>
        <w:adjustRightInd w:val="0"/>
        <w:snapToGrid w:val="0"/>
        <w:spacing w:line="360" w:lineRule="auto"/>
        <w:ind w:firstLine="548" w:firstLineChars="196"/>
        <w:rPr>
          <w:rFonts w:ascii="仿宋_GB2312" w:eastAsia="仿宋_GB2312"/>
          <w:b w:val="0"/>
          <w:bCs/>
          <w:sz w:val="28"/>
          <w:szCs w:val="28"/>
        </w:rPr>
      </w:pPr>
      <w:r>
        <w:rPr>
          <w:rFonts w:hint="eastAsia" w:ascii="仿宋_GB2312" w:eastAsia="仿宋_GB2312"/>
          <w:b w:val="0"/>
          <w:bCs/>
          <w:sz w:val="28"/>
          <w:szCs w:val="28"/>
          <w:lang w:val="en-US" w:eastAsia="zh-CN"/>
        </w:rPr>
        <w:t>10</w:t>
      </w:r>
      <w:r>
        <w:rPr>
          <w:rFonts w:hint="eastAsia" w:ascii="仿宋_GB2312" w:eastAsia="仿宋_GB2312"/>
          <w:b w:val="0"/>
          <w:bCs/>
          <w:sz w:val="28"/>
          <w:szCs w:val="28"/>
        </w:rPr>
        <w:t xml:space="preserve">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pStyle w:val="8"/>
        <w:rPr>
          <w:rFonts w:hint="eastAsia" w:ascii="仿宋_GB2312" w:hAnsi="仿宋" w:eastAsia="仿宋_GB2312" w:cs="仿宋"/>
          <w:sz w:val="28"/>
          <w:szCs w:val="28"/>
        </w:rPr>
      </w:pPr>
      <w:bookmarkStart w:id="0" w:name="_GoBack"/>
      <w:bookmarkEnd w:id="0"/>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809"/>
      <w:docPartObj>
        <w:docPartGallery w:val="autotext"/>
      </w:docPartObj>
    </w:sdtPr>
    <w:sdtContent>
      <w:p>
        <w:pPr>
          <w:pStyle w:val="6"/>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2 -</w:t>
        </w:r>
        <w:r>
          <w:rPr>
            <w:rFonts w:ascii="宋体" w:hAnsi="宋体"/>
            <w:sz w:val="21"/>
            <w:szCs w:val="21"/>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60C33FB8"/>
    <w:rsid w:val="00085C18"/>
    <w:rsid w:val="001D7A61"/>
    <w:rsid w:val="001E2043"/>
    <w:rsid w:val="00247A3A"/>
    <w:rsid w:val="00396063"/>
    <w:rsid w:val="003B3B24"/>
    <w:rsid w:val="006B77B1"/>
    <w:rsid w:val="006E504F"/>
    <w:rsid w:val="007A78DE"/>
    <w:rsid w:val="008353D7"/>
    <w:rsid w:val="00997248"/>
    <w:rsid w:val="00A3152C"/>
    <w:rsid w:val="00E45B39"/>
    <w:rsid w:val="00ED5330"/>
    <w:rsid w:val="04BD7D66"/>
    <w:rsid w:val="06DA4BFF"/>
    <w:rsid w:val="161D5364"/>
    <w:rsid w:val="17D24EEE"/>
    <w:rsid w:val="1F865520"/>
    <w:rsid w:val="2094072A"/>
    <w:rsid w:val="23B5634D"/>
    <w:rsid w:val="268D10DB"/>
    <w:rsid w:val="2A661DDF"/>
    <w:rsid w:val="2A946CEF"/>
    <w:rsid w:val="2B725B65"/>
    <w:rsid w:val="42402E61"/>
    <w:rsid w:val="49AE38A9"/>
    <w:rsid w:val="509D62C2"/>
    <w:rsid w:val="60C33FB8"/>
    <w:rsid w:val="640D42B8"/>
    <w:rsid w:val="65B35574"/>
    <w:rsid w:val="66AC7E81"/>
    <w:rsid w:val="6976410E"/>
    <w:rsid w:val="6CC23933"/>
    <w:rsid w:val="71AE3A23"/>
    <w:rsid w:val="777274E9"/>
    <w:rsid w:val="7820118F"/>
    <w:rsid w:val="7DD357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4"/>
    <w:basedOn w:val="1"/>
    <w:next w:val="1"/>
    <w:qFormat/>
    <w:uiPriority w:val="0"/>
    <w:pPr>
      <w:keepNext/>
      <w:keepLines/>
      <w:spacing w:line="360" w:lineRule="auto"/>
      <w:jc w:val="left"/>
      <w:outlineLvl w:val="3"/>
    </w:pPr>
    <w:rPr>
      <w:rFonts w:ascii="Arial" w:hAnsi="Arial"/>
      <w:b/>
      <w:kern w:val="0"/>
      <w:sz w:val="20"/>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4">
    <w:name w:val="Body Text Indent"/>
    <w:basedOn w:val="1"/>
    <w:qFormat/>
    <w:uiPriority w:val="0"/>
    <w:pPr>
      <w:spacing w:line="500" w:lineRule="exact"/>
      <w:ind w:left="1588" w:leftChars="832" w:firstLine="433" w:firstLineChars="196"/>
    </w:pPr>
  </w:style>
  <w:style w:type="paragraph" w:styleId="5">
    <w:name w:val="List 2"/>
    <w:basedOn w:val="1"/>
    <w:qFormat/>
    <w:uiPriority w:val="0"/>
    <w:pPr>
      <w:ind w:left="100" w:leftChars="200" w:hanging="200" w:hangingChars="200"/>
    </w:p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Body Text First Indent 2"/>
    <w:basedOn w:val="4"/>
    <w:semiHidden/>
    <w:qFormat/>
    <w:uiPriority w:val="0"/>
    <w:pPr>
      <w:spacing w:after="120" w:line="240" w:lineRule="auto"/>
      <w:ind w:left="480" w:leftChars="200" w:firstLine="210" w:firstLineChars="100"/>
      <w:jc w:val="left"/>
    </w:pPr>
    <w:rPr>
      <w:rFonts w:ascii="DFKai-SB" w:eastAsia="DFKai-SB"/>
      <w:sz w:val="28"/>
      <w:lang w:eastAsia="zh-TW"/>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列出段落1"/>
    <w:basedOn w:val="1"/>
    <w:next w:val="1"/>
    <w:qFormat/>
    <w:uiPriority w:val="0"/>
    <w:pPr>
      <w:spacing w:line="360" w:lineRule="auto"/>
      <w:ind w:left="720"/>
      <w:contextualSpacing/>
    </w:pPr>
  </w:style>
  <w:style w:type="character" w:customStyle="1" w:styleId="14">
    <w:name w:val="页眉 Char"/>
    <w:basedOn w:val="12"/>
    <w:link w:val="7"/>
    <w:qFormat/>
    <w:uiPriority w:val="0"/>
    <w:rPr>
      <w:rFonts w:ascii="Times New Roman" w:hAnsi="Times New Roman" w:eastAsia="宋体" w:cs="Times New Roman"/>
      <w:kern w:val="2"/>
      <w:sz w:val="18"/>
      <w:szCs w:val="18"/>
    </w:rPr>
  </w:style>
  <w:style w:type="character" w:customStyle="1" w:styleId="15">
    <w:name w:val="页脚 Char"/>
    <w:basedOn w:val="12"/>
    <w:link w:val="6"/>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2351</Words>
  <Characters>2836</Characters>
  <Lines>37</Lines>
  <Paragraphs>10</Paragraphs>
  <TotalTime>0</TotalTime>
  <ScaleCrop>false</ScaleCrop>
  <LinksUpToDate>false</LinksUpToDate>
  <CharactersWithSpaces>2898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2022-06-14T02:16:00Z</dcterms:created>
  <dc:creator>Administrator</dc:creator>
  <cp:lastModifiedBy>dell</cp:lastModifiedBy>
  <dcterms:modified xsi:type="dcterms:W3CDTF">2022-07-18T00:44:56Z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2CC679627D5D4E74AC1A7A17D4445F16</vt:lpwstr>
  </property>
</Properties>
</file>