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ind w:left="-1" w:leftChars="0" w:firstLine="0" w:firstLineChars="0"/>
        <w:jc w:val="center"/>
        <w:rPr>
          <w:rFonts w:hint="eastAsia" w:ascii="仿宋" w:hAnsi="仿宋" w:eastAsia="仿宋" w:cs="仿宋"/>
          <w:b/>
          <w:bCs/>
          <w:sz w:val="32"/>
          <w:szCs w:val="32"/>
          <w:lang w:val="en-US" w:eastAsia="zh-CN"/>
        </w:rPr>
      </w:pPr>
      <w:r>
        <w:rPr>
          <w:rFonts w:hint="eastAsia" w:ascii="仿宋_GB2312" w:hAnsi="仿宋_GB2312" w:eastAsia="仿宋_GB2312" w:cs="仿宋_GB2312"/>
          <w:b/>
          <w:bCs/>
          <w:sz w:val="32"/>
          <w:szCs w:val="32"/>
          <w:lang w:val="en-US" w:eastAsia="zh-CN"/>
        </w:rPr>
        <w:t>2022年盘锦市</w:t>
      </w:r>
      <w:r>
        <w:rPr>
          <w:rFonts w:hint="eastAsia" w:ascii="仿宋" w:hAnsi="仿宋" w:eastAsia="仿宋" w:cs="仿宋"/>
          <w:b/>
          <w:bCs/>
          <w:sz w:val="32"/>
          <w:szCs w:val="32"/>
          <w:lang w:val="en-US" w:eastAsia="zh-CN"/>
        </w:rPr>
        <w:t>食品接触性塑料制品</w:t>
      </w:r>
    </w:p>
    <w:p>
      <w:pPr>
        <w:snapToGrid w:val="0"/>
        <w:spacing w:line="360" w:lineRule="auto"/>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产品质量监督抽查实施细则</w:t>
      </w:r>
    </w:p>
    <w:p>
      <w:pPr>
        <w:pStyle w:val="4"/>
        <w:spacing w:line="360" w:lineRule="auto"/>
        <w:ind w:left="960" w:hanging="480"/>
      </w:pP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1适用</w:t>
      </w:r>
      <w:r>
        <w:rPr>
          <w:rFonts w:hint="eastAsia" w:ascii="仿宋_GB2312" w:hAnsi="宋体" w:eastAsia="仿宋_GB2312"/>
          <w:b/>
          <w:bCs/>
          <w:sz w:val="28"/>
          <w:szCs w:val="28"/>
        </w:rPr>
        <w:t>范围</w:t>
      </w:r>
    </w:p>
    <w:p>
      <w:pPr>
        <w:pStyle w:val="29"/>
        <w:ind w:left="-1" w:leftChars="0" w:firstLine="0" w:firstLineChars="0"/>
        <w:jc w:val="left"/>
        <w:rPr>
          <w:rFonts w:ascii="仿宋_GB2312" w:eastAsia="仿宋_GB2312"/>
          <w:kern w:val="0"/>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本细则适用于</w:t>
      </w:r>
      <w:r>
        <w:rPr>
          <w:rFonts w:hint="eastAsia" w:ascii="仿宋_GB2312" w:hAnsi="宋体" w:eastAsia="仿宋_GB2312"/>
          <w:sz w:val="28"/>
          <w:szCs w:val="28"/>
          <w:lang w:eastAsia="zh-CN"/>
        </w:rPr>
        <w:t>盘锦市</w:t>
      </w:r>
      <w:r>
        <w:rPr>
          <w:rFonts w:hint="eastAsia" w:ascii="仿宋" w:hAnsi="仿宋" w:eastAsia="仿宋" w:cs="仿宋"/>
          <w:sz w:val="28"/>
          <w:szCs w:val="28"/>
          <w:lang w:val="en-US" w:eastAsia="zh-CN"/>
        </w:rPr>
        <w:t>食品接触性塑料制品</w:t>
      </w:r>
      <w:r>
        <w:rPr>
          <w:rFonts w:hint="eastAsia" w:ascii="仿宋_GB2312" w:hAnsi="宋体" w:eastAsia="仿宋_GB2312"/>
          <w:sz w:val="28"/>
          <w:szCs w:val="28"/>
        </w:rPr>
        <w:t>产品质量监督抽查，针对特殊情况的专项抽查、</w:t>
      </w:r>
      <w:r>
        <w:rPr>
          <w:rFonts w:hint="eastAsia" w:ascii="仿宋_GB2312" w:hAnsi="宋体" w:eastAsia="仿宋_GB2312"/>
          <w:sz w:val="28"/>
          <w:szCs w:val="28"/>
          <w:lang w:eastAsia="zh-CN"/>
        </w:rPr>
        <w:t>盘锦市</w:t>
      </w:r>
      <w:r>
        <w:rPr>
          <w:rFonts w:hint="eastAsia" w:ascii="仿宋_GB2312" w:hAnsi="宋体" w:eastAsia="仿宋_GB2312"/>
          <w:sz w:val="28"/>
          <w:szCs w:val="28"/>
        </w:rPr>
        <w:t>内县级及以上市场监督管理部门组织的地方监督抽查可参照执行。</w:t>
      </w:r>
      <w:r>
        <w:rPr>
          <w:rFonts w:hint="eastAsia" w:ascii="仿宋_GB2312" w:hAnsi="宋体" w:eastAsia="仿宋_GB2312"/>
          <w:kern w:val="0"/>
          <w:sz w:val="28"/>
          <w:szCs w:val="28"/>
        </w:rPr>
        <w:t>本细则内容包括产品分类、术语和定义、企业产品生产规模划分、检验依据、抽样、检验要求、判定原则、异议处理及附则。</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2</w:t>
      </w:r>
      <w:r>
        <w:rPr>
          <w:rFonts w:hint="eastAsia" w:ascii="仿宋_GB2312" w:hAnsi="宋体" w:eastAsia="仿宋_GB2312"/>
          <w:b/>
          <w:bCs/>
          <w:sz w:val="28"/>
          <w:szCs w:val="28"/>
        </w:rPr>
        <w:t>产品分类</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2.1产品分类</w:t>
      </w:r>
    </w:p>
    <w:p>
      <w:pPr>
        <w:adjustRightInd w:val="0"/>
        <w:snapToGrid w:val="0"/>
        <w:spacing w:line="360" w:lineRule="auto"/>
        <w:ind w:firstLine="420"/>
        <w:jc w:val="center"/>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表1  产品分类及代码</w:t>
      </w:r>
    </w:p>
    <w:tbl>
      <w:tblPr>
        <w:tblStyle w:val="9"/>
        <w:tblW w:w="8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740"/>
        <w:gridCol w:w="2627"/>
        <w:gridCol w:w="2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产品分类</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一级分类</w:t>
            </w:r>
          </w:p>
        </w:tc>
        <w:tc>
          <w:tcPr>
            <w:tcW w:w="2627"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二级分类</w:t>
            </w:r>
          </w:p>
        </w:tc>
        <w:tc>
          <w:tcPr>
            <w:tcW w:w="298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产品编码</w:t>
            </w:r>
            <w:r>
              <w:rPr>
                <w:rFonts w:hint="eastAsia" w:ascii="仿宋" w:hAnsi="仿宋" w:eastAsia="仿宋" w:cs="仿宋"/>
                <w:sz w:val="24"/>
                <w:szCs w:val="24"/>
                <w:lang w:eastAsia="zh-CN"/>
              </w:rPr>
              <w:t>及名称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tcPr>
          <w:p>
            <w:pPr>
              <w:snapToGrid w:val="0"/>
              <w:spacing w:line="360" w:lineRule="exact"/>
              <w:jc w:val="center"/>
              <w:rPr>
                <w:rFonts w:hint="eastAsia" w:ascii="仿宋" w:hAnsi="仿宋" w:eastAsia="仿宋" w:cs="仿宋"/>
                <w:sz w:val="24"/>
                <w:szCs w:val="24"/>
                <w:lang w:eastAsia="zh-CN"/>
              </w:rPr>
            </w:pPr>
            <w:r>
              <w:rPr>
                <w:rFonts w:hint="eastAsia" w:ascii="仿宋" w:hAnsi="仿宋" w:eastAsia="仿宋" w:cs="仿宋"/>
                <w:sz w:val="24"/>
                <w:szCs w:val="24"/>
                <w:lang w:val="en-US" w:eastAsia="zh-CN"/>
              </w:rPr>
              <w:t>08</w:t>
            </w:r>
          </w:p>
        </w:tc>
        <w:tc>
          <w:tcPr>
            <w:tcW w:w="2627" w:type="dxa"/>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01</w:t>
            </w:r>
          </w:p>
        </w:tc>
        <w:tc>
          <w:tcPr>
            <w:tcW w:w="2983"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食品相关产品</w:t>
            </w:r>
          </w:p>
        </w:tc>
        <w:tc>
          <w:tcPr>
            <w:tcW w:w="2627"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塑料材质食品相关产品</w:t>
            </w:r>
          </w:p>
        </w:tc>
        <w:tc>
          <w:tcPr>
            <w:tcW w:w="298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复合膜袋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vAlign w:val="top"/>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08</w:t>
            </w:r>
          </w:p>
        </w:tc>
        <w:tc>
          <w:tcPr>
            <w:tcW w:w="2627" w:type="dxa"/>
            <w:vAlign w:val="top"/>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01</w:t>
            </w:r>
          </w:p>
        </w:tc>
        <w:tc>
          <w:tcPr>
            <w:tcW w:w="2983" w:type="dxa"/>
            <w:vAlign w:val="center"/>
          </w:tcPr>
          <w:p>
            <w:pPr>
              <w:snapToGrid w:val="0"/>
              <w:spacing w:line="360" w:lineRule="exact"/>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食品相关产品</w:t>
            </w:r>
          </w:p>
        </w:tc>
        <w:tc>
          <w:tcPr>
            <w:tcW w:w="2627"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塑料材质食品相关产品</w:t>
            </w:r>
          </w:p>
        </w:tc>
        <w:tc>
          <w:tcPr>
            <w:tcW w:w="298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密胺塑料餐具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vAlign w:val="top"/>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08</w:t>
            </w:r>
          </w:p>
        </w:tc>
        <w:tc>
          <w:tcPr>
            <w:tcW w:w="2627" w:type="dxa"/>
            <w:vAlign w:val="top"/>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01</w:t>
            </w:r>
          </w:p>
        </w:tc>
        <w:tc>
          <w:tcPr>
            <w:tcW w:w="2983"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食品相关产品</w:t>
            </w:r>
          </w:p>
        </w:tc>
        <w:tc>
          <w:tcPr>
            <w:tcW w:w="2627"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塑料材质食品相关产品</w:t>
            </w:r>
          </w:p>
        </w:tc>
        <w:tc>
          <w:tcPr>
            <w:tcW w:w="298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塑料瓶盖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vAlign w:val="top"/>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08</w:t>
            </w:r>
          </w:p>
        </w:tc>
        <w:tc>
          <w:tcPr>
            <w:tcW w:w="2627" w:type="dxa"/>
            <w:vAlign w:val="top"/>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01</w:t>
            </w:r>
          </w:p>
        </w:tc>
        <w:tc>
          <w:tcPr>
            <w:tcW w:w="2983" w:type="dxa"/>
            <w:vAlign w:val="center"/>
          </w:tcPr>
          <w:p>
            <w:pPr>
              <w:snapToGrid w:val="0"/>
              <w:spacing w:line="360" w:lineRule="exact"/>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食品相关产品</w:t>
            </w:r>
          </w:p>
        </w:tc>
        <w:tc>
          <w:tcPr>
            <w:tcW w:w="2627"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塑料材质食品相关产品</w:t>
            </w:r>
          </w:p>
        </w:tc>
        <w:tc>
          <w:tcPr>
            <w:tcW w:w="298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塑料一次性餐饮具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分类代码</w:t>
            </w:r>
          </w:p>
        </w:tc>
        <w:tc>
          <w:tcPr>
            <w:tcW w:w="1740" w:type="dxa"/>
            <w:vAlign w:val="top"/>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08</w:t>
            </w:r>
          </w:p>
        </w:tc>
        <w:tc>
          <w:tcPr>
            <w:tcW w:w="2627" w:type="dxa"/>
            <w:vAlign w:val="top"/>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01</w:t>
            </w:r>
          </w:p>
        </w:tc>
        <w:tc>
          <w:tcPr>
            <w:tcW w:w="298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1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分类名称</w:t>
            </w:r>
          </w:p>
        </w:tc>
        <w:tc>
          <w:tcPr>
            <w:tcW w:w="1740"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食品相关产品</w:t>
            </w:r>
          </w:p>
        </w:tc>
        <w:tc>
          <w:tcPr>
            <w:tcW w:w="2627"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塑料材质食品相关产品</w:t>
            </w:r>
          </w:p>
        </w:tc>
        <w:tc>
          <w:tcPr>
            <w:tcW w:w="2983" w:type="dxa"/>
            <w:vAlign w:val="center"/>
          </w:tcPr>
          <w:p>
            <w:pPr>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婴幼儿用塑料奶瓶</w:t>
            </w:r>
          </w:p>
        </w:tc>
      </w:tr>
    </w:tbl>
    <w:p>
      <w:pPr>
        <w:pStyle w:val="2"/>
      </w:pPr>
    </w:p>
    <w:p>
      <w:pPr>
        <w:adjustRightInd w:val="0"/>
        <w:snapToGrid w:val="0"/>
        <w:spacing w:beforeLines="100" w:line="360" w:lineRule="auto"/>
        <w:ind w:firstLine="548" w:firstLineChars="196"/>
        <w:rPr>
          <w:rFonts w:ascii="仿宋_GB2312" w:eastAsia="仿宋_GB2312"/>
          <w:sz w:val="28"/>
          <w:szCs w:val="28"/>
        </w:rPr>
      </w:pPr>
      <w:r>
        <w:rPr>
          <w:rFonts w:hint="eastAsia" w:ascii="仿宋_GB2312" w:eastAsia="仿宋_GB2312"/>
          <w:sz w:val="28"/>
          <w:szCs w:val="28"/>
        </w:rPr>
        <w:t>2.2产品种类</w:t>
      </w:r>
    </w:p>
    <w:p>
      <w:pPr>
        <w:adjustRightInd w:val="0"/>
        <w:snapToGrid w:val="0"/>
        <w:spacing w:line="360" w:lineRule="auto"/>
        <w:ind w:firstLine="548" w:firstLineChars="196"/>
        <w:rPr>
          <w:rFonts w:ascii="仿宋_GB2312" w:eastAsia="仿宋_GB2312"/>
          <w:sz w:val="28"/>
          <w:szCs w:val="28"/>
        </w:rPr>
      </w:pPr>
      <w:r>
        <w:rPr>
          <w:rFonts w:hint="eastAsia" w:ascii="仿宋" w:hAnsi="仿宋" w:eastAsia="仿宋" w:cs="仿宋"/>
          <w:sz w:val="28"/>
          <w:szCs w:val="28"/>
        </w:rPr>
        <w:t>本细则涉及产品种类：</w:t>
      </w:r>
      <w:r>
        <w:rPr>
          <w:rFonts w:hint="eastAsia" w:ascii="仿宋_GB2312" w:hAnsi="仿宋" w:eastAsia="仿宋_GB2312" w:cs="方正仿宋简体"/>
          <w:color w:val="000000"/>
          <w:kern w:val="0"/>
          <w:sz w:val="28"/>
          <w:szCs w:val="28"/>
          <w:lang w:eastAsia="zh-CN"/>
        </w:rPr>
        <w:t>复合膜袋、</w:t>
      </w:r>
      <w:r>
        <w:rPr>
          <w:rFonts w:hint="eastAsia" w:ascii="仿宋" w:hAnsi="仿宋" w:eastAsia="仿宋" w:cs="仿宋"/>
          <w:sz w:val="28"/>
          <w:szCs w:val="28"/>
        </w:rPr>
        <w:t>密胺塑料餐具</w:t>
      </w:r>
      <w:r>
        <w:rPr>
          <w:rFonts w:hint="eastAsia" w:ascii="仿宋_GB2312" w:hAnsi="仿宋" w:eastAsia="仿宋_GB2312" w:cs="方正仿宋简体"/>
          <w:color w:val="000000"/>
          <w:kern w:val="0"/>
          <w:sz w:val="28"/>
          <w:szCs w:val="28"/>
          <w:lang w:eastAsia="zh-CN"/>
        </w:rPr>
        <w:t>、</w:t>
      </w:r>
      <w:r>
        <w:rPr>
          <w:rFonts w:hint="eastAsia" w:ascii="仿宋" w:hAnsi="仿宋" w:eastAsia="仿宋" w:cs="仿宋"/>
          <w:sz w:val="28"/>
          <w:szCs w:val="28"/>
        </w:rPr>
        <w:t>塑料瓶盖</w:t>
      </w:r>
      <w:r>
        <w:rPr>
          <w:rFonts w:hint="eastAsia" w:ascii="仿宋" w:hAnsi="仿宋" w:eastAsia="仿宋" w:cs="仿宋"/>
          <w:sz w:val="28"/>
          <w:szCs w:val="28"/>
          <w:lang w:eastAsia="zh-CN"/>
        </w:rPr>
        <w:t>、塑料一次性餐饮具、</w:t>
      </w:r>
      <w:r>
        <w:rPr>
          <w:rFonts w:hint="eastAsia" w:ascii="仿宋" w:hAnsi="仿宋" w:eastAsia="仿宋" w:cs="仿宋"/>
          <w:sz w:val="28"/>
          <w:szCs w:val="28"/>
        </w:rPr>
        <w:t>婴幼儿用塑料奶瓶</w:t>
      </w:r>
      <w:r>
        <w:rPr>
          <w:rFonts w:hint="eastAsia" w:ascii="仿宋_GB2312" w:eastAsia="仿宋_GB2312"/>
          <w:kern w:val="0"/>
          <w:sz w:val="28"/>
          <w:szCs w:val="28"/>
        </w:rPr>
        <w:t>。</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2.3术语和定义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本细则中所使用的术语和定义同相关引用标准。</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3企业规模划分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根据国家统计局印发的相关管理办法，确定企业规模。</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4检验依据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凡是注日期的文件，其随后所有的修改单（不包括勘误的内容）或修订版不适用于本细则。凡是不注日期的文件，其最新版本适用于本细则。</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 4806.6</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2016 食品安全国家标准 食品接触用塑料树脂</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 4806.7</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2016 食品安全国家标准 食品接触用塑料材料及制品</w:t>
      </w:r>
    </w:p>
    <w:p>
      <w:pPr>
        <w:snapToGrid w:val="0"/>
        <w:spacing w:line="360" w:lineRule="auto"/>
        <w:ind w:firstLine="560" w:firstLineChars="200"/>
        <w:outlineLvl w:val="0"/>
        <w:rPr>
          <w:rFonts w:hint="eastAsia" w:ascii="仿宋" w:hAnsi="仿宋" w:eastAsia="仿宋" w:cs="仿宋"/>
          <w:color w:val="000000"/>
          <w:sz w:val="28"/>
          <w:szCs w:val="28"/>
        </w:rPr>
      </w:pPr>
      <w:r>
        <w:rPr>
          <w:rFonts w:hint="eastAsia" w:ascii="仿宋" w:hAnsi="仿宋" w:eastAsia="仿宋" w:cs="仿宋"/>
          <w:color w:val="000000"/>
          <w:sz w:val="28"/>
          <w:szCs w:val="28"/>
        </w:rPr>
        <w:t>GB 9683</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1988 复合食品包装袋卫生标准</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 9685</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2016 食品安全国家标准 食品接触材料及制品用添加剂使用标准</w:t>
      </w:r>
    </w:p>
    <w:p>
      <w:pPr>
        <w:snapToGrid w:val="0"/>
        <w:spacing w:line="360" w:lineRule="auto"/>
        <w:ind w:firstLine="560" w:firstLineChars="200"/>
        <w:outlineLvl w:val="0"/>
        <w:rPr>
          <w:rFonts w:hint="eastAsia" w:ascii="仿宋" w:hAnsi="仿宋" w:eastAsia="仿宋" w:cs="仿宋"/>
          <w:color w:val="000000"/>
          <w:sz w:val="28"/>
          <w:szCs w:val="28"/>
        </w:rPr>
      </w:pPr>
      <w:r>
        <w:rPr>
          <w:rFonts w:hint="eastAsia" w:ascii="仿宋" w:hAnsi="仿宋" w:eastAsia="仿宋" w:cs="仿宋"/>
          <w:color w:val="000000"/>
          <w:sz w:val="28"/>
          <w:szCs w:val="28"/>
        </w:rPr>
        <w:t>GB/T 10004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2008  包装用塑料复合膜、袋干法复合、挤出复合</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18192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2008  液体食品无菌包装用纸基复合材料</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18454</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2019  液体食品无菌包装用复合袋</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18706</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2008  液体食品保鲜包装用纸基复合材料</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19741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2005  液体食品包装用塑料复合膜、袋</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21302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2007  包装用复合膜、袋通则</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26690</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2011  丙烯酸涂布双向拉伸聚丙烯薄膜</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26691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2011  改性聚乙烯醇涂布双向拉伸薄膜</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28117</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2011  食品包装用多层共挤膜、袋</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28118</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2011  食品包装用塑料与铝箔复合膜、袋</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30768</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2014  食品包装用纸与塑料复合膜、袋</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BB/T 0012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2014   聚偏二氯乙烯(PVDC)涂布薄膜</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BB/T 0041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2007  包装用多层共挤阻隔膜通则</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BB/T 0041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2021  包装用多层共挤阻隔膜</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BB/T 0052</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2017   液态奶共挤包装膜、袋</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QB/T 1871</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1993   双向拉伸尼龙（BOPA）/低密度聚乙烯(LDPE)复合膜、袋</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QB/T 2197</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1996   榨菜包装用复合膜、袋</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GB 38995</w:t>
      </w:r>
      <w:r>
        <w:rPr>
          <w:rFonts w:hint="eastAsia" w:ascii="仿宋" w:hAnsi="仿宋" w:eastAsia="仿宋" w:cs="仿宋"/>
          <w:sz w:val="28"/>
          <w:szCs w:val="28"/>
          <w:lang w:eastAsia="zh-CN"/>
        </w:rPr>
        <w:t>—</w:t>
      </w:r>
      <w:r>
        <w:rPr>
          <w:rFonts w:hint="eastAsia" w:ascii="仿宋" w:hAnsi="仿宋" w:eastAsia="仿宋" w:cs="仿宋"/>
          <w:sz w:val="28"/>
          <w:szCs w:val="28"/>
        </w:rPr>
        <w:t>2020 婴幼儿用奶瓶和奶嘴</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GB/T 41001</w:t>
      </w:r>
      <w:r>
        <w:rPr>
          <w:rFonts w:hint="eastAsia" w:ascii="仿宋" w:hAnsi="仿宋" w:eastAsia="仿宋" w:cs="仿宋"/>
          <w:sz w:val="28"/>
          <w:szCs w:val="28"/>
          <w:lang w:eastAsia="zh-CN"/>
        </w:rPr>
        <w:t>—</w:t>
      </w:r>
      <w:r>
        <w:rPr>
          <w:rFonts w:hint="eastAsia" w:ascii="仿宋" w:hAnsi="仿宋" w:eastAsia="仿宋" w:cs="仿宋"/>
          <w:sz w:val="28"/>
          <w:szCs w:val="28"/>
        </w:rPr>
        <w:t>2021 密胺塑料餐饮具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QB/T 1999</w:t>
      </w:r>
      <w:r>
        <w:rPr>
          <w:rFonts w:hint="eastAsia" w:ascii="仿宋" w:hAnsi="仿宋" w:eastAsia="仿宋" w:cs="仿宋"/>
          <w:sz w:val="28"/>
          <w:szCs w:val="28"/>
          <w:lang w:eastAsia="zh-CN"/>
        </w:rPr>
        <w:t>—</w:t>
      </w:r>
      <w:r>
        <w:rPr>
          <w:rFonts w:hint="eastAsia" w:ascii="仿宋" w:hAnsi="仿宋" w:eastAsia="仿宋" w:cs="仿宋"/>
          <w:sz w:val="28"/>
          <w:szCs w:val="28"/>
        </w:rPr>
        <w:t>1994 密胺塑料餐具</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GB/T 17876</w:t>
      </w:r>
      <w:r>
        <w:rPr>
          <w:rFonts w:hint="eastAsia" w:ascii="仿宋" w:hAnsi="仿宋" w:eastAsia="仿宋" w:cs="仿宋"/>
          <w:sz w:val="28"/>
          <w:szCs w:val="28"/>
        </w:rPr>
        <w:t>—</w:t>
      </w:r>
      <w:r>
        <w:rPr>
          <w:rFonts w:hint="eastAsia" w:ascii="仿宋" w:hAnsi="仿宋" w:eastAsia="仿宋" w:cs="仿宋"/>
          <w:color w:val="000000"/>
          <w:sz w:val="28"/>
          <w:szCs w:val="28"/>
        </w:rPr>
        <w:t>2010 包装容器 塑料防盗瓶盖</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BB/T 0025</w:t>
      </w:r>
      <w:r>
        <w:rPr>
          <w:rFonts w:hint="eastAsia" w:ascii="仿宋" w:hAnsi="仿宋" w:eastAsia="仿宋" w:cs="仿宋"/>
          <w:sz w:val="28"/>
          <w:szCs w:val="28"/>
        </w:rPr>
        <w:t>—</w:t>
      </w:r>
      <w:r>
        <w:rPr>
          <w:rFonts w:hint="eastAsia" w:ascii="仿宋" w:hAnsi="仿宋" w:eastAsia="仿宋" w:cs="仿宋"/>
          <w:color w:val="000000"/>
          <w:sz w:val="28"/>
          <w:szCs w:val="28"/>
        </w:rPr>
        <w:t>2004 30/25mm塑料防盗瓶盖</w:t>
      </w:r>
    </w:p>
    <w:p>
      <w:pPr>
        <w:snapToGrid w:val="0"/>
        <w:spacing w:line="360" w:lineRule="auto"/>
        <w:ind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rPr>
        <w:t>BB/T 0048</w:t>
      </w:r>
      <w:r>
        <w:rPr>
          <w:rFonts w:hint="eastAsia" w:ascii="仿宋" w:hAnsi="仿宋" w:eastAsia="仿宋" w:cs="仿宋"/>
          <w:sz w:val="28"/>
          <w:szCs w:val="28"/>
        </w:rPr>
        <w:t>—</w:t>
      </w:r>
      <w:r>
        <w:rPr>
          <w:rFonts w:hint="eastAsia" w:ascii="仿宋" w:hAnsi="仿宋" w:eastAsia="仿宋" w:cs="仿宋"/>
          <w:color w:val="000000"/>
          <w:sz w:val="28"/>
          <w:szCs w:val="28"/>
        </w:rPr>
        <w:t>2017 组合式防伪瓶盖</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GB 14934-2016 食品安全国家标准 消毒餐(饮)具</w:t>
      </w:r>
    </w:p>
    <w:p>
      <w:p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"http://www.bzsb.info/javascript:void(0);" </w:instrText>
      </w:r>
      <w:r>
        <w:rPr>
          <w:rFonts w:hint="eastAsia" w:ascii="仿宋" w:hAnsi="仿宋" w:eastAsia="仿宋" w:cs="仿宋"/>
          <w:sz w:val="28"/>
          <w:szCs w:val="28"/>
        </w:rPr>
        <w:fldChar w:fldCharType="separate"/>
      </w:r>
      <w:r>
        <w:rPr>
          <w:rFonts w:hint="eastAsia" w:ascii="仿宋" w:hAnsi="仿宋" w:eastAsia="仿宋" w:cs="仿宋"/>
          <w:sz w:val="28"/>
          <w:szCs w:val="28"/>
        </w:rPr>
        <w:t>GB/T 18006.1-2009</w:t>
      </w:r>
      <w:r>
        <w:rPr>
          <w:rFonts w:hint="eastAsia" w:ascii="仿宋" w:hAnsi="仿宋" w:eastAsia="仿宋" w:cs="仿宋"/>
          <w:sz w:val="28"/>
          <w:szCs w:val="28"/>
        </w:rPr>
        <w:fldChar w:fldCharType="end"/>
      </w:r>
      <w:r>
        <w:rPr>
          <w:rFonts w:hint="eastAsia" w:ascii="仿宋" w:hAnsi="仿宋" w:eastAsia="仿宋" w:cs="仿宋"/>
          <w:sz w:val="28"/>
          <w:szCs w:val="28"/>
        </w:rPr>
        <w:t xml:space="preserve"> 塑料一次性餐饮具通用技术要求</w:t>
      </w:r>
    </w:p>
    <w:p>
      <w:pPr>
        <w:keepNext w:val="0"/>
        <w:keepLines w:val="0"/>
        <w:pageBreakBefore w:val="0"/>
        <w:widowControl w:val="0"/>
        <w:kinsoku/>
        <w:wordWrap/>
        <w:overflowPunct/>
        <w:topLinePunct w:val="0"/>
        <w:autoSpaceDE/>
        <w:autoSpaceDN/>
        <w:bidi w:val="0"/>
        <w:adjustRightInd/>
        <w:snapToGrid w:val="0"/>
        <w:spacing w:line="360" w:lineRule="auto"/>
        <w:ind w:firstLine="478" w:firstLineChars="171"/>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相关的法律法规、部门规章和规范。</w:t>
      </w:r>
    </w:p>
    <w:p>
      <w:pPr>
        <w:adjustRightInd w:val="0"/>
        <w:snapToGrid w:val="0"/>
        <w:spacing w:line="360" w:lineRule="auto"/>
        <w:ind w:firstLine="548" w:firstLineChars="196"/>
        <w:rPr>
          <w:rFonts w:ascii="仿宋_GB2312" w:eastAsia="仿宋_GB2312"/>
          <w:sz w:val="28"/>
          <w:szCs w:val="28"/>
        </w:rPr>
      </w:pPr>
      <w:r>
        <w:rPr>
          <w:rFonts w:hint="eastAsia" w:ascii="仿宋_GB2312" w:hAnsi="宋体" w:eastAsia="仿宋_GB2312"/>
          <w:color w:val="000000"/>
          <w:sz w:val="28"/>
          <w:szCs w:val="28"/>
        </w:rPr>
        <w:t>现行有效的企业标准、地方标准、团体标准及产品明示质量要求。</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5抽样</w:t>
      </w:r>
    </w:p>
    <w:p>
      <w:pPr>
        <w:adjustRightInd w:val="0"/>
        <w:snapToGrid w:val="0"/>
        <w:spacing w:line="360" w:lineRule="auto"/>
        <w:ind w:firstLine="548" w:firstLineChars="196"/>
        <w:rPr>
          <w:rFonts w:ascii="仿宋_GB2312" w:eastAsia="仿宋_GB2312"/>
          <w:kern w:val="0"/>
          <w:sz w:val="28"/>
          <w:szCs w:val="28"/>
        </w:rPr>
      </w:pPr>
      <w:r>
        <w:rPr>
          <w:rFonts w:hint="eastAsia" w:ascii="仿宋_GB2312" w:eastAsia="仿宋_GB2312"/>
          <w:sz w:val="28"/>
          <w:szCs w:val="28"/>
        </w:rPr>
        <w:t xml:space="preserve">5.1 </w:t>
      </w:r>
      <w:r>
        <w:rPr>
          <w:rFonts w:hint="eastAsia" w:ascii="仿宋_GB2312" w:eastAsia="仿宋_GB2312"/>
          <w:kern w:val="0"/>
          <w:sz w:val="28"/>
          <w:szCs w:val="28"/>
        </w:rPr>
        <w:t>抽样型号或规格</w:t>
      </w:r>
    </w:p>
    <w:p>
      <w:pPr>
        <w:adjustRightInd w:val="0"/>
        <w:snapToGrid w:val="0"/>
        <w:spacing w:line="360" w:lineRule="auto"/>
        <w:ind w:firstLine="560" w:firstLineChars="200"/>
        <w:rPr>
          <w:rFonts w:ascii="宋体" w:hAnsi="宋体"/>
          <w:color w:val="000000"/>
          <w:kern w:val="0"/>
          <w:szCs w:val="21"/>
        </w:rPr>
      </w:pPr>
      <w:r>
        <w:rPr>
          <w:rFonts w:hint="eastAsia" w:ascii="仿宋_GB2312" w:eastAsia="仿宋_GB2312"/>
          <w:sz w:val="28"/>
          <w:szCs w:val="28"/>
        </w:rPr>
        <w:t>应根据产品的销售单元（个）抽取相同规格、相同款式（货/款号）、相同花型和相同颜色的同一批次的产品。</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5.2抽样基数、抽样数量</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5.2.1在生产企业的成品库内或经销企业的合格待销产品中随机抽取有产品质量检验合格证明或者以其他形式表明合格的、近期生产的产品。随机抽样工具选择扑克牌或骰子，随机数一般可使用随机数表、骰子或扑克牌等方法产生。</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5.2.2抽样基数</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抽样基数满足抽样数量即可。</w:t>
      </w:r>
    </w:p>
    <w:p>
      <w:pPr>
        <w:adjustRightInd w:val="0"/>
        <w:snapToGrid w:val="0"/>
        <w:spacing w:line="360" w:lineRule="auto"/>
        <w:ind w:firstLine="551" w:firstLineChars="196"/>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5.2.3抽样数量</w:t>
      </w:r>
    </w:p>
    <w:p>
      <w:pPr>
        <w:snapToGrid w:val="0"/>
        <w:spacing w:line="360" w:lineRule="auto"/>
        <w:ind w:firstLine="480"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5.2.3</w:t>
      </w:r>
      <w:r>
        <w:rPr>
          <w:rFonts w:hint="eastAsia" w:ascii="仿宋" w:hAnsi="仿宋" w:eastAsia="仿宋" w:cs="仿宋"/>
          <w:color w:val="000000" w:themeColor="text1"/>
          <w:sz w:val="24"/>
          <w:szCs w:val="24"/>
          <w:lang w:val="en-US" w:eastAsia="zh-CN"/>
          <w14:textFill>
            <w14:solidFill>
              <w14:schemeClr w14:val="tx1"/>
            </w14:solidFill>
          </w14:textFill>
        </w:rPr>
        <w:t>.1</w:t>
      </w:r>
      <w:r>
        <w:rPr>
          <w:rFonts w:hint="eastAsia" w:ascii="仿宋" w:hAnsi="仿宋" w:eastAsia="仿宋" w:cs="仿宋"/>
          <w:color w:val="000000" w:themeColor="text1"/>
          <w:sz w:val="24"/>
          <w:szCs w:val="24"/>
          <w14:textFill>
            <w14:solidFill>
              <w14:schemeClr w14:val="tx1"/>
            </w14:solidFill>
          </w14:textFill>
        </w:rPr>
        <w:t>复合膜袋</w:t>
      </w:r>
      <w:r>
        <w:rPr>
          <w:rFonts w:hint="eastAsia" w:ascii="仿宋" w:hAnsi="仿宋" w:eastAsia="仿宋" w:cs="仿宋"/>
          <w:color w:val="000000" w:themeColor="text1"/>
          <w:sz w:val="24"/>
          <w:szCs w:val="24"/>
          <w:lang w:eastAsia="zh-CN"/>
          <w14:textFill>
            <w14:solidFill>
              <w14:schemeClr w14:val="tx1"/>
            </w14:solidFill>
          </w14:textFill>
        </w:rPr>
        <w:t>：</w:t>
      </w:r>
    </w:p>
    <w:p>
      <w:pPr>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膜类产品：每批次产品抽取样品3卷，将每卷膜外层除去2m，每卷膜各抽取2.5m</w:t>
      </w:r>
      <w:r>
        <w:rPr>
          <w:rFonts w:hint="eastAsia" w:ascii="仿宋" w:hAnsi="仿宋" w:eastAsia="仿宋" w:cs="仿宋"/>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×2，平均分为2份，其中1份作为检验样品，1份作为备用样品；对于执行标准为GB/T 18706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2008的液体食品保鲜包装用纸基复合材料产品和执行标准为GB/T 19741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2005的液体食品包装用塑料复合膜、袋产品应从每卷膜各抽取2.5m</w:t>
      </w:r>
      <w:r>
        <w:rPr>
          <w:rFonts w:hint="eastAsia" w:ascii="仿宋" w:hAnsi="仿宋" w:eastAsia="仿宋" w:cs="仿宋"/>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×3，平均分为3份，其中1份作为其他检验用样品，1份作为微生物检验用样品，1份作为备用样品。</w:t>
      </w:r>
    </w:p>
    <w:p>
      <w:pPr>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袋类产品：每批次产品抽取3箱，每箱中各抽取30个×2（袋规格应不小于15cm×15cm），平均分为2份，其中30个×3作为检验样品，30个×3作为备用样品；对于执行标准为GB/T 18706</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2008的液体食品保鲜包装用纸基复合材料产品和执行标准为GB/T 19741</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2005的液体食品包装用塑料复合膜、袋产品应分别从3箱中各抽取30个×3（袋规格应不小于15cm×15cm），平均分为3份，其中30个×3作为其他检验用样品，30个×3作为微生物检验用样品，30个×3作为备用样品。</w:t>
      </w:r>
    </w:p>
    <w:p>
      <w:pPr>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5.2.3</w:t>
      </w:r>
      <w:r>
        <w:rPr>
          <w:rFonts w:hint="eastAsia" w:ascii="仿宋" w:hAnsi="仿宋" w:eastAsia="仿宋" w:cs="仿宋"/>
          <w:color w:val="000000" w:themeColor="text1"/>
          <w:sz w:val="24"/>
          <w:szCs w:val="24"/>
          <w:lang w:val="en-US" w:eastAsia="zh-CN"/>
          <w14:textFill>
            <w14:solidFill>
              <w14:schemeClr w14:val="tx1"/>
            </w14:solidFill>
          </w14:textFill>
        </w:rPr>
        <w:t>.2</w:t>
      </w:r>
      <w:r>
        <w:rPr>
          <w:rFonts w:hint="eastAsia" w:ascii="仿宋" w:hAnsi="仿宋" w:eastAsia="仿宋" w:cs="仿宋"/>
          <w:color w:val="000000" w:themeColor="text1"/>
          <w:sz w:val="24"/>
          <w:szCs w:val="24"/>
          <w:lang w:eastAsia="zh-CN"/>
          <w14:textFill>
            <w14:solidFill>
              <w14:schemeClr w14:val="tx1"/>
            </w14:solidFill>
          </w14:textFill>
        </w:rPr>
        <w:t>婴幼儿用塑料奶瓶：</w:t>
      </w:r>
      <w:r>
        <w:rPr>
          <w:rFonts w:hint="eastAsia" w:ascii="仿宋" w:hAnsi="仿宋" w:eastAsia="仿宋" w:cs="仿宋"/>
          <w:color w:val="000000" w:themeColor="text1"/>
          <w:sz w:val="24"/>
          <w:szCs w:val="24"/>
          <w14:textFill>
            <w14:solidFill>
              <w14:schemeClr w14:val="tx1"/>
            </w14:solidFill>
          </w14:textFill>
        </w:rPr>
        <w:t>每批次产品抽取样品16个，其中12个作为检验样品，4个作为备用样品。</w:t>
      </w:r>
    </w:p>
    <w:p>
      <w:pPr>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5.2.3</w:t>
      </w:r>
      <w:r>
        <w:rPr>
          <w:rFonts w:hint="eastAsia" w:ascii="仿宋" w:hAnsi="仿宋" w:eastAsia="仿宋" w:cs="仿宋"/>
          <w:color w:val="000000" w:themeColor="text1"/>
          <w:sz w:val="24"/>
          <w:szCs w:val="24"/>
          <w:lang w:val="en-US" w:eastAsia="zh-CN"/>
          <w14:textFill>
            <w14:solidFill>
              <w14:schemeClr w14:val="tx1"/>
            </w14:solidFill>
          </w14:textFill>
        </w:rPr>
        <w:t>.3</w:t>
      </w:r>
      <w:r>
        <w:rPr>
          <w:rFonts w:hint="eastAsia" w:ascii="仿宋" w:hAnsi="仿宋" w:eastAsia="仿宋" w:cs="仿宋"/>
          <w:color w:val="000000" w:themeColor="text1"/>
          <w:sz w:val="24"/>
          <w:szCs w:val="24"/>
          <w14:textFill>
            <w14:solidFill>
              <w14:schemeClr w14:val="tx1"/>
            </w14:solidFill>
          </w14:textFill>
        </w:rPr>
        <w:t>密胺塑料餐具</w:t>
      </w:r>
    </w:p>
    <w:p>
      <w:pPr>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筷子：每批次产品抽取样品80支，其中60支作为检验样品，20支作为备用样品。</w:t>
      </w:r>
    </w:p>
    <w:p>
      <w:pPr>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其它产品：每批次产品抽取样品60个，其中40个作为检验样品，20个作为备用样品。</w:t>
      </w:r>
    </w:p>
    <w:p>
      <w:pPr>
        <w:snapToGrid w:val="0"/>
        <w:spacing w:line="360" w:lineRule="auto"/>
        <w:ind w:firstLine="480" w:firstLineChars="200"/>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5.2.3</w:t>
      </w:r>
      <w:r>
        <w:rPr>
          <w:rFonts w:hint="eastAsia" w:ascii="仿宋" w:hAnsi="仿宋" w:eastAsia="仿宋" w:cs="仿宋"/>
          <w:color w:val="000000" w:themeColor="text1"/>
          <w:sz w:val="24"/>
          <w:szCs w:val="24"/>
          <w:lang w:val="en-US" w:eastAsia="zh-CN"/>
          <w14:textFill>
            <w14:solidFill>
              <w14:schemeClr w14:val="tx1"/>
            </w14:solidFill>
          </w14:textFill>
        </w:rPr>
        <w:t>.4、</w:t>
      </w:r>
      <w:r>
        <w:rPr>
          <w:rFonts w:hint="eastAsia" w:ascii="仿宋" w:hAnsi="仿宋" w:eastAsia="仿宋" w:cs="仿宋"/>
          <w:color w:val="000000" w:themeColor="text1"/>
          <w:sz w:val="24"/>
          <w:szCs w:val="24"/>
          <w:lang w:eastAsia="zh-CN"/>
          <w14:textFill>
            <w14:solidFill>
              <w14:schemeClr w14:val="tx1"/>
            </w14:solidFill>
          </w14:textFill>
        </w:rPr>
        <w:t>塑料瓶盖：</w:t>
      </w:r>
      <w:r>
        <w:rPr>
          <w:rFonts w:hint="eastAsia" w:ascii="仿宋" w:hAnsi="仿宋" w:eastAsia="仿宋" w:cs="仿宋"/>
          <w:color w:val="000000" w:themeColor="text1"/>
          <w:sz w:val="24"/>
          <w:szCs w:val="24"/>
          <w14:textFill>
            <w14:solidFill>
              <w14:schemeClr w14:val="tx1"/>
            </w14:solidFill>
          </w14:textFill>
        </w:rPr>
        <w:t>每批次产品抽取样品100个，其中50个作为检验样品，50个作为备用样品。</w:t>
      </w:r>
    </w:p>
    <w:p>
      <w:pPr>
        <w:adjustRightInd w:val="0"/>
        <w:snapToGrid w:val="0"/>
        <w:spacing w:line="360" w:lineRule="auto"/>
        <w:ind w:firstLine="480" w:firstLineChars="200"/>
        <w:outlineLvl w:val="1"/>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5.2.3</w:t>
      </w:r>
      <w:r>
        <w:rPr>
          <w:rFonts w:hint="eastAsia" w:ascii="仿宋" w:hAnsi="仿宋" w:eastAsia="仿宋" w:cs="仿宋"/>
          <w:color w:val="000000" w:themeColor="text1"/>
          <w:sz w:val="24"/>
          <w:szCs w:val="24"/>
          <w:lang w:val="en-US" w:eastAsia="zh-CN"/>
          <w14:textFill>
            <w14:solidFill>
              <w14:schemeClr w14:val="tx1"/>
            </w14:solidFill>
          </w14:textFill>
        </w:rPr>
        <w:t>.5、</w:t>
      </w:r>
      <w:r>
        <w:rPr>
          <w:rFonts w:hint="eastAsia" w:ascii="仿宋" w:hAnsi="仿宋" w:eastAsia="仿宋" w:cs="仿宋"/>
          <w:color w:val="000000" w:themeColor="text1"/>
          <w:sz w:val="24"/>
          <w:szCs w:val="24"/>
          <w14:textFill>
            <w14:solidFill>
              <w14:schemeClr w14:val="tx1"/>
            </w14:solidFill>
          </w14:textFill>
        </w:rPr>
        <w:t>塑料一次性餐饮具</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每批次产品抽取不少于3份最小销售独立包装，每份样品抽样数量不少于40只（个），其中2份作为检验样品，1份作为备用样品。每份样品质量应不少于100g且与食品接触面的最小表面积应不小于10dm</w:t>
      </w:r>
      <w:r>
        <w:rPr>
          <w:rFonts w:hint="eastAsia" w:ascii="仿宋" w:hAnsi="仿宋" w:eastAsia="仿宋" w:cs="仿宋"/>
          <w:color w:val="000000" w:themeColor="text1"/>
          <w:sz w:val="24"/>
          <w:szCs w:val="24"/>
          <w:vertAlign w:val="superscript"/>
          <w14:textFill>
            <w14:solidFill>
              <w14:schemeClr w14:val="tx1"/>
            </w14:solidFill>
          </w14:textFill>
        </w:rPr>
        <w:t>2</w:t>
      </w:r>
      <w:r>
        <w:rPr>
          <w:rFonts w:hint="eastAsia" w:ascii="仿宋" w:hAnsi="仿宋" w:eastAsia="仿宋" w:cs="仿宋"/>
          <w:color w:val="000000" w:themeColor="text1"/>
          <w:sz w:val="24"/>
          <w:szCs w:val="24"/>
          <w14:textFill>
            <w14:solidFill>
              <w14:schemeClr w14:val="tx1"/>
            </w14:solidFill>
          </w14:textFill>
        </w:rPr>
        <w:t>（若最小销售包装不是40只（个）的整数倍，需按采样数折算，保证检样不少于80只（个），备样不少于40只（个），避免损坏原包装）。</w:t>
      </w:r>
    </w:p>
    <w:p>
      <w:pPr>
        <w:adjustRightInd w:val="0"/>
        <w:snapToGrid w:val="0"/>
        <w:spacing w:beforeLines="100" w:line="360" w:lineRule="auto"/>
        <w:ind w:firstLine="548" w:firstLineChars="196"/>
        <w:rPr>
          <w:rFonts w:ascii="仿宋_GB2312" w:eastAsia="仿宋_GB2312"/>
          <w:sz w:val="28"/>
          <w:szCs w:val="28"/>
        </w:rPr>
      </w:pPr>
      <w:r>
        <w:rPr>
          <w:rFonts w:hint="eastAsia" w:ascii="仿宋_GB2312" w:eastAsia="仿宋_GB2312"/>
          <w:sz w:val="28"/>
          <w:szCs w:val="28"/>
        </w:rPr>
        <w:t>5.2.4抽样时应注意的问题</w:t>
      </w:r>
    </w:p>
    <w:p>
      <w:pPr>
        <w:spacing w:line="360" w:lineRule="auto"/>
        <w:ind w:firstLine="560" w:firstLineChars="200"/>
        <w:rPr>
          <w:rFonts w:ascii="仿宋_GB2312" w:eastAsia="仿宋_GB2312"/>
          <w:sz w:val="28"/>
          <w:szCs w:val="28"/>
        </w:rPr>
      </w:pPr>
      <w:r>
        <w:rPr>
          <w:rFonts w:hint="eastAsia" w:ascii="仿宋_GB2312" w:eastAsia="仿宋_GB2312"/>
          <w:sz w:val="28"/>
          <w:szCs w:val="28"/>
        </w:rPr>
        <w:t>5.2.4.1应由抽样技术人员在现场进行抽取，不得由企业自行抽样。抽取的样品应当是有产品质量检验合格证明或者以其他形式表明合格的产品，其保质期应满足检验及异议处理时间要求。</w:t>
      </w:r>
    </w:p>
    <w:p>
      <w:pPr>
        <w:spacing w:line="360" w:lineRule="auto"/>
        <w:ind w:firstLine="560" w:firstLineChars="200"/>
        <w:rPr>
          <w:rFonts w:ascii="仿宋_GB2312" w:eastAsia="仿宋_GB2312" w:cs="仿宋_GB2312"/>
          <w:sz w:val="28"/>
          <w:szCs w:val="28"/>
        </w:rPr>
      </w:pPr>
      <w:r>
        <w:rPr>
          <w:rFonts w:hint="eastAsia" w:ascii="仿宋_GB2312" w:eastAsia="仿宋_GB2312"/>
          <w:sz w:val="28"/>
          <w:szCs w:val="28"/>
        </w:rPr>
        <w:t>5.2.4.2</w:t>
      </w:r>
      <w:r>
        <w:rPr>
          <w:rFonts w:hint="eastAsia" w:ascii="仿宋_GB2312" w:eastAsia="仿宋_GB2312" w:cs="仿宋_GB2312"/>
          <w:sz w:val="28"/>
          <w:szCs w:val="28"/>
        </w:rPr>
        <w:t xml:space="preserve">抽样时，抽样人员应当认真核实营业执照等被抽查企业的相关信息，确认企业不存在不得抽样的情形。遇有下列情况之一且能提供有效证明的，不得抽样： </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（1）被抽查企业无监督抽查通知书或者相关文件复印件所列产品的；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（2）有充分证据证明拟抽查的产品是不用于销售的；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（3）产品不涉及强制性标准要求，仅按双方约定的技术要求加工生产，且未执行任何标准的；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（4）有充分证据证明拟抽查的产品为企业用于出口，并且出口合同对产品质量另有规定的；</w:t>
      </w:r>
    </w:p>
    <w:p>
      <w:pPr>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（5）产品或者标签、包装、说明书标有“试制”、“处理”或者“样品”等字样的；</w:t>
      </w:r>
    </w:p>
    <w:p>
      <w:pPr>
        <w:adjustRightInd w:val="0"/>
        <w:snapToGrid w:val="0"/>
        <w:spacing w:line="360" w:lineRule="auto"/>
        <w:ind w:firstLine="548" w:firstLineChars="196"/>
        <w:rPr>
          <w:rFonts w:ascii="仿宋_GB2312" w:eastAsia="仿宋_GB2312" w:cs="仿宋_GB2312"/>
          <w:sz w:val="28"/>
          <w:szCs w:val="28"/>
        </w:rPr>
      </w:pPr>
      <w:r>
        <w:rPr>
          <w:rFonts w:hint="eastAsia" w:ascii="仿宋_GB2312" w:eastAsia="仿宋_GB2312" w:cs="仿宋_GB2312"/>
          <w:sz w:val="28"/>
          <w:szCs w:val="28"/>
        </w:rPr>
        <w:t>（6）企业提供上级市场监管部门6个月内该种产品的监督抽查抽样单或者合格检验报告的。</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5.3样品处置</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检验样品及备用样品应分别封样，抽取的样品（连同其原包装和使用说明）用清洁的包装袋（箱）密封包装后加贴封条封样。包装的方式应能防止样品在运送过程中损坏或被污染，封样的方式应能有效防止未经授权的拆封。封样单上应有被抽查企业和抽样人员的签名，注明抽样日期，并确认封样单牢固。备用样品封存于受检单位。</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抽样人员将封存的样品，带回或寄送至抽样机构。抽样机构及时将抽查样品及抽样单等相关文书按时间节点要求寄往承检机构。样品在保存及运输过程中应妥善保管，做好防潮、防霉、防蛀措施，保持样品状态良好。</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承检机构接收样品时应当检查、记录样品的外观、状态、封条有无破损及其他可能对检验结果或者综合判定产生影响的情况，确认样品与抽样文书的记录是否相符，并填写样品接收表（注：当封条若破损，样品有可能被调换或损坏时，或样品与抽查样品不一致时，立即与抽样单位联系，确认原因，同时上报任务委托单位取消该样品的抽查工作）。对检验样品加贴相应标识后入库待检。</w:t>
      </w:r>
    </w:p>
    <w:p>
      <w:pPr>
        <w:adjustRightInd w:val="0"/>
        <w:snapToGrid w:val="0"/>
        <w:spacing w:line="360" w:lineRule="auto"/>
        <w:ind w:firstLine="560" w:firstLineChars="200"/>
        <w:rPr>
          <w:rFonts w:ascii="仿宋_GB2312" w:hAnsi="仿宋" w:eastAsia="仿宋_GB2312" w:cs="仿宋"/>
          <w:sz w:val="28"/>
          <w:szCs w:val="28"/>
        </w:rPr>
      </w:pPr>
      <w:r>
        <w:rPr>
          <w:rFonts w:hint="eastAsia" w:ascii="仿宋_GB2312" w:hAnsi="仿宋" w:eastAsia="仿宋_GB2312" w:cs="仿宋"/>
          <w:sz w:val="28"/>
          <w:szCs w:val="28"/>
          <w:lang w:val="en-US" w:eastAsia="zh-CN"/>
        </w:rPr>
        <w:t>5</w:t>
      </w:r>
      <w:r>
        <w:rPr>
          <w:rFonts w:hint="eastAsia" w:ascii="仿宋_GB2312" w:hAnsi="仿宋" w:eastAsia="仿宋_GB2312" w:cs="仿宋"/>
          <w:sz w:val="28"/>
          <w:szCs w:val="28"/>
        </w:rPr>
        <w:t>.4抽样单</w:t>
      </w:r>
    </w:p>
    <w:p>
      <w:pPr>
        <w:adjustRightInd w:val="0"/>
        <w:snapToGrid w:val="0"/>
        <w:spacing w:line="360" w:lineRule="auto"/>
        <w:ind w:firstLine="560" w:firstLineChars="200"/>
        <w:rPr>
          <w:rFonts w:hint="eastAsia" w:ascii="仿宋_GB2312" w:hAnsi="仿宋" w:eastAsia="仿宋_GB2312" w:cs="仿宋"/>
          <w:sz w:val="28"/>
          <w:szCs w:val="28"/>
          <w:lang w:eastAsia="zh-CN"/>
        </w:rPr>
      </w:pPr>
      <w:r>
        <w:rPr>
          <w:rFonts w:hint="eastAsia" w:ascii="仿宋_GB2312" w:eastAsia="仿宋_GB2312"/>
          <w:sz w:val="28"/>
          <w:szCs w:val="28"/>
          <w:highlight w:val="none"/>
        </w:rPr>
        <w:t>应按有关规定填写抽样单，并记录被抽查产品及企业相关信息。需要被抽企业提供的其他样品信息应注明，并经企业确认</w:t>
      </w:r>
      <w:r>
        <w:rPr>
          <w:rFonts w:hint="eastAsia" w:ascii="仿宋_GB2312" w:eastAsia="仿宋_GB2312"/>
          <w:sz w:val="28"/>
          <w:szCs w:val="28"/>
          <w:highlight w:val="none"/>
          <w:lang w:eastAsia="zh-CN"/>
        </w:rPr>
        <w:t>。</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5.5其他要求</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可对抽样的关键过程留下影像资料。在进入企业、取样、双方签字确认等环节时，影像资料要能清晰记录企业名称、营业执照名称、被抽样的产品、抽样状态、抽样人员和企业陪同人员等。</w:t>
      </w:r>
    </w:p>
    <w:p>
      <w:pPr>
        <w:spacing w:line="360" w:lineRule="auto"/>
        <w:ind w:firstLine="548" w:firstLineChars="196"/>
        <w:contextualSpacing/>
        <w:rPr>
          <w:rFonts w:ascii="仿宋_GB2312" w:hAnsi="宋体" w:eastAsia="仿宋_GB2312"/>
          <w:color w:val="000000"/>
          <w:sz w:val="28"/>
          <w:szCs w:val="28"/>
        </w:rPr>
      </w:pPr>
      <w:r>
        <w:rPr>
          <w:rFonts w:hint="eastAsia" w:ascii="仿宋_GB2312" w:hAnsi="宋体" w:eastAsia="仿宋_GB2312"/>
          <w:color w:val="000000"/>
          <w:sz w:val="28"/>
          <w:szCs w:val="28"/>
        </w:rPr>
        <w:t>5.</w:t>
      </w:r>
      <w:r>
        <w:rPr>
          <w:rFonts w:hint="eastAsia" w:ascii="仿宋_GB2312" w:hAnsi="宋体" w:eastAsia="仿宋_GB2312"/>
          <w:color w:val="000000"/>
          <w:sz w:val="28"/>
          <w:szCs w:val="28"/>
          <w:lang w:val="en-US" w:eastAsia="zh-CN"/>
        </w:rPr>
        <w:t>6</w:t>
      </w:r>
      <w:r>
        <w:rPr>
          <w:rFonts w:hint="eastAsia" w:ascii="仿宋" w:hAnsi="仿宋" w:eastAsia="仿宋" w:cs="仿宋"/>
          <w:sz w:val="28"/>
          <w:szCs w:val="28"/>
        </w:rPr>
        <w:t>样品获取方式</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.1 监督抽查所需的检验样品要在受检单位以购买方式获取</w:t>
      </w:r>
      <w:r>
        <w:rPr>
          <w:rFonts w:hint="eastAsia" w:ascii="仿宋" w:hAnsi="仿宋" w:eastAsia="仿宋" w:cs="仿宋"/>
          <w:sz w:val="28"/>
          <w:szCs w:val="28"/>
          <w:lang w:eastAsia="zh-CN"/>
        </w:rPr>
        <w:t>，受检单位开具发票</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pacing w:line="594" w:lineRule="atLeast"/>
        <w:ind w:firstLine="560" w:firstLineChars="200"/>
        <w:textAlignment w:val="auto"/>
        <w:rPr>
          <w:rFonts w:ascii="仿宋_GB2312" w:eastAsia="仿宋_GB2312"/>
          <w:sz w:val="28"/>
          <w:szCs w:val="28"/>
        </w:rPr>
      </w:pPr>
      <w:r>
        <w:rPr>
          <w:rFonts w:hint="eastAsia" w:ascii="仿宋" w:hAnsi="仿宋" w:eastAsia="仿宋" w:cs="仿宋"/>
          <w:sz w:val="28"/>
          <w:szCs w:val="28"/>
        </w:rPr>
        <w:t>5.</w:t>
      </w:r>
      <w:r>
        <w:rPr>
          <w:rFonts w:hint="eastAsia" w:ascii="仿宋" w:hAnsi="仿宋" w:eastAsia="仿宋" w:cs="仿宋"/>
          <w:sz w:val="28"/>
          <w:szCs w:val="28"/>
          <w:lang w:val="en-US" w:eastAsia="zh-CN"/>
        </w:rPr>
        <w:t>6</w:t>
      </w:r>
      <w:r>
        <w:rPr>
          <w:rFonts w:hint="eastAsia" w:ascii="仿宋" w:hAnsi="仿宋" w:eastAsia="仿宋" w:cs="仿宋"/>
          <w:sz w:val="28"/>
          <w:szCs w:val="28"/>
        </w:rPr>
        <w:t>.2 当被抽样生产者对检验结论有异议需要复检时，应当向</w:t>
      </w:r>
      <w:r>
        <w:rPr>
          <w:rFonts w:hint="eastAsia" w:ascii="仿宋" w:hAnsi="仿宋" w:eastAsia="仿宋" w:cs="仿宋"/>
          <w:sz w:val="28"/>
          <w:szCs w:val="28"/>
          <w:lang w:eastAsia="zh-CN"/>
        </w:rPr>
        <w:t>受检单位</w:t>
      </w:r>
      <w:r>
        <w:rPr>
          <w:rFonts w:hint="eastAsia" w:ascii="仿宋" w:hAnsi="仿宋" w:eastAsia="仿宋" w:cs="仿宋"/>
          <w:sz w:val="28"/>
          <w:szCs w:val="28"/>
        </w:rPr>
        <w:t>支付备用样品费用。</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6检验要求</w:t>
      </w:r>
    </w:p>
    <w:p>
      <w:pPr>
        <w:snapToGrid w:val="0"/>
        <w:spacing w:line="360" w:lineRule="auto"/>
        <w:ind w:firstLine="560" w:firstLineChars="200"/>
        <w:rPr>
          <w:rFonts w:ascii="仿宋_GB2312" w:hAnsi="宋体" w:eastAsia="仿宋_GB2312"/>
          <w:color w:val="000000"/>
          <w:sz w:val="28"/>
          <w:szCs w:val="28"/>
        </w:rPr>
      </w:pPr>
      <w:r>
        <w:rPr>
          <w:rFonts w:hint="eastAsia" w:ascii="仿宋_GB2312" w:eastAsia="仿宋_GB2312"/>
          <w:sz w:val="28"/>
          <w:szCs w:val="28"/>
        </w:rPr>
        <w:t>6.1检验项目</w:t>
      </w:r>
    </w:p>
    <w:p>
      <w:pPr>
        <w:snapToGrid w:val="0"/>
        <w:spacing w:line="440" w:lineRule="exact"/>
        <w:jc w:val="center"/>
        <w:outlineLvl w:val="0"/>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表</w:t>
      </w:r>
      <w:r>
        <w:rPr>
          <w:rFonts w:hint="eastAsia" w:ascii="仿宋" w:hAnsi="仿宋" w:eastAsia="仿宋" w:cs="仿宋"/>
          <w:color w:val="000000"/>
          <w:sz w:val="24"/>
          <w:szCs w:val="24"/>
          <w:lang w:val="en-US" w:eastAsia="zh-CN"/>
        </w:rPr>
        <w:t xml:space="preserve">2 </w:t>
      </w:r>
      <w:r>
        <w:rPr>
          <w:rFonts w:hint="eastAsia" w:ascii="仿宋" w:hAnsi="仿宋" w:eastAsia="仿宋" w:cs="仿宋"/>
          <w:color w:val="000000"/>
          <w:sz w:val="24"/>
          <w:szCs w:val="24"/>
        </w:rPr>
        <w:t>复合膜袋</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1"/>
        <w:gridCol w:w="4258"/>
        <w:gridCol w:w="3652"/>
        <w:gridCol w:w="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trHeight w:val="440" w:hRule="exact"/>
          <w:tblHeader/>
          <w:jc w:val="center"/>
        </w:trPr>
        <w:tc>
          <w:tcPr>
            <w:tcW w:w="595" w:type="pct"/>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365" w:type="pct"/>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2028" w:type="pct"/>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w:t>
            </w:r>
          </w:p>
        </w:tc>
        <w:tc>
          <w:tcPr>
            <w:tcW w:w="2365"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感官指标/感官要求</w:t>
            </w:r>
          </w:p>
        </w:tc>
        <w:tc>
          <w:tcPr>
            <w:tcW w:w="2028"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9683</w:t>
            </w:r>
            <w:r>
              <w:rPr>
                <w:rFonts w:hint="eastAsia" w:ascii="仿宋" w:hAnsi="仿宋" w:eastAsia="仿宋" w:cs="仿宋"/>
                <w:sz w:val="24"/>
                <w:szCs w:val="24"/>
                <w:lang w:eastAsia="zh-CN"/>
              </w:rPr>
              <w:t>—</w:t>
            </w:r>
            <w:r>
              <w:rPr>
                <w:rFonts w:hint="eastAsia" w:ascii="仿宋" w:hAnsi="仿宋" w:eastAsia="仿宋" w:cs="仿宋"/>
                <w:sz w:val="24"/>
                <w:szCs w:val="24"/>
              </w:rPr>
              <w:t>1988</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4806.7</w:t>
            </w:r>
            <w:r>
              <w:rPr>
                <w:rFonts w:hint="eastAsia" w:ascii="仿宋" w:hAnsi="仿宋" w:eastAsia="仿宋" w:cs="仿宋"/>
                <w:sz w:val="24"/>
                <w:szCs w:val="24"/>
                <w:lang w:eastAsia="zh-CN"/>
              </w:rPr>
              <w:t>—</w:t>
            </w: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2</w:t>
            </w:r>
          </w:p>
        </w:tc>
        <w:tc>
          <w:tcPr>
            <w:tcW w:w="2365"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蒸发残渣/总迁移量</w:t>
            </w:r>
          </w:p>
        </w:tc>
        <w:tc>
          <w:tcPr>
            <w:tcW w:w="2028"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31604.8</w:t>
            </w:r>
            <w:r>
              <w:rPr>
                <w:rFonts w:hint="eastAsia" w:ascii="仿宋" w:hAnsi="仿宋" w:eastAsia="仿宋" w:cs="仿宋"/>
                <w:sz w:val="24"/>
                <w:szCs w:val="24"/>
                <w:lang w:eastAsia="zh-CN"/>
              </w:rPr>
              <w:t>—</w:t>
            </w:r>
            <w:r>
              <w:rPr>
                <w:rFonts w:hint="eastAsia" w:ascii="仿宋" w:hAnsi="仿宋" w:eastAsia="仿宋" w:cs="仿宋"/>
                <w:sz w:val="24"/>
                <w:szCs w:val="24"/>
              </w:rPr>
              <w:t>2021</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9683</w:t>
            </w:r>
            <w:r>
              <w:rPr>
                <w:rFonts w:hint="eastAsia" w:ascii="仿宋" w:hAnsi="仿宋" w:eastAsia="仿宋" w:cs="仿宋"/>
                <w:sz w:val="24"/>
                <w:szCs w:val="24"/>
                <w:lang w:eastAsia="zh-CN"/>
              </w:rPr>
              <w:t>—</w:t>
            </w:r>
            <w:r>
              <w:rPr>
                <w:rFonts w:hint="eastAsia" w:ascii="仿宋" w:hAnsi="仿宋" w:eastAsia="仿宋" w:cs="仿宋"/>
                <w:sz w:val="24"/>
                <w:szCs w:val="24"/>
              </w:rPr>
              <w:t>1988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3</w:t>
            </w:r>
          </w:p>
        </w:tc>
        <w:tc>
          <w:tcPr>
            <w:tcW w:w="2365"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高锰酸钾消耗量</w:t>
            </w:r>
          </w:p>
        </w:tc>
        <w:tc>
          <w:tcPr>
            <w:tcW w:w="2028"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31604.2</w:t>
            </w:r>
            <w:r>
              <w:rPr>
                <w:rFonts w:hint="eastAsia" w:ascii="仿宋" w:hAnsi="仿宋" w:eastAsia="仿宋" w:cs="仿宋"/>
                <w:sz w:val="24"/>
                <w:szCs w:val="24"/>
                <w:lang w:eastAsia="zh-CN"/>
              </w:rPr>
              <w:t>—</w:t>
            </w:r>
            <w:r>
              <w:rPr>
                <w:rFonts w:hint="eastAsia" w:ascii="仿宋" w:hAnsi="仿宋" w:eastAsia="仿宋" w:cs="仿宋"/>
                <w:sz w:val="24"/>
                <w:szCs w:val="24"/>
              </w:rPr>
              <w:t>2016</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9683</w:t>
            </w:r>
            <w:r>
              <w:rPr>
                <w:rFonts w:hint="eastAsia" w:ascii="仿宋" w:hAnsi="仿宋" w:eastAsia="仿宋" w:cs="仿宋"/>
                <w:sz w:val="24"/>
                <w:szCs w:val="24"/>
                <w:lang w:eastAsia="zh-CN"/>
              </w:rPr>
              <w:t>—</w:t>
            </w:r>
            <w:r>
              <w:rPr>
                <w:rFonts w:hint="eastAsia" w:ascii="仿宋" w:hAnsi="仿宋" w:eastAsia="仿宋" w:cs="仿宋"/>
                <w:sz w:val="24"/>
                <w:szCs w:val="24"/>
              </w:rPr>
              <w:t>1988</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4806.7</w:t>
            </w:r>
            <w:r>
              <w:rPr>
                <w:rFonts w:hint="eastAsia" w:ascii="仿宋" w:hAnsi="仿宋" w:eastAsia="仿宋" w:cs="仿宋"/>
                <w:sz w:val="24"/>
                <w:szCs w:val="24"/>
                <w:lang w:eastAsia="zh-CN"/>
              </w:rPr>
              <w:t>—</w:t>
            </w: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4</w:t>
            </w:r>
          </w:p>
        </w:tc>
        <w:tc>
          <w:tcPr>
            <w:tcW w:w="2365"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重金属（以Pb计）</w:t>
            </w:r>
          </w:p>
        </w:tc>
        <w:tc>
          <w:tcPr>
            <w:tcW w:w="2028"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31604.9</w:t>
            </w:r>
            <w:r>
              <w:rPr>
                <w:rFonts w:hint="eastAsia" w:ascii="仿宋" w:hAnsi="仿宋" w:eastAsia="仿宋" w:cs="仿宋"/>
                <w:sz w:val="24"/>
                <w:szCs w:val="24"/>
                <w:lang w:eastAsia="zh-CN"/>
              </w:rPr>
              <w:t>—</w:t>
            </w:r>
            <w:r>
              <w:rPr>
                <w:rFonts w:hint="eastAsia" w:ascii="仿宋" w:hAnsi="仿宋" w:eastAsia="仿宋" w:cs="仿宋"/>
                <w:sz w:val="24"/>
                <w:szCs w:val="24"/>
              </w:rPr>
              <w:t>2016</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9683</w:t>
            </w:r>
            <w:r>
              <w:rPr>
                <w:rFonts w:hint="eastAsia" w:ascii="仿宋" w:hAnsi="仿宋" w:eastAsia="仿宋" w:cs="仿宋"/>
                <w:sz w:val="24"/>
                <w:szCs w:val="24"/>
                <w:lang w:eastAsia="zh-CN"/>
              </w:rPr>
              <w:t>—</w:t>
            </w:r>
            <w:r>
              <w:rPr>
                <w:rFonts w:hint="eastAsia" w:ascii="仿宋" w:hAnsi="仿宋" w:eastAsia="仿宋" w:cs="仿宋"/>
                <w:sz w:val="24"/>
                <w:szCs w:val="24"/>
              </w:rPr>
              <w:t>1988</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4806.7</w:t>
            </w:r>
            <w:r>
              <w:rPr>
                <w:rFonts w:hint="eastAsia" w:ascii="仿宋" w:hAnsi="仿宋" w:eastAsia="仿宋" w:cs="仿宋"/>
                <w:sz w:val="24"/>
                <w:szCs w:val="24"/>
                <w:lang w:eastAsia="zh-CN"/>
              </w:rPr>
              <w:t>—</w:t>
            </w: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5</w:t>
            </w:r>
          </w:p>
        </w:tc>
        <w:tc>
          <w:tcPr>
            <w:tcW w:w="2365"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溶剂残留量总量</w:t>
            </w:r>
          </w:p>
        </w:tc>
        <w:tc>
          <w:tcPr>
            <w:tcW w:w="2028"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10004</w:t>
            </w:r>
            <w:r>
              <w:rPr>
                <w:rFonts w:hint="eastAsia" w:ascii="仿宋" w:hAnsi="仿宋" w:eastAsia="仿宋" w:cs="仿宋"/>
                <w:sz w:val="24"/>
                <w:szCs w:val="24"/>
                <w:lang w:eastAsia="zh-CN"/>
              </w:rPr>
              <w:t>—</w:t>
            </w:r>
            <w:r>
              <w:rPr>
                <w:rFonts w:hint="eastAsia" w:ascii="仿宋" w:hAnsi="仿宋" w:eastAsia="仿宋" w:cs="仿宋"/>
                <w:sz w:val="24"/>
                <w:szCs w:val="24"/>
              </w:rPr>
              <w:t>2008 6.6.17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6</w:t>
            </w:r>
          </w:p>
        </w:tc>
        <w:tc>
          <w:tcPr>
            <w:tcW w:w="2365" w:type="pct"/>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微生物总数/菌落总数</w:t>
            </w:r>
          </w:p>
        </w:tc>
        <w:tc>
          <w:tcPr>
            <w:tcW w:w="2028" w:type="pct"/>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 4789.2</w:t>
            </w:r>
            <w:r>
              <w:rPr>
                <w:rFonts w:hint="eastAsia" w:ascii="仿宋" w:hAnsi="仿宋" w:eastAsia="仿宋" w:cs="仿宋"/>
                <w:sz w:val="24"/>
                <w:szCs w:val="24"/>
                <w:lang w:eastAsia="zh-CN"/>
              </w:rPr>
              <w:t>—</w:t>
            </w: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2365" w:type="pct"/>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致病菌</w:t>
            </w:r>
          </w:p>
        </w:tc>
        <w:tc>
          <w:tcPr>
            <w:tcW w:w="2028"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4789.4</w:t>
            </w:r>
            <w:r>
              <w:rPr>
                <w:rFonts w:hint="eastAsia" w:ascii="仿宋" w:hAnsi="仿宋" w:eastAsia="仿宋" w:cs="仿宋"/>
                <w:sz w:val="24"/>
                <w:szCs w:val="24"/>
                <w:lang w:eastAsia="zh-CN"/>
              </w:rPr>
              <w:t>—</w:t>
            </w:r>
            <w:r>
              <w:rPr>
                <w:rFonts w:hint="eastAsia" w:ascii="仿宋" w:hAnsi="仿宋" w:eastAsia="仿宋" w:cs="仿宋"/>
                <w:sz w:val="24"/>
                <w:szCs w:val="24"/>
              </w:rPr>
              <w:t>2016</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4789.5</w:t>
            </w:r>
            <w:r>
              <w:rPr>
                <w:rFonts w:hint="eastAsia" w:ascii="仿宋" w:hAnsi="仿宋" w:eastAsia="仿宋" w:cs="仿宋"/>
                <w:sz w:val="24"/>
                <w:szCs w:val="24"/>
                <w:lang w:eastAsia="zh-CN"/>
              </w:rPr>
              <w:t>—</w:t>
            </w:r>
            <w:r>
              <w:rPr>
                <w:rFonts w:hint="eastAsia" w:ascii="仿宋" w:hAnsi="仿宋" w:eastAsia="仿宋" w:cs="仿宋"/>
                <w:sz w:val="24"/>
                <w:szCs w:val="24"/>
              </w:rPr>
              <w:t>2012</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4789.10</w:t>
            </w:r>
            <w:r>
              <w:rPr>
                <w:rFonts w:hint="eastAsia" w:ascii="仿宋" w:hAnsi="仿宋" w:eastAsia="仿宋" w:cs="仿宋"/>
                <w:sz w:val="24"/>
                <w:szCs w:val="24"/>
                <w:lang w:eastAsia="zh-CN"/>
              </w:rPr>
              <w:t>—</w:t>
            </w:r>
            <w:r>
              <w:rPr>
                <w:rFonts w:hint="eastAsia" w:ascii="仿宋" w:hAnsi="仿宋" w:eastAsia="仿宋" w:cs="仿宋"/>
                <w:sz w:val="24"/>
                <w:szCs w:val="24"/>
              </w:rPr>
              <w:t>2016</w:t>
            </w:r>
          </w:p>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 4789.11</w:t>
            </w:r>
            <w:r>
              <w:rPr>
                <w:rFonts w:hint="eastAsia" w:ascii="仿宋" w:hAnsi="仿宋" w:eastAsia="仿宋" w:cs="仿宋"/>
                <w:sz w:val="24"/>
                <w:szCs w:val="24"/>
                <w:lang w:eastAsia="zh-CN"/>
              </w:rPr>
              <w:t>—</w:t>
            </w:r>
            <w:r>
              <w:rPr>
                <w:rFonts w:hint="eastAsia" w:ascii="仿宋" w:hAnsi="仿宋" w:eastAsia="仿宋" w:cs="仿宋"/>
                <w:sz w:val="24"/>
                <w:szCs w:val="24"/>
              </w:rPr>
              <w:t>2014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8</w:t>
            </w:r>
          </w:p>
        </w:tc>
        <w:tc>
          <w:tcPr>
            <w:tcW w:w="2365" w:type="pct"/>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大肠菌群</w:t>
            </w:r>
          </w:p>
        </w:tc>
        <w:tc>
          <w:tcPr>
            <w:tcW w:w="2028" w:type="pct"/>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 4789.3</w:t>
            </w:r>
            <w:r>
              <w:rPr>
                <w:rFonts w:hint="eastAsia" w:ascii="仿宋" w:hAnsi="仿宋" w:eastAsia="仿宋" w:cs="仿宋"/>
                <w:sz w:val="24"/>
                <w:szCs w:val="24"/>
                <w:lang w:eastAsia="zh-CN"/>
              </w:rPr>
              <w:t>—</w:t>
            </w: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9</w:t>
            </w:r>
          </w:p>
        </w:tc>
        <w:tc>
          <w:tcPr>
            <w:tcW w:w="2365" w:type="pct"/>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霉菌</w:t>
            </w:r>
          </w:p>
        </w:tc>
        <w:tc>
          <w:tcPr>
            <w:tcW w:w="2028" w:type="pct"/>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 4789.15</w:t>
            </w:r>
            <w:r>
              <w:rPr>
                <w:rFonts w:hint="eastAsia" w:ascii="仿宋" w:hAnsi="仿宋" w:eastAsia="仿宋" w:cs="仿宋"/>
                <w:sz w:val="24"/>
                <w:szCs w:val="24"/>
                <w:lang w:eastAsia="zh-CN"/>
              </w:rPr>
              <w:t>—</w:t>
            </w:r>
            <w:r>
              <w:rPr>
                <w:rFonts w:hint="eastAsia" w:ascii="仿宋" w:hAnsi="仿宋" w:eastAsia="仿宋" w:cs="仿宋"/>
                <w:sz w:val="24"/>
                <w:szCs w:val="24"/>
              </w:rPr>
              <w:t>2016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sz w:val="24"/>
                <w:szCs w:val="24"/>
              </w:rPr>
            </w:pPr>
            <w:r>
              <w:rPr>
                <w:rFonts w:hint="eastAsia" w:ascii="仿宋" w:hAnsi="仿宋" w:eastAsia="仿宋" w:cs="仿宋"/>
                <w:kern w:val="0"/>
                <w:sz w:val="24"/>
                <w:szCs w:val="24"/>
              </w:rPr>
              <w:t>10</w:t>
            </w:r>
          </w:p>
        </w:tc>
        <w:tc>
          <w:tcPr>
            <w:tcW w:w="2365" w:type="pct"/>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阻隔性能（氧气）</w:t>
            </w:r>
          </w:p>
        </w:tc>
        <w:tc>
          <w:tcPr>
            <w:tcW w:w="2028"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1038</w:t>
            </w:r>
            <w:r>
              <w:rPr>
                <w:rFonts w:hint="eastAsia" w:ascii="仿宋" w:hAnsi="仿宋" w:eastAsia="仿宋" w:cs="仿宋"/>
                <w:sz w:val="24"/>
                <w:szCs w:val="24"/>
                <w:lang w:eastAsia="zh-CN"/>
              </w:rPr>
              <w:t>—</w:t>
            </w:r>
            <w:r>
              <w:rPr>
                <w:rFonts w:hint="eastAsia" w:ascii="仿宋" w:hAnsi="仿宋" w:eastAsia="仿宋" w:cs="仿宋"/>
                <w:sz w:val="24"/>
                <w:szCs w:val="24"/>
              </w:rPr>
              <w:t>2000</w:t>
            </w:r>
          </w:p>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GB/T 19789</w:t>
            </w:r>
            <w:r>
              <w:rPr>
                <w:rFonts w:hint="eastAsia" w:ascii="仿宋" w:hAnsi="仿宋" w:eastAsia="仿宋" w:cs="仿宋"/>
                <w:sz w:val="24"/>
                <w:szCs w:val="24"/>
                <w:lang w:eastAsia="zh-CN"/>
              </w:rPr>
              <w:t>—</w:t>
            </w:r>
            <w:r>
              <w:rPr>
                <w:rFonts w:hint="eastAsia" w:ascii="仿宋" w:hAnsi="仿宋" w:eastAsia="仿宋" w:cs="仿宋"/>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2365" w:type="pct"/>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阻隔性能（水蒸气）</w:t>
            </w:r>
          </w:p>
        </w:tc>
        <w:tc>
          <w:tcPr>
            <w:tcW w:w="2028"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1037</w:t>
            </w:r>
            <w:r>
              <w:rPr>
                <w:rFonts w:hint="eastAsia" w:ascii="仿宋" w:hAnsi="仿宋" w:eastAsia="仿宋" w:cs="仿宋"/>
                <w:sz w:val="24"/>
                <w:szCs w:val="24"/>
                <w:lang w:eastAsia="zh-CN"/>
              </w:rPr>
              <w:t>—</w:t>
            </w:r>
            <w:r>
              <w:rPr>
                <w:rFonts w:hint="eastAsia" w:ascii="仿宋" w:hAnsi="仿宋" w:eastAsia="仿宋" w:cs="仿宋"/>
                <w:sz w:val="24"/>
                <w:szCs w:val="24"/>
              </w:rPr>
              <w:t>1988</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1037</w:t>
            </w:r>
            <w:r>
              <w:rPr>
                <w:rFonts w:hint="eastAsia" w:ascii="仿宋" w:hAnsi="仿宋" w:eastAsia="仿宋" w:cs="仿宋"/>
                <w:sz w:val="24"/>
                <w:szCs w:val="24"/>
                <w:lang w:eastAsia="zh-CN"/>
              </w:rPr>
              <w:t>—</w:t>
            </w:r>
            <w:r>
              <w:rPr>
                <w:rFonts w:hint="eastAsia" w:ascii="仿宋" w:hAnsi="仿宋" w:eastAsia="仿宋" w:cs="仿宋"/>
                <w:sz w:val="24"/>
                <w:szCs w:val="24"/>
              </w:rPr>
              <w:t>2021</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21529</w:t>
            </w:r>
            <w:r>
              <w:rPr>
                <w:rFonts w:hint="eastAsia" w:ascii="仿宋" w:hAnsi="仿宋" w:eastAsia="仿宋" w:cs="仿宋"/>
                <w:sz w:val="24"/>
                <w:szCs w:val="24"/>
                <w:lang w:eastAsia="zh-CN"/>
              </w:rPr>
              <w:t>—</w:t>
            </w:r>
            <w:r>
              <w:rPr>
                <w:rFonts w:hint="eastAsia" w:ascii="仿宋" w:hAnsi="仿宋" w:eastAsia="仿宋" w:cs="仿宋"/>
                <w:sz w:val="24"/>
                <w:szCs w:val="24"/>
              </w:rPr>
              <w:t>2008</w:t>
            </w:r>
          </w:p>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GB/T 26253</w:t>
            </w:r>
            <w:r>
              <w:rPr>
                <w:rFonts w:hint="eastAsia" w:ascii="仿宋" w:hAnsi="仿宋" w:eastAsia="仿宋" w:cs="仿宋"/>
                <w:sz w:val="24"/>
                <w:szCs w:val="24"/>
                <w:lang w:eastAsia="zh-CN"/>
              </w:rPr>
              <w:t>—</w:t>
            </w:r>
            <w:r>
              <w:rPr>
                <w:rFonts w:hint="eastAsia" w:ascii="仿宋" w:hAnsi="仿宋" w:eastAsia="仿宋" w:cs="仿宋"/>
                <w:sz w:val="24"/>
                <w:szCs w:val="24"/>
              </w:rPr>
              <w:t>2010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1" w:type="pct"/>
          <w:jc w:val="center"/>
        </w:trPr>
        <w:tc>
          <w:tcPr>
            <w:tcW w:w="595" w:type="pct"/>
            <w:noWrap w:val="0"/>
            <w:vAlign w:val="center"/>
          </w:tcPr>
          <w:p>
            <w:pPr>
              <w:adjustRightInd w:val="0"/>
              <w:snapToGrid w:val="0"/>
              <w:jc w:val="center"/>
              <w:textAlignment w:val="center"/>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2365" w:type="pct"/>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热封强度（仅对袋类产品）</w:t>
            </w:r>
          </w:p>
        </w:tc>
        <w:tc>
          <w:tcPr>
            <w:tcW w:w="2028"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QB/T 2358</w:t>
            </w:r>
            <w:r>
              <w:rPr>
                <w:rFonts w:hint="eastAsia" w:ascii="仿宋" w:hAnsi="仿宋" w:eastAsia="仿宋" w:cs="仿宋"/>
                <w:sz w:val="24"/>
                <w:szCs w:val="24"/>
                <w:lang w:eastAsia="zh-CN"/>
              </w:rPr>
              <w:t>—</w:t>
            </w:r>
            <w:r>
              <w:rPr>
                <w:rFonts w:hint="eastAsia" w:ascii="仿宋" w:hAnsi="仿宋" w:eastAsia="仿宋" w:cs="仿宋"/>
                <w:sz w:val="24"/>
                <w:szCs w:val="24"/>
              </w:rPr>
              <w:t>1998</w:t>
            </w:r>
          </w:p>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GB/T 19741</w:t>
            </w:r>
            <w:r>
              <w:rPr>
                <w:rFonts w:hint="eastAsia" w:ascii="仿宋" w:hAnsi="仿宋" w:eastAsia="仿宋" w:cs="仿宋"/>
                <w:sz w:val="24"/>
                <w:szCs w:val="24"/>
                <w:lang w:eastAsia="zh-CN"/>
              </w:rPr>
              <w:t>—</w:t>
            </w:r>
            <w:r>
              <w:rPr>
                <w:rFonts w:hint="eastAsia" w:ascii="仿宋" w:hAnsi="仿宋" w:eastAsia="仿宋" w:cs="仿宋"/>
                <w:sz w:val="24"/>
                <w:szCs w:val="24"/>
              </w:rPr>
              <w:t>2005 附录A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4"/>
            <w:noWrap w:val="0"/>
            <w:vAlign w:val="top"/>
          </w:tcPr>
          <w:p>
            <w:pPr>
              <w:snapToGrid w:val="0"/>
              <w:jc w:val="left"/>
              <w:rPr>
                <w:rFonts w:hint="eastAsia" w:ascii="仿宋" w:hAnsi="仿宋" w:eastAsia="仿宋" w:cs="仿宋"/>
                <w:color w:val="000000"/>
                <w:sz w:val="24"/>
                <w:szCs w:val="24"/>
              </w:rPr>
            </w:pPr>
            <w:r>
              <w:rPr>
                <w:rFonts w:hint="eastAsia" w:ascii="仿宋" w:hAnsi="仿宋" w:eastAsia="仿宋" w:cs="仿宋"/>
                <w:color w:val="000000"/>
                <w:sz w:val="24"/>
                <w:szCs w:val="24"/>
              </w:rPr>
              <w:t>注：1.产品执行标准为GB/T 19741</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2005时，微生物检验项目选择本表的第9、10项。</w:t>
            </w:r>
          </w:p>
          <w:p>
            <w:pPr>
              <w:snapToGrid w:val="0"/>
              <w:ind w:firstLine="480" w:firstLineChars="200"/>
              <w:jc w:val="left"/>
              <w:rPr>
                <w:rFonts w:hint="eastAsia" w:ascii="仿宋" w:hAnsi="仿宋" w:eastAsia="仿宋" w:cs="仿宋"/>
                <w:sz w:val="24"/>
                <w:szCs w:val="24"/>
              </w:rPr>
            </w:pPr>
            <w:r>
              <w:rPr>
                <w:rFonts w:hint="eastAsia" w:ascii="仿宋" w:hAnsi="仿宋" w:eastAsia="仿宋" w:cs="仿宋"/>
                <w:color w:val="000000"/>
                <w:sz w:val="24"/>
                <w:szCs w:val="24"/>
              </w:rPr>
              <w:t>2.感官指标和“蒸发残渣”项目的说明：若产品卫生指标执行GB 9683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1988时，检验项目为感官指标和蒸发残渣，若不执行GB 9683</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1988时，检验项目为感官要求和总迁移量。</w:t>
            </w:r>
          </w:p>
        </w:tc>
      </w:tr>
    </w:tbl>
    <w:p>
      <w:pPr>
        <w:snapToGrid w:val="0"/>
        <w:spacing w:line="440" w:lineRule="exact"/>
        <w:jc w:val="center"/>
        <w:outlineLvl w:val="0"/>
        <w:rPr>
          <w:rFonts w:hint="eastAsia" w:ascii="仿宋" w:hAnsi="仿宋" w:eastAsia="仿宋" w:cs="仿宋"/>
          <w:color w:val="000000"/>
          <w:sz w:val="24"/>
          <w:szCs w:val="24"/>
          <w:lang w:eastAsia="zh-CN"/>
        </w:rPr>
      </w:pPr>
    </w:p>
    <w:p>
      <w:pPr>
        <w:snapToGrid w:val="0"/>
        <w:spacing w:line="440" w:lineRule="exact"/>
        <w:jc w:val="center"/>
        <w:outlineLvl w:val="0"/>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表</w:t>
      </w: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eastAsia="zh-CN"/>
        </w:rPr>
        <w:t>婴幼儿用塑料奶瓶</w:t>
      </w:r>
    </w:p>
    <w:tbl>
      <w:tblPr>
        <w:tblStyle w:val="9"/>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3925"/>
        <w:gridCol w:w="3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blHeader/>
          <w:jc w:val="center"/>
        </w:trPr>
        <w:tc>
          <w:tcPr>
            <w:tcW w:w="1160" w:type="dxa"/>
            <w:vMerge w:val="restart"/>
            <w:noWrap w:val="0"/>
            <w:vAlign w:val="center"/>
          </w:tcPr>
          <w:p>
            <w:pPr>
              <w:adjustRightInd w:val="0"/>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925" w:type="dxa"/>
            <w:vMerge w:val="restart"/>
            <w:noWrap w:val="0"/>
            <w:vAlign w:val="center"/>
          </w:tcPr>
          <w:p>
            <w:pPr>
              <w:adjustRightInd w:val="0"/>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检验项目</w:t>
            </w:r>
          </w:p>
        </w:tc>
        <w:tc>
          <w:tcPr>
            <w:tcW w:w="3473" w:type="dxa"/>
            <w:vMerge w:val="restart"/>
            <w:noWrap w:val="0"/>
            <w:vAlign w:val="center"/>
          </w:tcPr>
          <w:p>
            <w:pPr>
              <w:adjustRightInd w:val="0"/>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160" w:type="dxa"/>
            <w:vMerge w:val="continue"/>
            <w:noWrap w:val="0"/>
            <w:vAlign w:val="center"/>
          </w:tcPr>
          <w:p>
            <w:pPr>
              <w:adjustRightInd w:val="0"/>
              <w:snapToGrid w:val="0"/>
              <w:jc w:val="center"/>
              <w:rPr>
                <w:rFonts w:hint="eastAsia" w:ascii="仿宋" w:hAnsi="仿宋" w:eastAsia="仿宋" w:cs="仿宋"/>
                <w:sz w:val="24"/>
                <w:szCs w:val="24"/>
              </w:rPr>
            </w:pPr>
          </w:p>
        </w:tc>
        <w:tc>
          <w:tcPr>
            <w:tcW w:w="3925" w:type="dxa"/>
            <w:vMerge w:val="continue"/>
            <w:noWrap w:val="0"/>
            <w:vAlign w:val="center"/>
          </w:tcPr>
          <w:p>
            <w:pPr>
              <w:adjustRightInd w:val="0"/>
              <w:snapToGrid w:val="0"/>
              <w:jc w:val="center"/>
              <w:rPr>
                <w:rFonts w:hint="eastAsia" w:ascii="仿宋" w:hAnsi="仿宋" w:eastAsia="仿宋" w:cs="仿宋"/>
                <w:sz w:val="24"/>
                <w:szCs w:val="24"/>
              </w:rPr>
            </w:pPr>
          </w:p>
        </w:tc>
        <w:tc>
          <w:tcPr>
            <w:tcW w:w="3473" w:type="dxa"/>
            <w:vMerge w:val="continue"/>
            <w:noWrap w:val="0"/>
            <w:vAlign w:val="center"/>
          </w:tcPr>
          <w:p>
            <w:pPr>
              <w:adjustRightInd w:val="0"/>
              <w:snapToGrid w:val="0"/>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3925"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rPr>
              <w:t>感官要求</w:t>
            </w:r>
          </w:p>
        </w:tc>
        <w:tc>
          <w:tcPr>
            <w:tcW w:w="347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GB4806.7</w:t>
            </w:r>
            <w:r>
              <w:rPr>
                <w:rFonts w:hint="eastAsia" w:ascii="仿宋" w:hAnsi="仿宋" w:eastAsia="仿宋" w:cs="仿宋"/>
                <w:sz w:val="24"/>
                <w:szCs w:val="24"/>
                <w:lang w:eastAsia="zh-CN"/>
              </w:rPr>
              <w:t>—</w:t>
            </w:r>
            <w:r>
              <w:rPr>
                <w:rFonts w:hint="eastAsia" w:ascii="仿宋" w:hAnsi="仿宋" w:eastAsia="仿宋" w:cs="仿宋"/>
                <w:sz w:val="24"/>
                <w:szCs w:val="24"/>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392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总迁移量</w:t>
            </w:r>
          </w:p>
        </w:tc>
        <w:tc>
          <w:tcPr>
            <w:tcW w:w="347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31604.8</w:t>
            </w:r>
            <w:r>
              <w:rPr>
                <w:rFonts w:hint="eastAsia" w:ascii="仿宋" w:hAnsi="仿宋" w:eastAsia="仿宋" w:cs="仿宋"/>
                <w:sz w:val="24"/>
                <w:szCs w:val="24"/>
                <w:lang w:eastAsia="zh-CN"/>
              </w:rPr>
              <w:t>—</w:t>
            </w:r>
            <w:r>
              <w:rPr>
                <w:rFonts w:hint="eastAsia" w:ascii="仿宋" w:hAnsi="仿宋" w:eastAsia="仿宋" w:cs="仿宋"/>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3925"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val="pt-BR"/>
              </w:rPr>
              <w:t>高锰酸钾消耗量</w:t>
            </w:r>
          </w:p>
        </w:tc>
        <w:tc>
          <w:tcPr>
            <w:tcW w:w="347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31604.2</w:t>
            </w:r>
            <w:r>
              <w:rPr>
                <w:rFonts w:hint="eastAsia" w:ascii="仿宋" w:hAnsi="仿宋" w:eastAsia="仿宋" w:cs="仿宋"/>
                <w:sz w:val="24"/>
                <w:szCs w:val="24"/>
                <w:lang w:eastAsia="zh-CN"/>
              </w:rPr>
              <w:t>—</w:t>
            </w:r>
            <w:r>
              <w:rPr>
                <w:rFonts w:hint="eastAsia" w:ascii="仿宋" w:hAnsi="仿宋" w:eastAsia="仿宋" w:cs="仿宋"/>
                <w:sz w:val="24"/>
                <w:szCs w:val="24"/>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3925"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lang w:val="pt-BR"/>
              </w:rPr>
              <w:t>重金属（以Pb计）</w:t>
            </w:r>
          </w:p>
        </w:tc>
        <w:tc>
          <w:tcPr>
            <w:tcW w:w="347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31604.9</w:t>
            </w:r>
            <w:r>
              <w:rPr>
                <w:rFonts w:hint="eastAsia" w:ascii="仿宋" w:hAnsi="仿宋" w:eastAsia="仿宋" w:cs="仿宋"/>
                <w:sz w:val="24"/>
                <w:szCs w:val="24"/>
                <w:lang w:eastAsia="zh-CN"/>
              </w:rPr>
              <w:t>—</w:t>
            </w:r>
            <w:r>
              <w:rPr>
                <w:rFonts w:hint="eastAsia" w:ascii="仿宋" w:hAnsi="仿宋" w:eastAsia="仿宋" w:cs="仿宋"/>
                <w:sz w:val="24"/>
                <w:szCs w:val="24"/>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3925"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lang w:val="pt-BR"/>
              </w:rPr>
              <w:t>脱色试验（</w:t>
            </w:r>
            <w:r>
              <w:rPr>
                <w:rFonts w:hint="eastAsia" w:ascii="仿宋" w:hAnsi="仿宋" w:eastAsia="仿宋" w:cs="仿宋"/>
                <w:sz w:val="24"/>
                <w:szCs w:val="24"/>
              </w:rPr>
              <w:t>限添加了着色剂的产品</w:t>
            </w:r>
            <w:r>
              <w:rPr>
                <w:rFonts w:hint="eastAsia" w:ascii="仿宋" w:hAnsi="仿宋" w:eastAsia="仿宋" w:cs="仿宋"/>
                <w:sz w:val="24"/>
                <w:szCs w:val="24"/>
                <w:lang w:val="pt-BR"/>
              </w:rPr>
              <w:t xml:space="preserve">） </w:t>
            </w:r>
          </w:p>
        </w:tc>
        <w:tc>
          <w:tcPr>
            <w:tcW w:w="347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31604.7</w:t>
            </w:r>
            <w:r>
              <w:rPr>
                <w:rFonts w:hint="eastAsia" w:ascii="仿宋" w:hAnsi="仿宋" w:eastAsia="仿宋" w:cs="仿宋"/>
                <w:sz w:val="24"/>
                <w:szCs w:val="24"/>
                <w:lang w:eastAsia="zh-CN"/>
              </w:rPr>
              <w:t>—</w:t>
            </w:r>
            <w:r>
              <w:rPr>
                <w:rFonts w:hint="eastAsia" w:ascii="仿宋" w:hAnsi="仿宋" w:eastAsia="仿宋" w:cs="仿宋"/>
                <w:sz w:val="24"/>
                <w:szCs w:val="24"/>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3925" w:type="dxa"/>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容量偏差</w:t>
            </w:r>
          </w:p>
        </w:tc>
        <w:tc>
          <w:tcPr>
            <w:tcW w:w="3473" w:type="dxa"/>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 38995</w:t>
            </w:r>
            <w:r>
              <w:rPr>
                <w:rFonts w:hint="eastAsia" w:ascii="仿宋" w:hAnsi="仿宋" w:eastAsia="仿宋" w:cs="仿宋"/>
                <w:sz w:val="24"/>
                <w:szCs w:val="24"/>
                <w:lang w:eastAsia="zh-CN"/>
              </w:rPr>
              <w:t>—</w:t>
            </w:r>
            <w:r>
              <w:rPr>
                <w:rFonts w:hint="eastAsia" w:ascii="仿宋" w:hAnsi="仿宋" w:eastAsia="仿宋" w:cs="仿宋"/>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7</w:t>
            </w:r>
          </w:p>
        </w:tc>
        <w:tc>
          <w:tcPr>
            <w:tcW w:w="3925" w:type="dxa"/>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抗压变形性能</w:t>
            </w:r>
          </w:p>
        </w:tc>
        <w:tc>
          <w:tcPr>
            <w:tcW w:w="3473" w:type="dxa"/>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 38995</w:t>
            </w:r>
            <w:r>
              <w:rPr>
                <w:rFonts w:hint="eastAsia" w:ascii="仿宋" w:hAnsi="仿宋" w:eastAsia="仿宋" w:cs="仿宋"/>
                <w:sz w:val="24"/>
                <w:szCs w:val="24"/>
                <w:lang w:eastAsia="zh-CN"/>
              </w:rPr>
              <w:t>—</w:t>
            </w:r>
            <w:r>
              <w:rPr>
                <w:rFonts w:hint="eastAsia" w:ascii="仿宋" w:hAnsi="仿宋" w:eastAsia="仿宋" w:cs="仿宋"/>
                <w:sz w:val="24"/>
                <w:szCs w:val="24"/>
              </w:rPr>
              <w:t xml:space="preserve">2020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8</w:t>
            </w:r>
          </w:p>
        </w:tc>
        <w:tc>
          <w:tcPr>
            <w:tcW w:w="3925" w:type="dxa"/>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耐沸水性能</w:t>
            </w:r>
          </w:p>
        </w:tc>
        <w:tc>
          <w:tcPr>
            <w:tcW w:w="3473" w:type="dxa"/>
            <w:noWrap w:val="0"/>
            <w:vAlign w:val="top"/>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 38995</w:t>
            </w:r>
            <w:r>
              <w:rPr>
                <w:rFonts w:hint="eastAsia" w:ascii="仿宋" w:hAnsi="仿宋" w:eastAsia="仿宋" w:cs="仿宋"/>
                <w:sz w:val="24"/>
                <w:szCs w:val="24"/>
                <w:lang w:eastAsia="zh-CN"/>
              </w:rPr>
              <w:t>—</w:t>
            </w:r>
            <w:r>
              <w:rPr>
                <w:rFonts w:hint="eastAsia" w:ascii="仿宋" w:hAnsi="仿宋" w:eastAsia="仿宋" w:cs="仿宋"/>
                <w:sz w:val="24"/>
                <w:szCs w:val="24"/>
              </w:rPr>
              <w:t>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6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9</w:t>
            </w:r>
          </w:p>
        </w:tc>
        <w:tc>
          <w:tcPr>
            <w:tcW w:w="3925" w:type="dxa"/>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耐热冲击性能</w:t>
            </w:r>
          </w:p>
        </w:tc>
        <w:tc>
          <w:tcPr>
            <w:tcW w:w="3473" w:type="dxa"/>
            <w:noWrap w:val="0"/>
            <w:vAlign w:val="top"/>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GB 38995</w:t>
            </w:r>
            <w:r>
              <w:rPr>
                <w:rFonts w:hint="eastAsia" w:ascii="仿宋" w:hAnsi="仿宋" w:eastAsia="仿宋" w:cs="仿宋"/>
                <w:sz w:val="24"/>
                <w:szCs w:val="24"/>
                <w:lang w:eastAsia="zh-CN"/>
              </w:rPr>
              <w:t>—</w:t>
            </w:r>
            <w:r>
              <w:rPr>
                <w:rFonts w:hint="eastAsia" w:ascii="仿宋" w:hAnsi="仿宋" w:eastAsia="仿宋" w:cs="仿宋"/>
                <w:sz w:val="24"/>
                <w:szCs w:val="24"/>
              </w:rPr>
              <w:t>2020</w:t>
            </w:r>
          </w:p>
        </w:tc>
      </w:tr>
    </w:tbl>
    <w:p>
      <w:pPr>
        <w:snapToGrid w:val="0"/>
        <w:spacing w:line="440" w:lineRule="exact"/>
        <w:ind w:firstLine="480" w:firstLineChars="200"/>
        <w:rPr>
          <w:rFonts w:hint="eastAsia" w:ascii="仿宋" w:hAnsi="仿宋" w:eastAsia="仿宋" w:cs="仿宋"/>
          <w:color w:val="000000"/>
          <w:sz w:val="24"/>
          <w:szCs w:val="24"/>
          <w:lang w:eastAsia="zh-CN"/>
        </w:rPr>
      </w:pPr>
    </w:p>
    <w:p>
      <w:pPr>
        <w:snapToGrid w:val="0"/>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表</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密胺塑料餐具</w:t>
      </w:r>
    </w:p>
    <w:tbl>
      <w:tblPr>
        <w:tblStyle w:val="9"/>
        <w:tblW w:w="8610" w:type="dxa"/>
        <w:tblInd w:w="2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942"/>
        <w:gridCol w:w="3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序号</w:t>
            </w:r>
          </w:p>
        </w:tc>
        <w:tc>
          <w:tcPr>
            <w:tcW w:w="3942" w:type="dxa"/>
            <w:noWrap w:val="0"/>
            <w:vAlign w:val="center"/>
          </w:tcPr>
          <w:p>
            <w:pPr>
              <w:adjustRightInd w:val="0"/>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检验项目</w:t>
            </w:r>
          </w:p>
        </w:tc>
        <w:tc>
          <w:tcPr>
            <w:tcW w:w="3720" w:type="dxa"/>
            <w:noWrap w:val="0"/>
            <w:vAlign w:val="center"/>
          </w:tcPr>
          <w:p>
            <w:pPr>
              <w:adjustRightInd w:val="0"/>
              <w:snapToGrid w:val="0"/>
              <w:spacing w:line="440" w:lineRule="exact"/>
              <w:jc w:val="center"/>
              <w:rPr>
                <w:rFonts w:hint="eastAsia" w:ascii="仿宋" w:hAnsi="仿宋" w:eastAsia="仿宋" w:cs="仿宋"/>
                <w:sz w:val="24"/>
                <w:szCs w:val="24"/>
              </w:rPr>
            </w:pPr>
            <w:r>
              <w:rPr>
                <w:rFonts w:hint="eastAsia" w:ascii="仿宋" w:hAnsi="仿宋" w:eastAsia="仿宋" w:cs="仿宋"/>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3942"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rPr>
              <w:t>感官要求</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4806.7</w:t>
            </w:r>
            <w:r>
              <w:rPr>
                <w:rFonts w:hint="eastAsia" w:ascii="仿宋" w:hAnsi="仿宋" w:eastAsia="仿宋" w:cs="仿宋"/>
                <w:sz w:val="24"/>
                <w:szCs w:val="24"/>
                <w:lang w:eastAsia="zh-CN"/>
              </w:rPr>
              <w:t>—</w:t>
            </w:r>
            <w:r>
              <w:rPr>
                <w:rFonts w:hint="eastAsia" w:ascii="仿宋" w:hAnsi="仿宋" w:eastAsia="仿宋" w:cs="仿宋"/>
                <w:sz w:val="24"/>
                <w:szCs w:val="24"/>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394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总迁移量</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31604.8</w:t>
            </w:r>
            <w:r>
              <w:rPr>
                <w:rFonts w:hint="eastAsia" w:ascii="仿宋" w:hAnsi="仿宋" w:eastAsia="仿宋" w:cs="仿宋"/>
                <w:sz w:val="24"/>
                <w:szCs w:val="24"/>
                <w:lang w:eastAsia="zh-CN"/>
              </w:rPr>
              <w:t>—</w:t>
            </w:r>
            <w:r>
              <w:rPr>
                <w:rFonts w:hint="eastAsia" w:ascii="仿宋" w:hAnsi="仿宋" w:eastAsia="仿宋" w:cs="仿宋"/>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394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val="pt-BR"/>
              </w:rPr>
              <w:t>高锰酸钾消耗量</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31604.2</w:t>
            </w:r>
            <w:r>
              <w:rPr>
                <w:rFonts w:hint="eastAsia" w:ascii="仿宋" w:hAnsi="仿宋" w:eastAsia="仿宋" w:cs="仿宋"/>
                <w:sz w:val="24"/>
                <w:szCs w:val="24"/>
                <w:lang w:eastAsia="zh-CN"/>
              </w:rPr>
              <w:t>—</w:t>
            </w:r>
            <w:r>
              <w:rPr>
                <w:rFonts w:hint="eastAsia" w:ascii="仿宋" w:hAnsi="仿宋" w:eastAsia="仿宋" w:cs="仿宋"/>
                <w:sz w:val="24"/>
                <w:szCs w:val="24"/>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3942"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lang w:val="pt-BR"/>
              </w:rPr>
              <w:t>重金属（以Pb计）</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31604.9</w:t>
            </w:r>
            <w:r>
              <w:rPr>
                <w:rFonts w:hint="eastAsia" w:ascii="仿宋" w:hAnsi="仿宋" w:eastAsia="仿宋" w:cs="仿宋"/>
                <w:sz w:val="24"/>
                <w:szCs w:val="24"/>
                <w:lang w:eastAsia="zh-CN"/>
              </w:rPr>
              <w:t>—</w:t>
            </w:r>
            <w:r>
              <w:rPr>
                <w:rFonts w:hint="eastAsia" w:ascii="仿宋" w:hAnsi="仿宋" w:eastAsia="仿宋" w:cs="仿宋"/>
                <w:sz w:val="24"/>
                <w:szCs w:val="24"/>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3942"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lang w:val="pt-BR"/>
              </w:rPr>
              <w:t>脱色试验（</w:t>
            </w:r>
            <w:r>
              <w:rPr>
                <w:rFonts w:hint="eastAsia" w:ascii="仿宋" w:hAnsi="仿宋" w:eastAsia="仿宋" w:cs="仿宋"/>
                <w:sz w:val="24"/>
                <w:szCs w:val="24"/>
              </w:rPr>
              <w:t>限添加了着色剂的产品</w:t>
            </w:r>
            <w:r>
              <w:rPr>
                <w:rFonts w:hint="eastAsia" w:ascii="仿宋" w:hAnsi="仿宋" w:eastAsia="仿宋" w:cs="仿宋"/>
                <w:sz w:val="24"/>
                <w:szCs w:val="24"/>
                <w:lang w:val="pt-BR"/>
              </w:rPr>
              <w:t>）</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31604.7</w:t>
            </w:r>
            <w:r>
              <w:rPr>
                <w:rFonts w:hint="eastAsia" w:ascii="仿宋" w:hAnsi="仿宋" w:eastAsia="仿宋" w:cs="仿宋"/>
                <w:sz w:val="24"/>
                <w:szCs w:val="24"/>
                <w:lang w:eastAsia="zh-CN"/>
              </w:rPr>
              <w:t>—</w:t>
            </w:r>
            <w:r>
              <w:rPr>
                <w:rFonts w:hint="eastAsia" w:ascii="仿宋" w:hAnsi="仿宋" w:eastAsia="仿宋" w:cs="仿宋"/>
                <w:sz w:val="24"/>
                <w:szCs w:val="24"/>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3942" w:type="dxa"/>
            <w:noWrap w:val="0"/>
            <w:vAlign w:val="center"/>
          </w:tcPr>
          <w:p>
            <w:pPr>
              <w:adjustRightInd w:val="0"/>
              <w:snapToGrid w:val="0"/>
              <w:jc w:val="center"/>
              <w:rPr>
                <w:rFonts w:hint="eastAsia" w:ascii="仿宋" w:hAnsi="仿宋" w:eastAsia="仿宋" w:cs="仿宋"/>
                <w:strike/>
                <w:sz w:val="24"/>
                <w:szCs w:val="24"/>
                <w:lang w:val="pt-BR"/>
              </w:rPr>
            </w:pPr>
            <w:r>
              <w:rPr>
                <w:rFonts w:hint="eastAsia" w:ascii="仿宋" w:hAnsi="仿宋" w:eastAsia="仿宋" w:cs="仿宋"/>
                <w:sz w:val="24"/>
                <w:szCs w:val="24"/>
                <w:lang w:val="pt-BR"/>
              </w:rPr>
              <w:t>三聚氰胺迁移量</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31604.15</w:t>
            </w:r>
            <w:r>
              <w:rPr>
                <w:rFonts w:hint="eastAsia" w:ascii="仿宋" w:hAnsi="仿宋" w:eastAsia="仿宋" w:cs="仿宋"/>
                <w:sz w:val="24"/>
                <w:szCs w:val="24"/>
                <w:lang w:eastAsia="zh-CN"/>
              </w:rPr>
              <w:t>—</w:t>
            </w:r>
            <w:r>
              <w:rPr>
                <w:rFonts w:hint="eastAsia" w:ascii="仿宋" w:hAnsi="仿宋" w:eastAsia="仿宋" w:cs="仿宋"/>
                <w:sz w:val="24"/>
                <w:szCs w:val="24"/>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7</w:t>
            </w:r>
          </w:p>
        </w:tc>
        <w:tc>
          <w:tcPr>
            <w:tcW w:w="3942"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特定迁移总量（以甲醛计）</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31604.48</w:t>
            </w:r>
            <w:r>
              <w:rPr>
                <w:rFonts w:hint="eastAsia" w:ascii="仿宋" w:hAnsi="仿宋" w:eastAsia="仿宋" w:cs="仿宋"/>
                <w:sz w:val="24"/>
                <w:szCs w:val="24"/>
                <w:lang w:eastAsia="zh-CN"/>
              </w:rPr>
              <w:t>—</w:t>
            </w:r>
            <w:r>
              <w:rPr>
                <w:rFonts w:hint="eastAsia" w:ascii="仿宋" w:hAnsi="仿宋" w:eastAsia="仿宋" w:cs="仿宋"/>
                <w:sz w:val="24"/>
                <w:szCs w:val="24"/>
              </w:rPr>
              <w:t xml:space="preserve">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8</w:t>
            </w:r>
          </w:p>
        </w:tc>
        <w:tc>
          <w:tcPr>
            <w:tcW w:w="3942"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rPr>
              <w:t>耐干热性</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QB/T 1999</w:t>
            </w:r>
            <w:r>
              <w:rPr>
                <w:rFonts w:hint="eastAsia" w:ascii="仿宋" w:hAnsi="仿宋" w:eastAsia="仿宋" w:cs="仿宋"/>
                <w:sz w:val="24"/>
                <w:szCs w:val="24"/>
                <w:lang w:eastAsia="zh-CN"/>
              </w:rPr>
              <w:t>—</w:t>
            </w:r>
            <w:r>
              <w:rPr>
                <w:rFonts w:hint="eastAsia" w:ascii="仿宋" w:hAnsi="仿宋" w:eastAsia="仿宋" w:cs="仿宋"/>
                <w:sz w:val="24"/>
                <w:szCs w:val="24"/>
              </w:rPr>
              <w:t xml:space="preserve">1994 </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41001</w:t>
            </w:r>
            <w:r>
              <w:rPr>
                <w:rFonts w:hint="eastAsia" w:ascii="仿宋" w:hAnsi="仿宋" w:eastAsia="仿宋" w:cs="仿宋"/>
                <w:sz w:val="24"/>
                <w:szCs w:val="24"/>
                <w:lang w:eastAsia="zh-CN"/>
              </w:rPr>
              <w:t>—</w:t>
            </w:r>
            <w:r>
              <w:rPr>
                <w:rFonts w:hint="eastAsia" w:ascii="仿宋" w:hAnsi="仿宋" w:eastAsia="仿宋" w:cs="仿宋"/>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9</w:t>
            </w:r>
          </w:p>
        </w:tc>
        <w:tc>
          <w:tcPr>
            <w:tcW w:w="3942"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rPr>
              <w:t>耐低温性</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QB/T 1999</w:t>
            </w:r>
            <w:r>
              <w:rPr>
                <w:rFonts w:hint="eastAsia" w:ascii="仿宋" w:hAnsi="仿宋" w:eastAsia="仿宋" w:cs="仿宋"/>
                <w:sz w:val="24"/>
                <w:szCs w:val="24"/>
                <w:lang w:eastAsia="zh-CN"/>
              </w:rPr>
              <w:t>—</w:t>
            </w:r>
            <w:r>
              <w:rPr>
                <w:rFonts w:hint="eastAsia" w:ascii="仿宋" w:hAnsi="仿宋" w:eastAsia="仿宋" w:cs="仿宋"/>
                <w:sz w:val="24"/>
                <w:szCs w:val="24"/>
              </w:rPr>
              <w:t xml:space="preserve">1994 </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41001</w:t>
            </w:r>
            <w:r>
              <w:rPr>
                <w:rFonts w:hint="eastAsia" w:ascii="仿宋" w:hAnsi="仿宋" w:eastAsia="仿宋" w:cs="仿宋"/>
                <w:sz w:val="24"/>
                <w:szCs w:val="24"/>
                <w:lang w:eastAsia="zh-CN"/>
              </w:rPr>
              <w:t>—</w:t>
            </w:r>
            <w:r>
              <w:rPr>
                <w:rFonts w:hint="eastAsia" w:ascii="仿宋" w:hAnsi="仿宋" w:eastAsia="仿宋" w:cs="仿宋"/>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10</w:t>
            </w:r>
          </w:p>
        </w:tc>
        <w:tc>
          <w:tcPr>
            <w:tcW w:w="3942"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rPr>
              <w:t>耐湿热性</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QB/T 1999</w:t>
            </w:r>
            <w:r>
              <w:rPr>
                <w:rFonts w:hint="eastAsia" w:ascii="仿宋" w:hAnsi="仿宋" w:eastAsia="仿宋" w:cs="仿宋"/>
                <w:sz w:val="24"/>
                <w:szCs w:val="24"/>
                <w:lang w:eastAsia="zh-CN"/>
              </w:rPr>
              <w:t>—</w:t>
            </w:r>
            <w:r>
              <w:rPr>
                <w:rFonts w:hint="eastAsia" w:ascii="仿宋" w:hAnsi="仿宋" w:eastAsia="仿宋" w:cs="仿宋"/>
                <w:sz w:val="24"/>
                <w:szCs w:val="24"/>
              </w:rPr>
              <w:t>1994</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41001</w:t>
            </w:r>
            <w:r>
              <w:rPr>
                <w:rFonts w:hint="eastAsia" w:ascii="仿宋" w:hAnsi="仿宋" w:eastAsia="仿宋" w:cs="仿宋"/>
                <w:sz w:val="24"/>
                <w:szCs w:val="24"/>
                <w:lang w:eastAsia="zh-CN"/>
              </w:rPr>
              <w:t>—</w:t>
            </w:r>
            <w:r>
              <w:rPr>
                <w:rFonts w:hint="eastAsia" w:ascii="仿宋" w:hAnsi="仿宋" w:eastAsia="仿宋" w:cs="仿宋"/>
                <w:sz w:val="24"/>
                <w:szCs w:val="24"/>
              </w:rPr>
              <w:t xml:space="preserve">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11</w:t>
            </w:r>
          </w:p>
        </w:tc>
        <w:tc>
          <w:tcPr>
            <w:tcW w:w="3942"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rPr>
              <w:t>耐污染性</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QB/T 1999</w:t>
            </w:r>
            <w:r>
              <w:rPr>
                <w:rFonts w:hint="eastAsia" w:ascii="仿宋" w:hAnsi="仿宋" w:eastAsia="仿宋" w:cs="仿宋"/>
                <w:sz w:val="24"/>
                <w:szCs w:val="24"/>
                <w:lang w:eastAsia="zh-CN"/>
              </w:rPr>
              <w:t>—</w:t>
            </w:r>
            <w:r>
              <w:rPr>
                <w:rFonts w:hint="eastAsia" w:ascii="仿宋" w:hAnsi="仿宋" w:eastAsia="仿宋" w:cs="仿宋"/>
                <w:sz w:val="24"/>
                <w:szCs w:val="24"/>
              </w:rPr>
              <w:t>1994</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41001</w:t>
            </w:r>
            <w:r>
              <w:rPr>
                <w:rFonts w:hint="eastAsia" w:ascii="仿宋" w:hAnsi="仿宋" w:eastAsia="仿宋" w:cs="仿宋"/>
                <w:sz w:val="24"/>
                <w:szCs w:val="24"/>
                <w:lang w:eastAsia="zh-CN"/>
              </w:rPr>
              <w:t>—</w:t>
            </w:r>
            <w:r>
              <w:rPr>
                <w:rFonts w:hint="eastAsia" w:ascii="仿宋" w:hAnsi="仿宋" w:eastAsia="仿宋" w:cs="仿宋"/>
                <w:sz w:val="24"/>
                <w:szCs w:val="24"/>
              </w:rPr>
              <w:t xml:space="preserve">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12</w:t>
            </w:r>
          </w:p>
        </w:tc>
        <w:tc>
          <w:tcPr>
            <w:tcW w:w="3942"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rPr>
              <w:t>翘曲（底部）</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QB/T 1999</w:t>
            </w:r>
            <w:r>
              <w:rPr>
                <w:rFonts w:hint="eastAsia" w:ascii="仿宋" w:hAnsi="仿宋" w:eastAsia="仿宋" w:cs="仿宋"/>
                <w:sz w:val="24"/>
                <w:szCs w:val="24"/>
                <w:lang w:eastAsia="zh-CN"/>
              </w:rPr>
              <w:t>—</w:t>
            </w:r>
            <w:r>
              <w:rPr>
                <w:rFonts w:hint="eastAsia" w:ascii="仿宋" w:hAnsi="仿宋" w:eastAsia="仿宋" w:cs="仿宋"/>
                <w:sz w:val="24"/>
                <w:szCs w:val="24"/>
              </w:rPr>
              <w:t xml:space="preserve">1994 </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41001</w:t>
            </w:r>
            <w:r>
              <w:rPr>
                <w:rFonts w:hint="eastAsia" w:ascii="仿宋" w:hAnsi="仿宋" w:eastAsia="仿宋" w:cs="仿宋"/>
                <w:sz w:val="24"/>
                <w:szCs w:val="24"/>
                <w:lang w:eastAsia="zh-CN"/>
              </w:rPr>
              <w:t>—</w:t>
            </w:r>
            <w:r>
              <w:rPr>
                <w:rFonts w:hint="eastAsia" w:ascii="仿宋" w:hAnsi="仿宋" w:eastAsia="仿宋" w:cs="仿宋"/>
                <w:sz w:val="24"/>
                <w:szCs w:val="24"/>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94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13</w:t>
            </w:r>
          </w:p>
        </w:tc>
        <w:tc>
          <w:tcPr>
            <w:tcW w:w="3942" w:type="dxa"/>
            <w:noWrap w:val="0"/>
            <w:vAlign w:val="center"/>
          </w:tcPr>
          <w:p>
            <w:pPr>
              <w:adjustRightInd w:val="0"/>
              <w:snapToGrid w:val="0"/>
              <w:jc w:val="center"/>
              <w:rPr>
                <w:rFonts w:hint="eastAsia" w:ascii="仿宋" w:hAnsi="仿宋" w:eastAsia="仿宋" w:cs="仿宋"/>
                <w:sz w:val="24"/>
                <w:szCs w:val="24"/>
                <w:lang w:val="pt-BR"/>
              </w:rPr>
            </w:pPr>
            <w:r>
              <w:rPr>
                <w:rFonts w:hint="eastAsia" w:ascii="仿宋" w:hAnsi="仿宋" w:eastAsia="仿宋" w:cs="仿宋"/>
                <w:sz w:val="24"/>
                <w:szCs w:val="24"/>
              </w:rPr>
              <w:t>跌落</w:t>
            </w:r>
          </w:p>
        </w:tc>
        <w:tc>
          <w:tcPr>
            <w:tcW w:w="3720"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QB/T 1999</w:t>
            </w:r>
            <w:r>
              <w:rPr>
                <w:rFonts w:hint="eastAsia" w:ascii="仿宋" w:hAnsi="仿宋" w:eastAsia="仿宋" w:cs="仿宋"/>
                <w:sz w:val="24"/>
                <w:szCs w:val="24"/>
                <w:lang w:eastAsia="zh-CN"/>
              </w:rPr>
              <w:t>—</w:t>
            </w:r>
            <w:r>
              <w:rPr>
                <w:rFonts w:hint="eastAsia" w:ascii="仿宋" w:hAnsi="仿宋" w:eastAsia="仿宋" w:cs="仿宋"/>
                <w:sz w:val="24"/>
                <w:szCs w:val="24"/>
              </w:rPr>
              <w:t xml:space="preserve">1994 </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GB/T 41001</w:t>
            </w:r>
            <w:r>
              <w:rPr>
                <w:rFonts w:hint="eastAsia" w:ascii="仿宋" w:hAnsi="仿宋" w:eastAsia="仿宋" w:cs="仿宋"/>
                <w:sz w:val="24"/>
                <w:szCs w:val="24"/>
                <w:lang w:eastAsia="zh-CN"/>
              </w:rPr>
              <w:t>—</w:t>
            </w:r>
            <w:r>
              <w:rPr>
                <w:rFonts w:hint="eastAsia" w:ascii="仿宋" w:hAnsi="仿宋" w:eastAsia="仿宋" w:cs="仿宋"/>
                <w:sz w:val="24"/>
                <w:szCs w:val="24"/>
              </w:rPr>
              <w:t>2021</w:t>
            </w:r>
          </w:p>
        </w:tc>
      </w:tr>
    </w:tbl>
    <w:p>
      <w:pPr>
        <w:snapToGrid w:val="0"/>
        <w:spacing w:line="440" w:lineRule="exact"/>
        <w:ind w:firstLine="480" w:firstLineChars="200"/>
        <w:rPr>
          <w:rFonts w:hint="eastAsia" w:ascii="仿宋" w:hAnsi="仿宋" w:eastAsia="仿宋" w:cs="仿宋"/>
          <w:color w:val="000000"/>
          <w:sz w:val="24"/>
          <w:szCs w:val="24"/>
        </w:rPr>
      </w:pPr>
    </w:p>
    <w:p>
      <w:pPr>
        <w:snapToGrid w:val="0"/>
        <w:spacing w:line="440" w:lineRule="exact"/>
        <w:ind w:firstLine="480" w:firstLineChars="200"/>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CN"/>
        </w:rPr>
        <w:t>表</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lang w:eastAsia="zh-CN"/>
        </w:rPr>
        <w:t>塑料瓶盖</w:t>
      </w:r>
    </w:p>
    <w:tbl>
      <w:tblPr>
        <w:tblStyle w:val="9"/>
        <w:tblW w:w="4790" w:type="pct"/>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0"/>
        <w:gridCol w:w="4186"/>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序号</w:t>
            </w:r>
          </w:p>
        </w:tc>
        <w:tc>
          <w:tcPr>
            <w:tcW w:w="2426" w:type="pct"/>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检验项目</w:t>
            </w:r>
          </w:p>
        </w:tc>
        <w:tc>
          <w:tcPr>
            <w:tcW w:w="2010" w:type="pct"/>
            <w:noWrap w:val="0"/>
            <w:vAlign w:val="top"/>
          </w:tcPr>
          <w:p>
            <w:pPr>
              <w:snapToGrid w:val="0"/>
              <w:spacing w:line="440" w:lineRule="exact"/>
              <w:jc w:val="center"/>
              <w:rPr>
                <w:rFonts w:hint="eastAsia" w:ascii="仿宋" w:hAnsi="仿宋" w:eastAsia="仿宋" w:cs="仿宋"/>
                <w:color w:val="000000"/>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2426"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感官要求</w:t>
            </w:r>
          </w:p>
        </w:tc>
        <w:tc>
          <w:tcPr>
            <w:tcW w:w="2010"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4806.7—2016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2426"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总迁移量</w:t>
            </w:r>
          </w:p>
        </w:tc>
        <w:tc>
          <w:tcPr>
            <w:tcW w:w="2010"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2426"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高锰酸钾消耗量</w:t>
            </w:r>
          </w:p>
        </w:tc>
        <w:tc>
          <w:tcPr>
            <w:tcW w:w="2010"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31604.2—2016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2426"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重金属（以Pb计）</w:t>
            </w:r>
          </w:p>
        </w:tc>
        <w:tc>
          <w:tcPr>
            <w:tcW w:w="2010"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31604.9—2016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2426"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脱色试验</w:t>
            </w:r>
            <w:r>
              <w:rPr>
                <w:rFonts w:hint="eastAsia" w:ascii="仿宋" w:hAnsi="仿宋" w:eastAsia="仿宋" w:cs="仿宋"/>
                <w:sz w:val="24"/>
                <w:szCs w:val="24"/>
                <w:lang w:val="pt-BR"/>
              </w:rPr>
              <w:t>（</w:t>
            </w:r>
            <w:r>
              <w:rPr>
                <w:rFonts w:hint="eastAsia" w:ascii="仿宋" w:hAnsi="仿宋" w:eastAsia="仿宋" w:cs="仿宋"/>
                <w:sz w:val="24"/>
                <w:szCs w:val="24"/>
              </w:rPr>
              <w:t>限添加了着色剂的产品</w:t>
            </w:r>
            <w:r>
              <w:rPr>
                <w:rFonts w:hint="eastAsia" w:ascii="仿宋" w:hAnsi="仿宋" w:eastAsia="仿宋" w:cs="仿宋"/>
                <w:sz w:val="24"/>
                <w:szCs w:val="24"/>
                <w:lang w:val="pt-BR"/>
              </w:rPr>
              <w:t>）</w:t>
            </w:r>
          </w:p>
        </w:tc>
        <w:tc>
          <w:tcPr>
            <w:tcW w:w="2010"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31604.7—2016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2426"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特定迁移量（以锑计）（限PET材质）</w:t>
            </w:r>
          </w:p>
        </w:tc>
        <w:tc>
          <w:tcPr>
            <w:tcW w:w="2010" w:type="pc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31604.41—2016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w:t>
            </w:r>
          </w:p>
        </w:tc>
        <w:tc>
          <w:tcPr>
            <w:tcW w:w="2426" w:type="pct"/>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热稳度性能</w:t>
            </w:r>
          </w:p>
        </w:tc>
        <w:tc>
          <w:tcPr>
            <w:tcW w:w="2010" w:type="pct"/>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BB/T 0025-2004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w:t>
            </w:r>
          </w:p>
        </w:tc>
        <w:tc>
          <w:tcPr>
            <w:tcW w:w="2426" w:type="pct"/>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跌落性能</w:t>
            </w:r>
          </w:p>
        </w:tc>
        <w:tc>
          <w:tcPr>
            <w:tcW w:w="2010" w:type="pct"/>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BB/T 0025-2004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w:t>
            </w:r>
          </w:p>
        </w:tc>
        <w:tc>
          <w:tcPr>
            <w:tcW w:w="2426" w:type="pct"/>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封盖性能</w:t>
            </w:r>
          </w:p>
        </w:tc>
        <w:tc>
          <w:tcPr>
            <w:tcW w:w="2010" w:type="pct"/>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BB/T 0025-2004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2" w:type="pct"/>
            <w:noWrap w:val="0"/>
            <w:vAlign w:val="center"/>
          </w:tcPr>
          <w:p>
            <w:pPr>
              <w:adjustRightInd w:val="0"/>
              <w:snapToGrid w:val="0"/>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10</w:t>
            </w:r>
          </w:p>
        </w:tc>
        <w:tc>
          <w:tcPr>
            <w:tcW w:w="2426" w:type="pct"/>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防盗性能</w:t>
            </w:r>
          </w:p>
        </w:tc>
        <w:tc>
          <w:tcPr>
            <w:tcW w:w="2010" w:type="pct"/>
            <w:noWrap w:val="0"/>
            <w:vAlign w:val="center"/>
          </w:tcPr>
          <w:p>
            <w:pPr>
              <w:keepNext w:val="0"/>
              <w:keepLines w:val="0"/>
              <w:widowControl/>
              <w:suppressLineNumbers w:val="0"/>
              <w:jc w:val="center"/>
              <w:textAlignment w:val="center"/>
              <w:rPr>
                <w:rFonts w:hint="eastAsia" w:ascii="仿宋" w:hAnsi="仿宋" w:eastAsia="仿宋" w:cs="仿宋"/>
                <w:sz w:val="24"/>
                <w:szCs w:val="24"/>
              </w:rPr>
            </w:pPr>
            <w:r>
              <w:rPr>
                <w:rFonts w:hint="eastAsia" w:ascii="仿宋" w:hAnsi="仿宋" w:eastAsia="仿宋" w:cs="仿宋"/>
                <w:i w:val="0"/>
                <w:iCs w:val="0"/>
                <w:color w:val="000000"/>
                <w:kern w:val="0"/>
                <w:sz w:val="24"/>
                <w:szCs w:val="24"/>
                <w:u w:val="none"/>
                <w:lang w:val="en-US" w:eastAsia="zh-CN" w:bidi="ar"/>
              </w:rPr>
              <w:t>BB/T 0025-2004</w:t>
            </w:r>
          </w:p>
        </w:tc>
      </w:tr>
    </w:tbl>
    <w:p>
      <w:pPr>
        <w:snapToGrid w:val="0"/>
        <w:spacing w:line="440" w:lineRule="exact"/>
        <w:ind w:firstLine="480" w:firstLineChars="200"/>
        <w:rPr>
          <w:rFonts w:hint="eastAsia" w:ascii="仿宋" w:hAnsi="仿宋" w:eastAsia="仿宋" w:cs="仿宋"/>
          <w:color w:val="000000"/>
          <w:sz w:val="24"/>
          <w:szCs w:val="24"/>
        </w:rPr>
      </w:pPr>
    </w:p>
    <w:p>
      <w:pPr>
        <w:snapToGrid w:val="0"/>
        <w:spacing w:line="440" w:lineRule="exact"/>
        <w:ind w:firstLine="480" w:firstLineChars="200"/>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eastAsia="zh-CN"/>
        </w:rPr>
        <w:t>表</w:t>
      </w:r>
      <w:r>
        <w:rPr>
          <w:rFonts w:hint="eastAsia" w:ascii="仿宋" w:hAnsi="仿宋" w:eastAsia="仿宋" w:cs="仿宋"/>
          <w:color w:val="000000"/>
          <w:sz w:val="24"/>
          <w:szCs w:val="24"/>
          <w:lang w:val="en-US" w:eastAsia="zh-CN"/>
        </w:rPr>
        <w:t>5</w:t>
      </w:r>
      <w:r>
        <w:rPr>
          <w:rFonts w:hint="eastAsia" w:ascii="仿宋" w:hAnsi="仿宋" w:eastAsia="仿宋" w:cs="仿宋"/>
          <w:sz w:val="24"/>
          <w:szCs w:val="24"/>
        </w:rPr>
        <w:t>塑料一次性餐饮具</w:t>
      </w:r>
    </w:p>
    <w:tbl>
      <w:tblPr>
        <w:tblStyle w:val="9"/>
        <w:tblW w:w="8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38"/>
        <w:gridCol w:w="3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993"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color w:val="000000"/>
                <w:sz w:val="24"/>
                <w:szCs w:val="24"/>
              </w:rPr>
              <w:t>序号</w:t>
            </w:r>
          </w:p>
        </w:tc>
        <w:tc>
          <w:tcPr>
            <w:tcW w:w="4138"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color w:val="000000"/>
                <w:sz w:val="24"/>
                <w:szCs w:val="24"/>
              </w:rPr>
              <w:t>检验项目</w:t>
            </w:r>
          </w:p>
        </w:tc>
        <w:tc>
          <w:tcPr>
            <w:tcW w:w="3428" w:type="dxa"/>
            <w:noWrap w:val="0"/>
            <w:vAlign w:val="center"/>
          </w:tcPr>
          <w:p>
            <w:pPr>
              <w:snapToGrid w:val="0"/>
              <w:spacing w:line="440" w:lineRule="exact"/>
              <w:jc w:val="center"/>
              <w:rPr>
                <w:rFonts w:hint="eastAsia" w:ascii="仿宋" w:hAnsi="仿宋" w:eastAsia="仿宋" w:cs="仿宋"/>
                <w:sz w:val="24"/>
                <w:szCs w:val="24"/>
              </w:rPr>
            </w:pPr>
            <w:r>
              <w:rPr>
                <w:rFonts w:hint="eastAsia" w:ascii="仿宋" w:hAnsi="仿宋" w:eastAsia="仿宋" w:cs="仿宋"/>
                <w:color w:val="000000"/>
                <w:sz w:val="24"/>
                <w:szCs w:val="24"/>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99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w:t>
            </w:r>
          </w:p>
        </w:tc>
        <w:tc>
          <w:tcPr>
            <w:tcW w:w="413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感官要求</w:t>
            </w:r>
          </w:p>
        </w:tc>
        <w:tc>
          <w:tcPr>
            <w:tcW w:w="342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4806.7-2016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99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2</w:t>
            </w:r>
          </w:p>
        </w:tc>
        <w:tc>
          <w:tcPr>
            <w:tcW w:w="413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总迁移量</w:t>
            </w:r>
          </w:p>
        </w:tc>
        <w:tc>
          <w:tcPr>
            <w:tcW w:w="342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GB 31604.8-2021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exact"/>
          <w:jc w:val="center"/>
        </w:trPr>
        <w:tc>
          <w:tcPr>
            <w:tcW w:w="99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3</w:t>
            </w:r>
          </w:p>
        </w:tc>
        <w:tc>
          <w:tcPr>
            <w:tcW w:w="413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高锰酸钾消耗量</w:t>
            </w:r>
          </w:p>
        </w:tc>
        <w:tc>
          <w:tcPr>
            <w:tcW w:w="342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31604.2-2016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exact"/>
          <w:jc w:val="center"/>
        </w:trPr>
        <w:tc>
          <w:tcPr>
            <w:tcW w:w="99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w:t>
            </w:r>
          </w:p>
        </w:tc>
        <w:tc>
          <w:tcPr>
            <w:tcW w:w="413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重金属（以Pb计）</w:t>
            </w:r>
          </w:p>
        </w:tc>
        <w:tc>
          <w:tcPr>
            <w:tcW w:w="342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31604.9-2016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99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5</w:t>
            </w:r>
          </w:p>
        </w:tc>
        <w:tc>
          <w:tcPr>
            <w:tcW w:w="413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脱色试验</w:t>
            </w:r>
            <w:r>
              <w:rPr>
                <w:rFonts w:hint="eastAsia" w:ascii="仿宋" w:hAnsi="仿宋" w:eastAsia="仿宋" w:cs="仿宋"/>
                <w:sz w:val="24"/>
                <w:szCs w:val="24"/>
                <w:lang w:val="pt-BR"/>
              </w:rPr>
              <w:t>（</w:t>
            </w:r>
            <w:r>
              <w:rPr>
                <w:rFonts w:hint="eastAsia" w:ascii="仿宋" w:hAnsi="仿宋" w:eastAsia="仿宋" w:cs="仿宋"/>
                <w:sz w:val="24"/>
                <w:szCs w:val="24"/>
              </w:rPr>
              <w:t>限添加了着色剂的产品</w:t>
            </w:r>
            <w:r>
              <w:rPr>
                <w:rFonts w:hint="eastAsia" w:ascii="仿宋" w:hAnsi="仿宋" w:eastAsia="仿宋" w:cs="仿宋"/>
                <w:sz w:val="24"/>
                <w:szCs w:val="24"/>
                <w:lang w:val="pt-BR"/>
              </w:rPr>
              <w:t>）</w:t>
            </w:r>
          </w:p>
        </w:tc>
        <w:tc>
          <w:tcPr>
            <w:tcW w:w="342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31604.7-2016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99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6</w:t>
            </w:r>
          </w:p>
        </w:tc>
        <w:tc>
          <w:tcPr>
            <w:tcW w:w="413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特定迁移量（以锑计）（限PET材质）</w:t>
            </w:r>
          </w:p>
        </w:tc>
        <w:tc>
          <w:tcPr>
            <w:tcW w:w="342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31604.41-2016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exact"/>
          <w:jc w:val="center"/>
        </w:trPr>
        <w:tc>
          <w:tcPr>
            <w:tcW w:w="99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7</w:t>
            </w:r>
          </w:p>
        </w:tc>
        <w:tc>
          <w:tcPr>
            <w:tcW w:w="4138" w:type="dxa"/>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大肠菌群</w:t>
            </w:r>
          </w:p>
        </w:tc>
        <w:tc>
          <w:tcPr>
            <w:tcW w:w="342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14934-2016 </w:t>
            </w:r>
          </w:p>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附录B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exact"/>
          <w:jc w:val="center"/>
        </w:trPr>
        <w:tc>
          <w:tcPr>
            <w:tcW w:w="99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8</w:t>
            </w:r>
          </w:p>
        </w:tc>
        <w:tc>
          <w:tcPr>
            <w:tcW w:w="4138" w:type="dxa"/>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致病菌（沙门氏菌）</w:t>
            </w:r>
          </w:p>
        </w:tc>
        <w:tc>
          <w:tcPr>
            <w:tcW w:w="3428"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GB 14934-2016 </w:t>
            </w:r>
          </w:p>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附录C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993"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9</w:t>
            </w:r>
          </w:p>
        </w:tc>
        <w:tc>
          <w:tcPr>
            <w:tcW w:w="4138" w:type="dxa"/>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霉菌计数</w:t>
            </w:r>
          </w:p>
        </w:tc>
        <w:tc>
          <w:tcPr>
            <w:tcW w:w="3428" w:type="dxa"/>
            <w:noWrap w:val="0"/>
            <w:vAlign w:val="center"/>
          </w:tcPr>
          <w:p>
            <w:pPr>
              <w:adjustRightInd w:val="0"/>
              <w:snapToGrid w:val="0"/>
              <w:jc w:val="center"/>
              <w:rPr>
                <w:rFonts w:hint="eastAsia" w:ascii="仿宋" w:hAnsi="仿宋" w:eastAsia="仿宋" w:cs="仿宋"/>
                <w:kern w:val="2"/>
                <w:sz w:val="24"/>
                <w:szCs w:val="24"/>
                <w:lang w:val="en-US" w:eastAsia="zh-CN" w:bidi="ar-SA"/>
              </w:rPr>
            </w:pPr>
            <w:r>
              <w:rPr>
                <w:rFonts w:hint="eastAsia" w:ascii="仿宋" w:hAnsi="仿宋" w:eastAsia="仿宋" w:cs="仿宋"/>
                <w:sz w:val="24"/>
                <w:szCs w:val="24"/>
              </w:rPr>
              <w:t xml:space="preserve">GB 4789.15-2016 </w:t>
            </w:r>
          </w:p>
        </w:tc>
      </w:tr>
    </w:tbl>
    <w:p>
      <w:pPr>
        <w:widowControl/>
        <w:adjustRightInd w:val="0"/>
        <w:snapToGrid w:val="0"/>
        <w:spacing w:beforeLines="100" w:line="360" w:lineRule="auto"/>
        <w:jc w:val="left"/>
        <w:rPr>
          <w:rFonts w:ascii="仿宋_GB2312" w:eastAsia="仿宋_GB2312"/>
          <w:sz w:val="28"/>
          <w:szCs w:val="28"/>
        </w:rPr>
      </w:pPr>
      <w:r>
        <w:rPr>
          <w:rFonts w:hint="eastAsia" w:ascii="仿宋_GB2312" w:eastAsia="仿宋_GB2312"/>
          <w:sz w:val="28"/>
          <w:szCs w:val="28"/>
        </w:rPr>
        <w:t>6.2检验应注意的问题</w:t>
      </w:r>
    </w:p>
    <w:p>
      <w:pPr>
        <w:adjustRightInd w:val="0"/>
        <w:snapToGrid w:val="0"/>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s="宋体"/>
          <w:sz w:val="28"/>
          <w:szCs w:val="28"/>
        </w:rPr>
        <w:t>若被检产品明示的质量要求高于本细</w:t>
      </w:r>
      <w:r>
        <w:rPr>
          <w:rFonts w:hint="eastAsia" w:ascii="仿宋_GB2312" w:hAnsi="宋体" w:eastAsia="仿宋_GB2312"/>
          <w:color w:val="000000"/>
          <w:sz w:val="28"/>
          <w:szCs w:val="28"/>
        </w:rPr>
        <w:t>则中检验项目依据的标准要求时，应按被检产品明示的质量要求判定。</w:t>
      </w:r>
    </w:p>
    <w:p>
      <w:pPr>
        <w:snapToGrid w:val="0"/>
        <w:spacing w:line="360" w:lineRule="auto"/>
        <w:ind w:firstLine="557" w:firstLineChars="199"/>
        <w:rPr>
          <w:rFonts w:ascii="仿宋_GB2312" w:hAnsi="宋体" w:eastAsia="仿宋_GB2312"/>
          <w:color w:val="000000"/>
          <w:sz w:val="28"/>
          <w:szCs w:val="28"/>
        </w:rPr>
      </w:pPr>
      <w:r>
        <w:rPr>
          <w:rFonts w:hint="eastAsia" w:ascii="仿宋_GB2312" w:hAnsi="宋体" w:eastAsia="仿宋_GB2312"/>
          <w:color w:val="000000"/>
          <w:sz w:val="28"/>
          <w:szCs w:val="28"/>
        </w:rPr>
        <w:t>若被检产品明示的质量要求低于本细则中检验项目依据的强制性标准要求时，应按照强制性标准要求判定。</w:t>
      </w:r>
    </w:p>
    <w:p>
      <w:pPr>
        <w:snapToGrid w:val="0"/>
        <w:spacing w:line="360" w:lineRule="auto"/>
        <w:ind w:firstLine="557" w:firstLineChars="199"/>
        <w:rPr>
          <w:rFonts w:ascii="仿宋_GB2312" w:hAnsi="宋体" w:eastAsia="仿宋_GB2312"/>
          <w:color w:val="000000"/>
          <w:sz w:val="28"/>
          <w:szCs w:val="28"/>
        </w:rPr>
      </w:pPr>
      <w:r>
        <w:rPr>
          <w:rFonts w:hint="eastAsia" w:ascii="仿宋_GB2312" w:hAnsi="宋体" w:eastAsia="仿宋_GB2312"/>
          <w:color w:val="000000"/>
          <w:sz w:val="28"/>
          <w:szCs w:val="28"/>
        </w:rPr>
        <w:t>若被检产品明示的质量要求低于或包含本细则中检验项目依据的推荐性标准要求时，应以被检产品明示的质量要求判定。</w:t>
      </w:r>
    </w:p>
    <w:p>
      <w:pPr>
        <w:snapToGrid w:val="0"/>
        <w:spacing w:line="360" w:lineRule="auto"/>
        <w:ind w:firstLine="557" w:firstLineChars="199"/>
        <w:rPr>
          <w:rFonts w:ascii="仿宋_GB2312" w:hAnsi="宋体" w:eastAsia="仿宋_GB2312"/>
          <w:color w:val="000000"/>
          <w:sz w:val="28"/>
          <w:szCs w:val="28"/>
        </w:rPr>
      </w:pPr>
      <w:r>
        <w:rPr>
          <w:rFonts w:hint="eastAsia" w:ascii="仿宋_GB2312" w:hAnsi="宋体" w:eastAsia="仿宋_GB2312"/>
          <w:color w:val="000000"/>
          <w:sz w:val="28"/>
          <w:szCs w:val="28"/>
        </w:rPr>
        <w:t>若被检产品明示的质量要求缺少本细则中检验项目依据的强制性标准要求时，应按照强制性标准要求判定。</w:t>
      </w:r>
    </w:p>
    <w:p>
      <w:pPr>
        <w:adjustRightInd w:val="0"/>
        <w:snapToGrid w:val="0"/>
        <w:spacing w:line="360" w:lineRule="auto"/>
        <w:ind w:firstLine="548" w:firstLineChars="196"/>
        <w:rPr>
          <w:rFonts w:ascii="仿宋_GB2312" w:hAnsi="宋体" w:eastAsia="仿宋_GB2312"/>
          <w:color w:val="000000"/>
          <w:sz w:val="28"/>
          <w:szCs w:val="28"/>
        </w:rPr>
      </w:pPr>
      <w:r>
        <w:rPr>
          <w:rFonts w:hint="eastAsia" w:ascii="仿宋_GB2312" w:hAnsi="宋体" w:eastAsia="仿宋_GB2312"/>
          <w:color w:val="000000"/>
          <w:sz w:val="28"/>
          <w:szCs w:val="28"/>
        </w:rPr>
        <w:t>若被检产品明示的质量要求缺少本细则中检验项目依据的推荐性标准要求时，该项目不参与判定，但应在检验报告备注中进行说明。</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7判定原则</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经检验，检验项目全部合格，判定为被抽查产品所检项目未发现不合格；检验项目中任一项或一项以上不合格，判定为被抽查产品不合格。</w:t>
      </w:r>
    </w:p>
    <w:p>
      <w:pPr>
        <w:adjustRightInd w:val="0"/>
        <w:snapToGrid w:val="0"/>
        <w:spacing w:line="360" w:lineRule="auto"/>
        <w:ind w:firstLine="551" w:firstLineChars="196"/>
        <w:rPr>
          <w:rFonts w:ascii="仿宋_GB2312" w:eastAsia="仿宋_GB2312"/>
          <w:b/>
          <w:bCs/>
          <w:sz w:val="28"/>
          <w:szCs w:val="28"/>
        </w:rPr>
      </w:pPr>
      <w:r>
        <w:rPr>
          <w:rFonts w:hint="eastAsia" w:ascii="仿宋_GB2312" w:eastAsia="仿宋_GB2312"/>
          <w:b/>
          <w:bCs/>
          <w:sz w:val="28"/>
          <w:szCs w:val="28"/>
        </w:rPr>
        <w:t>8异议处理</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对被判定为不合格企业进行异议处理时，按以下方式进行：</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8.1核查不合格项目相关证据，能够以记录（纸质记录或电子记录或影像记录）或与不合格项目相关联的其它质量数据等检验证据证明。</w:t>
      </w:r>
    </w:p>
    <w:p>
      <w:pPr>
        <w:adjustRightInd w:val="0"/>
        <w:snapToGrid w:val="0"/>
        <w:spacing w:line="360" w:lineRule="auto"/>
        <w:ind w:firstLine="548" w:firstLineChars="196"/>
        <w:rPr>
          <w:rFonts w:ascii="仿宋_GB2312" w:eastAsia="仿宋_GB2312"/>
          <w:sz w:val="28"/>
          <w:szCs w:val="28"/>
        </w:rPr>
      </w:pPr>
      <w:r>
        <w:rPr>
          <w:rFonts w:hint="eastAsia" w:ascii="仿宋_GB2312" w:eastAsia="仿宋_GB2312"/>
          <w:sz w:val="28"/>
          <w:szCs w:val="28"/>
        </w:rPr>
        <w:t>8.2对需要复检并具备检验条件的，处理企业异议的市场监督管理部门或者指定检验机构应当按原监督抽查细则对留存的样品或抽取的备用样品组织复检，并出具检验报告。复检结论为最终结论。</w:t>
      </w:r>
    </w:p>
    <w:p>
      <w:pPr>
        <w:snapToGrid w:val="0"/>
        <w:spacing w:line="360" w:lineRule="auto"/>
        <w:ind w:firstLine="557" w:firstLineChars="199"/>
        <w:rPr>
          <w:rFonts w:hint="default" w:ascii="仿宋_GB2312" w:eastAsia="仿宋_GB2312"/>
          <w:b/>
          <w:bCs/>
          <w:sz w:val="28"/>
          <w:szCs w:val="28"/>
          <w:lang w:val="en-US" w:eastAsia="zh-CN"/>
        </w:rPr>
      </w:pPr>
      <w:r>
        <w:rPr>
          <w:rFonts w:hint="eastAsia" w:ascii="仿宋" w:hAnsi="仿宋" w:eastAsia="仿宋" w:cs="仿宋"/>
          <w:b w:val="0"/>
          <w:bCs w:val="0"/>
          <w:sz w:val="28"/>
          <w:szCs w:val="28"/>
          <w:lang w:val="en-US" w:eastAsia="zh-CN"/>
        </w:rPr>
        <w:t>8.3</w:t>
      </w:r>
      <w:r>
        <w:rPr>
          <w:rFonts w:hint="eastAsia" w:ascii="仿宋" w:hAnsi="仿宋" w:eastAsia="仿宋" w:cs="仿宋"/>
          <w:b w:val="0"/>
          <w:bCs w:val="0"/>
          <w:color w:val="000000"/>
          <w:sz w:val="28"/>
          <w:szCs w:val="28"/>
        </w:rPr>
        <w:t>依据GB 4789.1</w:t>
      </w:r>
      <w:r>
        <w:rPr>
          <w:rFonts w:hint="eastAsia" w:ascii="仿宋" w:hAnsi="仿宋" w:eastAsia="仿宋" w:cs="仿宋"/>
          <w:b w:val="0"/>
          <w:bCs w:val="0"/>
          <w:sz w:val="28"/>
          <w:szCs w:val="28"/>
        </w:rPr>
        <w:t>—</w:t>
      </w:r>
      <w:r>
        <w:rPr>
          <w:rFonts w:hint="eastAsia" w:ascii="仿宋" w:hAnsi="仿宋" w:eastAsia="仿宋" w:cs="仿宋"/>
          <w:b w:val="0"/>
          <w:bCs w:val="0"/>
          <w:color w:val="000000"/>
          <w:sz w:val="28"/>
          <w:szCs w:val="28"/>
        </w:rPr>
        <w:t>2016 《食品安全国家标准 食品微生物学检验 总则》第7.3条“检验结果报告后，剩余样品和同批产品不进行微生物项目的复检”和卫健委“卫监督发[2005]515号”《健康相关产品国家卫生监督抽检规定》第十九条“产品微生物指标超标的不予复检” 的规定，微生物（大肠菌群、沙门氏菌、霉菌）项目不合格不复检。</w:t>
      </w:r>
    </w:p>
    <w:p>
      <w:pPr>
        <w:adjustRightInd w:val="0"/>
        <w:snapToGrid w:val="0"/>
        <w:spacing w:line="360" w:lineRule="auto"/>
        <w:ind w:firstLine="551" w:firstLineChars="196"/>
        <w:rPr>
          <w:rFonts w:ascii="仿宋_GB2312" w:eastAsia="仿宋_GB2312"/>
          <w:sz w:val="28"/>
          <w:szCs w:val="28"/>
        </w:rPr>
      </w:pPr>
      <w:r>
        <w:rPr>
          <w:rFonts w:hint="eastAsia" w:ascii="仿宋_GB2312" w:eastAsia="仿宋_GB2312"/>
          <w:b/>
          <w:bCs/>
          <w:sz w:val="28"/>
          <w:szCs w:val="28"/>
        </w:rPr>
        <w:t>9附则</w:t>
      </w:r>
    </w:p>
    <w:p>
      <w:pPr>
        <w:pStyle w:val="2"/>
        <w:keepNext w:val="0"/>
        <w:keepLines w:val="0"/>
        <w:pageBreakBefore w:val="0"/>
        <w:widowControl w:val="0"/>
        <w:kinsoku/>
        <w:wordWrap/>
        <w:overflowPunct/>
        <w:autoSpaceDE/>
        <w:autoSpaceDN/>
        <w:bidi w:val="0"/>
        <w:spacing w:line="540" w:lineRule="exact"/>
        <w:textAlignment w:val="auto"/>
        <w:rPr>
          <w:rFonts w:hint="eastAsia" w:ascii="仿宋_GB2312" w:eastAsia="仿宋_GB2312"/>
          <w:sz w:val="28"/>
          <w:szCs w:val="28"/>
        </w:rPr>
      </w:pPr>
      <w:r>
        <w:rPr>
          <w:rFonts w:hint="eastAsia" w:ascii="仿宋_GB2312" w:eastAsia="仿宋_GB2312"/>
          <w:sz w:val="28"/>
          <w:szCs w:val="28"/>
        </w:rPr>
        <w:t>本细则编写单位:山东腾翔产品质量检测有限公司。</w:t>
      </w:r>
    </w:p>
    <w:p>
      <w:pPr>
        <w:pStyle w:val="2"/>
        <w:keepNext w:val="0"/>
        <w:keepLines w:val="0"/>
        <w:pageBreakBefore w:val="0"/>
        <w:widowControl w:val="0"/>
        <w:kinsoku/>
        <w:wordWrap/>
        <w:overflowPunct/>
        <w:autoSpaceDE/>
        <w:autoSpaceDN/>
        <w:bidi w:val="0"/>
        <w:spacing w:line="540" w:lineRule="exact"/>
        <w:textAlignment w:val="auto"/>
        <w:rPr>
          <w:rFonts w:hint="eastAsia" w:eastAsia="仿宋_GB2312"/>
          <w:lang w:eastAsia="zh-CN"/>
        </w:rPr>
      </w:pPr>
      <w:r>
        <w:rPr>
          <w:rFonts w:hint="eastAsia" w:ascii="仿宋_GB2312" w:eastAsia="仿宋_GB2312"/>
          <w:sz w:val="28"/>
          <w:szCs w:val="28"/>
        </w:rPr>
        <w:t xml:space="preserve">本细则由盘锦市市场监督管理局管理。 </w:t>
      </w:r>
    </w:p>
    <w:p>
      <w:pPr>
        <w:adjustRightInd w:val="0"/>
        <w:snapToGrid w:val="0"/>
        <w:spacing w:line="360" w:lineRule="auto"/>
        <w:ind w:firstLine="548" w:firstLineChars="196"/>
        <w:rPr>
          <w:rFonts w:ascii="仿宋_GB2312" w:hAnsi="宋体" w:eastAsia="仿宋_GB2312"/>
          <w:color w:val="000000"/>
          <w:sz w:val="28"/>
          <w:szCs w:val="28"/>
        </w:rPr>
      </w:pPr>
      <w:bookmarkStart w:id="1" w:name="_GoBack"/>
      <w:bookmarkEnd w:id="1"/>
    </w:p>
    <w:sectPr>
      <w:headerReference r:id="rId3" w:type="default"/>
      <w:footerReference r:id="rId4" w:type="default"/>
      <w:pgSz w:w="11906" w:h="16838"/>
      <w:pgMar w:top="1418" w:right="1418" w:bottom="1361" w:left="1701" w:header="851" w:footer="992" w:gutter="0"/>
      <w:pgNumType w:start="25"/>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黑体" w:hAnsi="宋体" w:eastAsia="黑体"/>
        <w:b/>
        <w:bCs/>
        <w:sz w:val="36"/>
      </w:rPr>
    </w:pPr>
    <w:bookmarkStart w:id="0" w:name="单位"/>
    <w:bookmarkEnd w:id="0"/>
  </w:p>
  <w:p>
    <w:pPr>
      <w:spacing w:line="200" w:lineRule="exact"/>
      <w:rPr>
        <w:rFonts w:ascii="宋体" w:hAnsi="宋体"/>
        <w:b/>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HorizontalSpacing w:val="1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kYTYzZjNlYWM3MjJlOTBiZjIwNjA2Y2UwNTk0YzgifQ=="/>
  </w:docVars>
  <w:rsids>
    <w:rsidRoot w:val="00906F0C"/>
    <w:rsid w:val="000312AC"/>
    <w:rsid w:val="00037D34"/>
    <w:rsid w:val="0004197B"/>
    <w:rsid w:val="00043B95"/>
    <w:rsid w:val="00050A06"/>
    <w:rsid w:val="00051333"/>
    <w:rsid w:val="0007356C"/>
    <w:rsid w:val="000802DB"/>
    <w:rsid w:val="000813B7"/>
    <w:rsid w:val="00083F50"/>
    <w:rsid w:val="000C0737"/>
    <w:rsid w:val="000C2BC5"/>
    <w:rsid w:val="000D04DA"/>
    <w:rsid w:val="000D7879"/>
    <w:rsid w:val="000E28A4"/>
    <w:rsid w:val="000E439F"/>
    <w:rsid w:val="000F0AC9"/>
    <w:rsid w:val="000F2D87"/>
    <w:rsid w:val="001314E2"/>
    <w:rsid w:val="00173B61"/>
    <w:rsid w:val="00173C6E"/>
    <w:rsid w:val="001A32CB"/>
    <w:rsid w:val="001A4934"/>
    <w:rsid w:val="001A781A"/>
    <w:rsid w:val="001B4FB5"/>
    <w:rsid w:val="001C17BD"/>
    <w:rsid w:val="001C2B10"/>
    <w:rsid w:val="001C7DB2"/>
    <w:rsid w:val="001D00DE"/>
    <w:rsid w:val="001D4FCB"/>
    <w:rsid w:val="001E201F"/>
    <w:rsid w:val="001E4252"/>
    <w:rsid w:val="001F0C89"/>
    <w:rsid w:val="002208EE"/>
    <w:rsid w:val="0022465F"/>
    <w:rsid w:val="00232CCF"/>
    <w:rsid w:val="0023485C"/>
    <w:rsid w:val="0025039C"/>
    <w:rsid w:val="002702A5"/>
    <w:rsid w:val="00275F27"/>
    <w:rsid w:val="002876FB"/>
    <w:rsid w:val="002C1DCF"/>
    <w:rsid w:val="003019AF"/>
    <w:rsid w:val="00307151"/>
    <w:rsid w:val="00307562"/>
    <w:rsid w:val="003135FD"/>
    <w:rsid w:val="00340E4C"/>
    <w:rsid w:val="00345EA7"/>
    <w:rsid w:val="00352CAE"/>
    <w:rsid w:val="003602D0"/>
    <w:rsid w:val="003A2918"/>
    <w:rsid w:val="003B4B61"/>
    <w:rsid w:val="003B7ECA"/>
    <w:rsid w:val="003D4A31"/>
    <w:rsid w:val="003D4BD4"/>
    <w:rsid w:val="003E5D71"/>
    <w:rsid w:val="003F5DD4"/>
    <w:rsid w:val="00401964"/>
    <w:rsid w:val="00402DE8"/>
    <w:rsid w:val="00437996"/>
    <w:rsid w:val="0045778E"/>
    <w:rsid w:val="00477FAD"/>
    <w:rsid w:val="004C22E1"/>
    <w:rsid w:val="004D7F27"/>
    <w:rsid w:val="004E4669"/>
    <w:rsid w:val="004E5B59"/>
    <w:rsid w:val="004F23A5"/>
    <w:rsid w:val="004F2F67"/>
    <w:rsid w:val="00505F83"/>
    <w:rsid w:val="00513440"/>
    <w:rsid w:val="00520BC6"/>
    <w:rsid w:val="00525633"/>
    <w:rsid w:val="005302C3"/>
    <w:rsid w:val="0054288A"/>
    <w:rsid w:val="005475D3"/>
    <w:rsid w:val="00563F91"/>
    <w:rsid w:val="0056581D"/>
    <w:rsid w:val="005773F7"/>
    <w:rsid w:val="00581BFD"/>
    <w:rsid w:val="00593D86"/>
    <w:rsid w:val="005B6084"/>
    <w:rsid w:val="005C7C7D"/>
    <w:rsid w:val="00611203"/>
    <w:rsid w:val="006229B4"/>
    <w:rsid w:val="006308EB"/>
    <w:rsid w:val="0065724C"/>
    <w:rsid w:val="00657E8D"/>
    <w:rsid w:val="00672049"/>
    <w:rsid w:val="00681C69"/>
    <w:rsid w:val="006853FF"/>
    <w:rsid w:val="00691D6D"/>
    <w:rsid w:val="006B046D"/>
    <w:rsid w:val="006C31E0"/>
    <w:rsid w:val="006C3E17"/>
    <w:rsid w:val="006C619F"/>
    <w:rsid w:val="006D00E7"/>
    <w:rsid w:val="006D725B"/>
    <w:rsid w:val="006E2A3C"/>
    <w:rsid w:val="006E7C8F"/>
    <w:rsid w:val="0072302E"/>
    <w:rsid w:val="0072309A"/>
    <w:rsid w:val="00723C19"/>
    <w:rsid w:val="00737E9E"/>
    <w:rsid w:val="007553A6"/>
    <w:rsid w:val="00770259"/>
    <w:rsid w:val="00776986"/>
    <w:rsid w:val="007B10BB"/>
    <w:rsid w:val="007C3E23"/>
    <w:rsid w:val="007F3494"/>
    <w:rsid w:val="00802223"/>
    <w:rsid w:val="008147A4"/>
    <w:rsid w:val="00816BE3"/>
    <w:rsid w:val="00843264"/>
    <w:rsid w:val="00843B1D"/>
    <w:rsid w:val="00881DD4"/>
    <w:rsid w:val="008B2680"/>
    <w:rsid w:val="008B2C1F"/>
    <w:rsid w:val="008C2A4A"/>
    <w:rsid w:val="008D0A2B"/>
    <w:rsid w:val="008D0B60"/>
    <w:rsid w:val="008D68B1"/>
    <w:rsid w:val="008D7A84"/>
    <w:rsid w:val="008E4538"/>
    <w:rsid w:val="008F68BF"/>
    <w:rsid w:val="00906F0C"/>
    <w:rsid w:val="00907A76"/>
    <w:rsid w:val="00913DC1"/>
    <w:rsid w:val="00914F6A"/>
    <w:rsid w:val="009158BE"/>
    <w:rsid w:val="00926F50"/>
    <w:rsid w:val="00933822"/>
    <w:rsid w:val="00940111"/>
    <w:rsid w:val="00941E9D"/>
    <w:rsid w:val="00950FA2"/>
    <w:rsid w:val="00960E3B"/>
    <w:rsid w:val="0098488D"/>
    <w:rsid w:val="00993CC3"/>
    <w:rsid w:val="009962D5"/>
    <w:rsid w:val="009A7CFC"/>
    <w:rsid w:val="009B0119"/>
    <w:rsid w:val="00A14D97"/>
    <w:rsid w:val="00A2132F"/>
    <w:rsid w:val="00A24376"/>
    <w:rsid w:val="00A46456"/>
    <w:rsid w:val="00A623BE"/>
    <w:rsid w:val="00A75A01"/>
    <w:rsid w:val="00A824E7"/>
    <w:rsid w:val="00A86268"/>
    <w:rsid w:val="00A8634A"/>
    <w:rsid w:val="00A87C1B"/>
    <w:rsid w:val="00A94E36"/>
    <w:rsid w:val="00AA2AAC"/>
    <w:rsid w:val="00AA4C7D"/>
    <w:rsid w:val="00AB28B5"/>
    <w:rsid w:val="00AB578A"/>
    <w:rsid w:val="00AD710C"/>
    <w:rsid w:val="00AE4CCD"/>
    <w:rsid w:val="00AE7816"/>
    <w:rsid w:val="00B024BC"/>
    <w:rsid w:val="00B026F4"/>
    <w:rsid w:val="00B31E14"/>
    <w:rsid w:val="00B3539D"/>
    <w:rsid w:val="00B57D47"/>
    <w:rsid w:val="00B711D0"/>
    <w:rsid w:val="00B83032"/>
    <w:rsid w:val="00B948E9"/>
    <w:rsid w:val="00BC3A6D"/>
    <w:rsid w:val="00BE667A"/>
    <w:rsid w:val="00C01EBF"/>
    <w:rsid w:val="00C15C07"/>
    <w:rsid w:val="00C17CB7"/>
    <w:rsid w:val="00C218AE"/>
    <w:rsid w:val="00C4270C"/>
    <w:rsid w:val="00C46E93"/>
    <w:rsid w:val="00C71421"/>
    <w:rsid w:val="00C83545"/>
    <w:rsid w:val="00C93B7F"/>
    <w:rsid w:val="00CA0D52"/>
    <w:rsid w:val="00CA2E8D"/>
    <w:rsid w:val="00CA3381"/>
    <w:rsid w:val="00CB00D8"/>
    <w:rsid w:val="00CB2DF6"/>
    <w:rsid w:val="00CB674B"/>
    <w:rsid w:val="00CC2456"/>
    <w:rsid w:val="00CC3964"/>
    <w:rsid w:val="00CC5F84"/>
    <w:rsid w:val="00CC671E"/>
    <w:rsid w:val="00CD0318"/>
    <w:rsid w:val="00CE685D"/>
    <w:rsid w:val="00CF32A5"/>
    <w:rsid w:val="00D00C20"/>
    <w:rsid w:val="00D20C5A"/>
    <w:rsid w:val="00D25A2E"/>
    <w:rsid w:val="00D37294"/>
    <w:rsid w:val="00D46FC7"/>
    <w:rsid w:val="00D512FD"/>
    <w:rsid w:val="00D56506"/>
    <w:rsid w:val="00D707F0"/>
    <w:rsid w:val="00DA1917"/>
    <w:rsid w:val="00DA5C6A"/>
    <w:rsid w:val="00DA6627"/>
    <w:rsid w:val="00DB66B7"/>
    <w:rsid w:val="00DC6337"/>
    <w:rsid w:val="00DD14DD"/>
    <w:rsid w:val="00DF2A14"/>
    <w:rsid w:val="00DF7725"/>
    <w:rsid w:val="00E11EB8"/>
    <w:rsid w:val="00E149DD"/>
    <w:rsid w:val="00E163D3"/>
    <w:rsid w:val="00E55270"/>
    <w:rsid w:val="00E63454"/>
    <w:rsid w:val="00E816A7"/>
    <w:rsid w:val="00E90B26"/>
    <w:rsid w:val="00EA546D"/>
    <w:rsid w:val="00EA6979"/>
    <w:rsid w:val="00EB3FF1"/>
    <w:rsid w:val="00EB52A5"/>
    <w:rsid w:val="00EC274C"/>
    <w:rsid w:val="00F0154C"/>
    <w:rsid w:val="00F109CD"/>
    <w:rsid w:val="00F23338"/>
    <w:rsid w:val="00F2368C"/>
    <w:rsid w:val="00F25A90"/>
    <w:rsid w:val="00F501F2"/>
    <w:rsid w:val="00F578F0"/>
    <w:rsid w:val="00F600CC"/>
    <w:rsid w:val="00F65381"/>
    <w:rsid w:val="00F8246E"/>
    <w:rsid w:val="00F923A3"/>
    <w:rsid w:val="00F92945"/>
    <w:rsid w:val="00FA7C87"/>
    <w:rsid w:val="00FB75AC"/>
    <w:rsid w:val="00FD2307"/>
    <w:rsid w:val="00FD4958"/>
    <w:rsid w:val="00FF0F9F"/>
    <w:rsid w:val="02385A61"/>
    <w:rsid w:val="02B97FF4"/>
    <w:rsid w:val="034F45E8"/>
    <w:rsid w:val="03EF4FA4"/>
    <w:rsid w:val="04CA6C60"/>
    <w:rsid w:val="07207D14"/>
    <w:rsid w:val="07CB78B4"/>
    <w:rsid w:val="08B37C33"/>
    <w:rsid w:val="096B2CFF"/>
    <w:rsid w:val="0A0F7F0B"/>
    <w:rsid w:val="0A472BA3"/>
    <w:rsid w:val="0B644C00"/>
    <w:rsid w:val="0BE635DD"/>
    <w:rsid w:val="0CA60B5F"/>
    <w:rsid w:val="0E9D2139"/>
    <w:rsid w:val="0F7E4093"/>
    <w:rsid w:val="0FB824D4"/>
    <w:rsid w:val="10D65192"/>
    <w:rsid w:val="1138445D"/>
    <w:rsid w:val="119F41DD"/>
    <w:rsid w:val="138E2E40"/>
    <w:rsid w:val="16D078B2"/>
    <w:rsid w:val="17322D81"/>
    <w:rsid w:val="1B835AAB"/>
    <w:rsid w:val="1B836169"/>
    <w:rsid w:val="1BED0175"/>
    <w:rsid w:val="1C2D76FB"/>
    <w:rsid w:val="1CFA77D0"/>
    <w:rsid w:val="1E7D727D"/>
    <w:rsid w:val="23D16486"/>
    <w:rsid w:val="240577A1"/>
    <w:rsid w:val="240A4A30"/>
    <w:rsid w:val="24943134"/>
    <w:rsid w:val="25B17A4E"/>
    <w:rsid w:val="28060F58"/>
    <w:rsid w:val="2ADD56F2"/>
    <w:rsid w:val="2C807FD7"/>
    <w:rsid w:val="2DBF520D"/>
    <w:rsid w:val="2E3B488F"/>
    <w:rsid w:val="30B1046F"/>
    <w:rsid w:val="31C65A06"/>
    <w:rsid w:val="33950110"/>
    <w:rsid w:val="33E64541"/>
    <w:rsid w:val="33F91CEB"/>
    <w:rsid w:val="34490E2E"/>
    <w:rsid w:val="34CE06DA"/>
    <w:rsid w:val="35793836"/>
    <w:rsid w:val="35B86126"/>
    <w:rsid w:val="36075E29"/>
    <w:rsid w:val="36511623"/>
    <w:rsid w:val="36F518F3"/>
    <w:rsid w:val="3C3A313C"/>
    <w:rsid w:val="401B12F0"/>
    <w:rsid w:val="41593CD4"/>
    <w:rsid w:val="42384A2E"/>
    <w:rsid w:val="42DE77A4"/>
    <w:rsid w:val="42F36534"/>
    <w:rsid w:val="43617819"/>
    <w:rsid w:val="46637E0C"/>
    <w:rsid w:val="46FC18F3"/>
    <w:rsid w:val="47020813"/>
    <w:rsid w:val="473A7522"/>
    <w:rsid w:val="4A5916D6"/>
    <w:rsid w:val="4B895FDD"/>
    <w:rsid w:val="4BF979BC"/>
    <w:rsid w:val="4C7C5AED"/>
    <w:rsid w:val="4D327EBC"/>
    <w:rsid w:val="4D796250"/>
    <w:rsid w:val="4E3F6302"/>
    <w:rsid w:val="4E9C787F"/>
    <w:rsid w:val="4EB26385"/>
    <w:rsid w:val="4F9570BF"/>
    <w:rsid w:val="4FB12998"/>
    <w:rsid w:val="50827858"/>
    <w:rsid w:val="520C355E"/>
    <w:rsid w:val="52FC6EA9"/>
    <w:rsid w:val="53003334"/>
    <w:rsid w:val="56203D9C"/>
    <w:rsid w:val="5A473B09"/>
    <w:rsid w:val="5AD51458"/>
    <w:rsid w:val="5CA54AB4"/>
    <w:rsid w:val="5CD26250"/>
    <w:rsid w:val="5D255E39"/>
    <w:rsid w:val="5F426713"/>
    <w:rsid w:val="601C70A9"/>
    <w:rsid w:val="63EA0E80"/>
    <w:rsid w:val="651C4702"/>
    <w:rsid w:val="65384A3C"/>
    <w:rsid w:val="66B7687F"/>
    <w:rsid w:val="6AF57671"/>
    <w:rsid w:val="71294BA0"/>
    <w:rsid w:val="734012B5"/>
    <w:rsid w:val="74605C6F"/>
    <w:rsid w:val="77E702C0"/>
    <w:rsid w:val="799C6CAA"/>
    <w:rsid w:val="7B3D54D4"/>
    <w:rsid w:val="7BBC182A"/>
    <w:rsid w:val="7C8C4A63"/>
    <w:rsid w:val="7D967D1B"/>
    <w:rsid w:val="7DD666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wang正文"/>
    <w:basedOn w:val="1"/>
    <w:qFormat/>
    <w:uiPriority w:val="0"/>
    <w:pPr>
      <w:tabs>
        <w:tab w:val="left" w:pos="6840"/>
      </w:tabs>
      <w:topLinePunct/>
      <w:ind w:firstLine="420"/>
    </w:pPr>
    <w:rPr>
      <w:kern w:val="0"/>
    </w:rPr>
  </w:style>
  <w:style w:type="paragraph" w:styleId="3">
    <w:name w:val="Body Text Indent"/>
    <w:basedOn w:val="1"/>
    <w:link w:val="21"/>
    <w:qFormat/>
    <w:uiPriority w:val="0"/>
    <w:pPr>
      <w:spacing w:line="360" w:lineRule="auto"/>
      <w:ind w:firstLine="480" w:firstLineChars="200"/>
    </w:pPr>
    <w:rPr>
      <w:rFonts w:ascii="宋体" w:hAnsi="宋体"/>
      <w:szCs w:val="20"/>
    </w:rPr>
  </w:style>
  <w:style w:type="paragraph" w:styleId="4">
    <w:name w:val="List 2"/>
    <w:basedOn w:val="1"/>
    <w:qFormat/>
    <w:uiPriority w:val="99"/>
    <w:pPr>
      <w:ind w:left="100" w:leftChars="200" w:hanging="200" w:hangingChars="200"/>
    </w:pPr>
  </w:style>
  <w:style w:type="paragraph" w:styleId="5">
    <w:name w:val="Balloon Text"/>
    <w:basedOn w:val="1"/>
    <w:link w:val="22"/>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Autospacing="1" w:afterAutospacing="1"/>
      <w:jc w:val="left"/>
    </w:pPr>
    <w:rPr>
      <w:kern w:val="0"/>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22"/>
    <w:rPr>
      <w:b/>
    </w:rPr>
  </w:style>
  <w:style w:type="character" w:styleId="13">
    <w:name w:val="page number"/>
    <w:basedOn w:val="11"/>
    <w:qFormat/>
    <w:uiPriority w:val="0"/>
  </w:style>
  <w:style w:type="character" w:styleId="14">
    <w:name w:val="FollowedHyperlink"/>
    <w:basedOn w:val="11"/>
    <w:semiHidden/>
    <w:unhideWhenUsed/>
    <w:qFormat/>
    <w:uiPriority w:val="99"/>
    <w:rPr>
      <w:color w:val="333333"/>
      <w:u w:val="none"/>
    </w:rPr>
  </w:style>
  <w:style w:type="character" w:styleId="15">
    <w:name w:val="Emphasis"/>
    <w:basedOn w:val="11"/>
    <w:qFormat/>
    <w:uiPriority w:val="20"/>
  </w:style>
  <w:style w:type="character" w:styleId="16">
    <w:name w:val="HTML Definition"/>
    <w:basedOn w:val="11"/>
    <w:semiHidden/>
    <w:unhideWhenUsed/>
    <w:qFormat/>
    <w:uiPriority w:val="99"/>
  </w:style>
  <w:style w:type="character" w:styleId="17">
    <w:name w:val="HTML Variable"/>
    <w:basedOn w:val="11"/>
    <w:semiHidden/>
    <w:unhideWhenUsed/>
    <w:qFormat/>
    <w:uiPriority w:val="99"/>
  </w:style>
  <w:style w:type="character" w:styleId="18">
    <w:name w:val="Hyperlink"/>
    <w:basedOn w:val="11"/>
    <w:semiHidden/>
    <w:unhideWhenUsed/>
    <w:qFormat/>
    <w:uiPriority w:val="99"/>
    <w:rPr>
      <w:color w:val="333333"/>
      <w:u w:val="none"/>
    </w:rPr>
  </w:style>
  <w:style w:type="character" w:styleId="19">
    <w:name w:val="HTML Code"/>
    <w:basedOn w:val="11"/>
    <w:semiHidden/>
    <w:unhideWhenUsed/>
    <w:qFormat/>
    <w:uiPriority w:val="99"/>
    <w:rPr>
      <w:rFonts w:ascii="Courier New" w:hAnsi="Courier New"/>
      <w:sz w:val="20"/>
    </w:rPr>
  </w:style>
  <w:style w:type="character" w:styleId="20">
    <w:name w:val="HTML Cite"/>
    <w:basedOn w:val="11"/>
    <w:semiHidden/>
    <w:unhideWhenUsed/>
    <w:qFormat/>
    <w:uiPriority w:val="99"/>
  </w:style>
  <w:style w:type="character" w:customStyle="1" w:styleId="21">
    <w:name w:val="正文文本缩进 Char"/>
    <w:basedOn w:val="11"/>
    <w:link w:val="3"/>
    <w:qFormat/>
    <w:uiPriority w:val="0"/>
    <w:rPr>
      <w:rFonts w:ascii="宋体" w:hAnsi="宋体" w:eastAsia="宋体" w:cs="Times New Roman"/>
      <w:sz w:val="24"/>
      <w:szCs w:val="20"/>
    </w:rPr>
  </w:style>
  <w:style w:type="character" w:customStyle="1" w:styleId="22">
    <w:name w:val="批注框文本 Char"/>
    <w:basedOn w:val="11"/>
    <w:link w:val="5"/>
    <w:qFormat/>
    <w:uiPriority w:val="99"/>
    <w:rPr>
      <w:rFonts w:ascii="Times New Roman" w:hAnsi="Times New Roman" w:eastAsia="宋体" w:cs="Times New Roman"/>
      <w:sz w:val="18"/>
      <w:szCs w:val="18"/>
    </w:rPr>
  </w:style>
  <w:style w:type="character" w:customStyle="1" w:styleId="23">
    <w:name w:val="页脚 Char"/>
    <w:basedOn w:val="11"/>
    <w:link w:val="6"/>
    <w:qFormat/>
    <w:uiPriority w:val="99"/>
    <w:rPr>
      <w:rFonts w:ascii="Times New Roman" w:hAnsi="Times New Roman" w:eastAsia="宋体" w:cs="Times New Roman"/>
      <w:sz w:val="18"/>
      <w:szCs w:val="18"/>
    </w:rPr>
  </w:style>
  <w:style w:type="character" w:customStyle="1" w:styleId="24">
    <w:name w:val="页眉 Char"/>
    <w:basedOn w:val="11"/>
    <w:link w:val="7"/>
    <w:qFormat/>
    <w:uiPriority w:val="99"/>
    <w:rPr>
      <w:rFonts w:ascii="Times New Roman" w:hAnsi="Times New Roman" w:eastAsia="宋体" w:cs="Times New Roman"/>
      <w:sz w:val="18"/>
      <w:szCs w:val="18"/>
    </w:rPr>
  </w:style>
  <w:style w:type="paragraph" w:styleId="25">
    <w:name w:val="List Paragraph"/>
    <w:basedOn w:val="1"/>
    <w:unhideWhenUsed/>
    <w:qFormat/>
    <w:uiPriority w:val="99"/>
    <w:pPr>
      <w:ind w:firstLine="420" w:firstLineChars="200"/>
    </w:pPr>
  </w:style>
  <w:style w:type="paragraph" w:customStyle="1" w:styleId="26">
    <w:name w:val="正文+宋体"/>
    <w:basedOn w:val="1"/>
    <w:qFormat/>
    <w:uiPriority w:val="0"/>
    <w:rPr>
      <w:sz w:val="21"/>
    </w:rPr>
  </w:style>
  <w:style w:type="character" w:customStyle="1" w:styleId="27">
    <w:name w:val="curr"/>
    <w:basedOn w:val="11"/>
    <w:qFormat/>
    <w:uiPriority w:val="0"/>
    <w:rPr>
      <w:color w:val="FFFFFF"/>
      <w:bdr w:val="single" w:color="B6B6B6" w:sz="4" w:space="0"/>
      <w:shd w:val="clear" w:color="auto" w:fill="CF3729"/>
    </w:rPr>
  </w:style>
  <w:style w:type="paragraph" w:customStyle="1" w:styleId="28">
    <w:name w:val="Table Paragraph"/>
    <w:basedOn w:val="1"/>
    <w:qFormat/>
    <w:uiPriority w:val="1"/>
    <w:rPr>
      <w:rFonts w:ascii="宋体" w:hAnsi="宋体" w:cs="宋体"/>
      <w:sz w:val="21"/>
      <w:lang w:val="zh-CN" w:bidi="zh-CN"/>
    </w:rPr>
  </w:style>
  <w:style w:type="paragraph" w:customStyle="1" w:styleId="29">
    <w:name w:val="列出段落1"/>
    <w:basedOn w:val="1"/>
    <w:next w:val="1"/>
    <w:qFormat/>
    <w:uiPriority w:val="34"/>
    <w:pPr>
      <w:ind w:firstLine="420" w:firstLineChars="200"/>
    </w:pPr>
    <w:rPr>
      <w:rFonts w:ascii="Calibri" w:hAnsi="Calibri" w:eastAsia="宋体" w:cs="黑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10</Pages>
  <Words>4552</Words>
  <Characters>5829</Characters>
  <Lines>21</Lines>
  <Paragraphs>6</Paragraphs>
  <TotalTime>0</TotalTime>
  <ScaleCrop>false</ScaleCrop>
  <LinksUpToDate>false</LinksUpToDate>
  <CharactersWithSpaces>6041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2020-05-17T23:56:00Z</dcterms:created>
  <dc:creator>微软用户</dc:creator>
  <cp:lastModifiedBy>dell</cp:lastModifiedBy>
  <cp:lastPrinted>2020-05-20T01:37:00Z</cp:lastPrinted>
  <dcterms:modified xsi:type="dcterms:W3CDTF">2022-07-18T00:43:10Z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8631B210B421432996C90D7AC4B48CC8</vt:lpwstr>
  </property>
</Properties>
</file>