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1" w:leftChars="0" w:firstLine="0" w:firstLineChars="0"/>
        <w:jc w:val="center"/>
        <w:rPr>
          <w:rFonts w:hint="eastAsia" w:ascii="仿宋" w:hAnsi="仿宋" w:eastAsia="仿宋" w:cs="仿宋"/>
          <w:b/>
          <w:bCs w:val="0"/>
          <w:sz w:val="36"/>
          <w:szCs w:val="36"/>
          <w:lang w:val="en-US" w:eastAsia="zh-CN"/>
        </w:rPr>
      </w:pPr>
      <w:r>
        <w:rPr>
          <w:rFonts w:hint="eastAsia" w:ascii="仿宋_GB2312" w:hAnsi="宋体" w:eastAsia="仿宋_GB2312" w:cs="黑体"/>
          <w:b/>
          <w:bCs w:val="0"/>
          <w:spacing w:val="20"/>
          <w:w w:val="105"/>
          <w:sz w:val="36"/>
          <w:szCs w:val="36"/>
          <w:lang w:val="en-US" w:eastAsia="zh-CN"/>
        </w:rPr>
        <w:t>2022年盘锦市</w:t>
      </w:r>
      <w:r>
        <w:rPr>
          <w:rFonts w:hint="eastAsia" w:ascii="仿宋" w:hAnsi="仿宋" w:eastAsia="仿宋" w:cs="仿宋"/>
          <w:b/>
          <w:bCs w:val="0"/>
          <w:sz w:val="36"/>
          <w:szCs w:val="36"/>
          <w:lang w:val="en-US" w:eastAsia="zh-CN"/>
        </w:rPr>
        <w:t>家具板材</w:t>
      </w:r>
    </w:p>
    <w:p>
      <w:pPr>
        <w:pStyle w:val="16"/>
        <w:ind w:left="-1" w:leftChars="0" w:firstLine="0" w:firstLineChars="0"/>
        <w:jc w:val="center"/>
        <w:rPr>
          <w:rFonts w:ascii="仿宋_GB2312" w:hAnsi="宋体" w:eastAsia="仿宋_GB2312" w:cs="黑体"/>
          <w:b/>
          <w:bCs w:val="0"/>
          <w:spacing w:val="20"/>
          <w:w w:val="105"/>
          <w:sz w:val="36"/>
          <w:szCs w:val="36"/>
        </w:rPr>
      </w:pPr>
      <w:r>
        <w:rPr>
          <w:rFonts w:hint="eastAsia" w:ascii="仿宋_GB2312" w:hAnsi="宋体" w:eastAsia="仿宋_GB2312" w:cs="黑体"/>
          <w:b/>
          <w:bCs w:val="0"/>
          <w:spacing w:val="20"/>
          <w:w w:val="105"/>
          <w:sz w:val="36"/>
          <w:szCs w:val="36"/>
        </w:rPr>
        <w:t>产品质量监督抽查实施细则</w:t>
      </w:r>
    </w:p>
    <w:p>
      <w:pPr>
        <w:jc w:val="center"/>
        <w:rPr>
          <w:rFonts w:ascii="仿宋_GB2312" w:hAnsi="宋体" w:eastAsia="仿宋_GB2312" w:cs="黑体"/>
          <w:bCs/>
          <w:spacing w:val="20"/>
          <w:w w:val="105"/>
          <w:sz w:val="36"/>
          <w:szCs w:val="36"/>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1适用</w:t>
      </w:r>
      <w:r>
        <w:rPr>
          <w:rFonts w:hint="eastAsia" w:ascii="仿宋_GB2312" w:hAnsi="宋体" w:eastAsia="仿宋_GB2312"/>
          <w:sz w:val="28"/>
          <w:szCs w:val="28"/>
        </w:rPr>
        <w:t>范围</w:t>
      </w:r>
    </w:p>
    <w:p>
      <w:pPr>
        <w:pStyle w:val="16"/>
        <w:ind w:left="-1" w:leftChars="0" w:firstLine="0" w:firstLineChars="0"/>
        <w:jc w:val="center"/>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 w:hAnsi="仿宋" w:eastAsia="仿宋" w:cs="仿宋"/>
          <w:sz w:val="28"/>
          <w:szCs w:val="28"/>
          <w:lang w:val="en-US" w:eastAsia="zh-CN"/>
        </w:rPr>
        <w:t>家具板材</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内县级以上地方市场监督管理部门组织的地方监督抽查可参照执行。</w:t>
      </w:r>
      <w:r>
        <w:rPr>
          <w:rFonts w:hint="eastAsia" w:ascii="仿宋_GB2312" w:eastAsia="仿宋_GB2312"/>
          <w:sz w:val="28"/>
          <w:szCs w:val="28"/>
        </w:rPr>
        <w:t>本细则内容包括产品分类、术语和定义、生产企业规模划分、检验依据、抽样、检验要求、判定原则、异议处理。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产品分类</w:t>
      </w:r>
    </w:p>
    <w:p>
      <w:pPr>
        <w:adjustRightInd w:val="0"/>
        <w:snapToGrid w:val="0"/>
        <w:spacing w:line="594" w:lineRule="exact"/>
        <w:ind w:firstLine="560" w:firstLineChars="200"/>
        <w:rPr>
          <w:rFonts w:ascii="仿宋_GB2312" w:hAnsi="宋体" w:eastAsia="仿宋_GB2312"/>
          <w:sz w:val="28"/>
          <w:szCs w:val="28"/>
        </w:rPr>
      </w:pPr>
      <w:r>
        <w:rPr>
          <w:rFonts w:hint="eastAsia" w:ascii="仿宋_GB2312" w:hAnsi="宋体" w:eastAsia="仿宋_GB2312"/>
          <w:sz w:val="28"/>
          <w:szCs w:val="28"/>
        </w:rPr>
        <w:t>2.1产品分类及代码见表1。</w:t>
      </w:r>
    </w:p>
    <w:p>
      <w:pPr>
        <w:adjustRightInd w:val="0"/>
        <w:snapToGrid w:val="0"/>
        <w:spacing w:line="594"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表1  产品分类及代码</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1406"/>
        <w:gridCol w:w="1790"/>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产品分类</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一级分类</w:t>
            </w:r>
          </w:p>
        </w:tc>
        <w:tc>
          <w:tcPr>
            <w:tcW w:w="1406"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二级分类</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c>
          <w:tcPr>
            <w:tcW w:w="1879" w:type="dxa"/>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rPr>
              <w:t>属性编码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04</w:t>
            </w:r>
          </w:p>
        </w:tc>
        <w:tc>
          <w:tcPr>
            <w:tcW w:w="1406"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01</w:t>
            </w:r>
          </w:p>
        </w:tc>
        <w:tc>
          <w:tcPr>
            <w:tcW w:w="179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879"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细木工板</w:t>
            </w:r>
          </w:p>
        </w:tc>
        <w:tc>
          <w:tcPr>
            <w:tcW w:w="1879"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04</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val="en-US" w:eastAsia="zh-CN"/>
              </w:rPr>
              <w:t>01</w:t>
            </w:r>
          </w:p>
        </w:tc>
        <w:tc>
          <w:tcPr>
            <w:tcW w:w="179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11</w:t>
            </w:r>
          </w:p>
        </w:tc>
        <w:tc>
          <w:tcPr>
            <w:tcW w:w="1879"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中密度纤维板</w:t>
            </w:r>
          </w:p>
        </w:tc>
        <w:tc>
          <w:tcPr>
            <w:tcW w:w="1879"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04</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val="en-US" w:eastAsia="zh-CN"/>
              </w:rPr>
              <w:t>01</w:t>
            </w:r>
          </w:p>
        </w:tc>
        <w:tc>
          <w:tcPr>
            <w:tcW w:w="179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06</w:t>
            </w:r>
          </w:p>
        </w:tc>
        <w:tc>
          <w:tcPr>
            <w:tcW w:w="1879"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普通胶合板</w:t>
            </w:r>
          </w:p>
        </w:tc>
        <w:tc>
          <w:tcPr>
            <w:tcW w:w="1879"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04</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val="en-US" w:eastAsia="zh-CN"/>
              </w:rPr>
              <w:t>01</w:t>
            </w:r>
          </w:p>
        </w:tc>
        <w:tc>
          <w:tcPr>
            <w:tcW w:w="179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05</w:t>
            </w:r>
          </w:p>
        </w:tc>
        <w:tc>
          <w:tcPr>
            <w:tcW w:w="1879"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刨花板</w:t>
            </w:r>
          </w:p>
        </w:tc>
        <w:tc>
          <w:tcPr>
            <w:tcW w:w="1879"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04</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val="en-US" w:eastAsia="zh-CN"/>
              </w:rPr>
              <w:t>01</w:t>
            </w:r>
          </w:p>
        </w:tc>
        <w:tc>
          <w:tcPr>
            <w:tcW w:w="1790"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03</w:t>
            </w:r>
          </w:p>
        </w:tc>
        <w:tc>
          <w:tcPr>
            <w:tcW w:w="1879"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浸渍胶膜纸饰面人造板</w:t>
            </w:r>
          </w:p>
        </w:tc>
        <w:tc>
          <w:tcPr>
            <w:tcW w:w="1879"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浸渍胶膜纸饰面胶合板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04</w:t>
            </w:r>
          </w:p>
        </w:tc>
        <w:tc>
          <w:tcPr>
            <w:tcW w:w="1406"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01</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val="en-US" w:eastAsia="zh-CN"/>
              </w:rPr>
              <w:t>03</w:t>
            </w:r>
          </w:p>
        </w:tc>
        <w:tc>
          <w:tcPr>
            <w:tcW w:w="1879"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建筑和装饰装修材料</w:t>
            </w:r>
          </w:p>
        </w:tc>
        <w:tc>
          <w:tcPr>
            <w:tcW w:w="1406"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人造板</w:t>
            </w:r>
          </w:p>
        </w:tc>
        <w:tc>
          <w:tcPr>
            <w:tcW w:w="1790" w:type="dxa"/>
            <w:vAlign w:val="center"/>
          </w:tcPr>
          <w:p>
            <w:pPr>
              <w:snapToGrid w:val="0"/>
              <w:jc w:val="center"/>
              <w:rPr>
                <w:rFonts w:hint="eastAsia" w:ascii="仿宋" w:hAnsi="仿宋" w:eastAsia="仿宋" w:cs="仿宋"/>
                <w:szCs w:val="21"/>
              </w:rPr>
            </w:pPr>
            <w:r>
              <w:rPr>
                <w:rFonts w:hint="eastAsia" w:ascii="仿宋" w:hAnsi="仿宋" w:eastAsia="仿宋" w:cs="仿宋"/>
                <w:szCs w:val="21"/>
                <w:lang w:eastAsia="zh-CN"/>
              </w:rPr>
              <w:t>浸渍胶膜纸饰面人造板</w:t>
            </w:r>
          </w:p>
        </w:tc>
        <w:tc>
          <w:tcPr>
            <w:tcW w:w="1879"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浸渍胶膜纸饰面细木工板</w:t>
            </w:r>
          </w:p>
        </w:tc>
      </w:tr>
    </w:tbl>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594"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本细则涉及产品种类：细木工板</w:t>
      </w:r>
      <w:r>
        <w:rPr>
          <w:rFonts w:hint="eastAsia" w:ascii="仿宋_GB2312" w:eastAsia="仿宋_GB2312"/>
          <w:sz w:val="28"/>
          <w:szCs w:val="28"/>
          <w:lang w:eastAsia="zh-CN"/>
        </w:rPr>
        <w:t>、浸渍胶膜纸饰面胶合板、浸渍胶膜纸饰面细木工板、普通胶合板、刨花板、中密度纤维板。</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3术语和定义</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4生产企业规模划分</w:t>
      </w:r>
    </w:p>
    <w:p>
      <w:pPr>
        <w:adjustRightInd w:val="0"/>
        <w:snapToGrid w:val="0"/>
        <w:spacing w:line="594" w:lineRule="exact"/>
        <w:ind w:firstLine="560" w:firstLineChars="200"/>
        <w:rPr>
          <w:shd w:val="clear" w:color="auto" w:fill="FFFFFF"/>
        </w:rPr>
      </w:pPr>
      <w:r>
        <w:rPr>
          <w:rFonts w:hint="eastAsia" w:ascii="仿宋_GB2312" w:eastAsia="仿宋_GB2312"/>
          <w:sz w:val="28"/>
          <w:szCs w:val="28"/>
        </w:rPr>
        <w:t>根据国家统计局印发的相关管理办法，确定生产企业规模。</w:t>
      </w:r>
    </w:p>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5检验依据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widowControl/>
        <w:snapToGrid w:val="0"/>
        <w:spacing w:line="360" w:lineRule="auto"/>
        <w:ind w:firstLine="537" w:firstLineChars="192"/>
        <w:rPr>
          <w:rFonts w:ascii="仿宋_GB2312" w:eastAsia="仿宋_GB2312"/>
          <w:sz w:val="28"/>
          <w:szCs w:val="28"/>
        </w:rPr>
      </w:pPr>
      <w:r>
        <w:rPr>
          <w:rFonts w:hint="eastAsia" w:ascii="仿宋_GB2312" w:eastAsia="仿宋_GB2312"/>
          <w:sz w:val="28"/>
          <w:szCs w:val="28"/>
        </w:rPr>
        <w:t>GB/T 18102-20</w:t>
      </w:r>
      <w:r>
        <w:rPr>
          <w:rFonts w:hint="eastAsia" w:ascii="仿宋_GB2312" w:eastAsia="仿宋_GB2312"/>
          <w:sz w:val="28"/>
          <w:szCs w:val="28"/>
          <w:lang w:val="en-US" w:eastAsia="zh-CN"/>
        </w:rPr>
        <w:t>20</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浸渍纸层压木质地板</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24507-2020</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浸渍纸层压板饰面多层实木复合地板</w:t>
      </w:r>
    </w:p>
    <w:p>
      <w:pPr>
        <w:widowControl/>
        <w:snapToGrid w:val="0"/>
        <w:spacing w:line="360" w:lineRule="auto"/>
        <w:ind w:firstLine="537" w:firstLineChars="192"/>
        <w:rPr>
          <w:rFonts w:hint="eastAsia" w:ascii="仿宋" w:hAnsi="仿宋" w:eastAsia="仿宋" w:cs="仿宋"/>
          <w:color w:val="000000"/>
          <w:sz w:val="28"/>
          <w:szCs w:val="28"/>
        </w:rPr>
      </w:pPr>
      <w:r>
        <w:rPr>
          <w:rFonts w:hint="eastAsia" w:ascii="仿宋_GB2312" w:eastAsia="仿宋_GB2312"/>
          <w:sz w:val="28"/>
          <w:szCs w:val="28"/>
        </w:rPr>
        <w:t>GB/T 18103-2013  实木复合地板</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GB/T 24508-2020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木塑地板</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现行有效的企业标准、团体标准、地方标准及产品明示质量要求相关的法律法规、部门规章和规范。</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6抽样</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6.1抽样型号或规格</w:t>
      </w:r>
    </w:p>
    <w:p>
      <w:pPr>
        <w:spacing w:line="594" w:lineRule="exact"/>
        <w:ind w:firstLine="560" w:firstLineChars="200"/>
        <w:rPr>
          <w:rFonts w:ascii="仿宋_GB2312" w:hAnsi="仿宋" w:eastAsia="仿宋_GB2312"/>
          <w:sz w:val="28"/>
          <w:szCs w:val="28"/>
        </w:rPr>
      </w:pPr>
      <w:r>
        <w:rPr>
          <w:rFonts w:hint="eastAsia" w:ascii="仿宋_GB2312" w:hAnsi="仿宋" w:eastAsia="仿宋_GB2312"/>
          <w:sz w:val="28"/>
          <w:szCs w:val="28"/>
        </w:rPr>
        <w:t>抽取样品应为同一型号规格、同一批次或相近批次、经过企业检验合格的产品。</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6.2抽样基数、抽样数量</w:t>
      </w:r>
    </w:p>
    <w:p>
      <w:pPr>
        <w:adjustRightInd w:val="0"/>
        <w:snapToGrid w:val="0"/>
        <w:spacing w:line="594" w:lineRule="exact"/>
        <w:ind w:firstLine="560" w:firstLineChars="200"/>
        <w:jc w:val="left"/>
        <w:rPr>
          <w:rFonts w:ascii="仿宋_GB2312" w:hAnsi="仿宋" w:eastAsia="仿宋_GB2312"/>
          <w:sz w:val="28"/>
          <w:szCs w:val="28"/>
        </w:rPr>
      </w:pPr>
      <w:r>
        <w:rPr>
          <w:rFonts w:hint="eastAsia" w:ascii="仿宋_GB2312" w:eastAsia="仿宋_GB2312"/>
          <w:sz w:val="28"/>
          <w:szCs w:val="28"/>
        </w:rPr>
        <w:t>6.2.1</w:t>
      </w:r>
      <w:r>
        <w:rPr>
          <w:rFonts w:hint="eastAsia" w:ascii="仿宋_GB2312" w:hAnsi="仿宋" w:eastAsia="仿宋_GB2312"/>
          <w:sz w:val="28"/>
          <w:szCs w:val="28"/>
        </w:rPr>
        <w:t>流通领域抽样在</w:t>
      </w:r>
      <w:r>
        <w:rPr>
          <w:rFonts w:hint="eastAsia" w:ascii="仿宋_GB2312" w:hAnsi="仿宋" w:eastAsia="仿宋_GB2312"/>
          <w:sz w:val="28"/>
          <w:szCs w:val="28"/>
          <w:lang w:eastAsia="zh-CN"/>
        </w:rPr>
        <w:t>盘锦市</w:t>
      </w:r>
      <w:r>
        <w:rPr>
          <w:rFonts w:hint="eastAsia" w:ascii="仿宋_GB2312" w:hAnsi="仿宋" w:eastAsia="仿宋_GB2312"/>
          <w:sz w:val="28"/>
          <w:szCs w:val="28"/>
        </w:rPr>
        <w:t>行政区域内的</w:t>
      </w:r>
      <w:r>
        <w:rPr>
          <w:rFonts w:hint="eastAsia" w:ascii="仿宋_GB2312" w:hAnsi="宋体" w:eastAsia="仿宋_GB2312"/>
          <w:sz w:val="28"/>
          <w:szCs w:val="28"/>
        </w:rPr>
        <w:t>商场、专卖店、大中型超市、日杂批发市场</w:t>
      </w:r>
      <w:r>
        <w:rPr>
          <w:rFonts w:hint="eastAsia" w:ascii="仿宋_GB2312" w:hAnsi="仿宋" w:eastAsia="仿宋_GB2312"/>
          <w:sz w:val="28"/>
          <w:szCs w:val="28"/>
        </w:rPr>
        <w:t>，检验样品付费购买；备用样品由受检单位先行无偿提供。</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6.2.2抽样基数</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594" w:lineRule="exact"/>
        <w:ind w:firstLine="560" w:firstLineChars="200"/>
        <w:rPr>
          <w:rFonts w:hint="eastAsia" w:ascii="仿宋_GB2312" w:eastAsia="仿宋_GB2312"/>
          <w:sz w:val="28"/>
          <w:szCs w:val="28"/>
        </w:rPr>
      </w:pPr>
      <w:r>
        <w:rPr>
          <w:rFonts w:hint="eastAsia" w:ascii="仿宋_GB2312" w:eastAsia="仿宋_GB2312"/>
          <w:sz w:val="28"/>
          <w:szCs w:val="28"/>
        </w:rPr>
        <w:t>6.2.3抽样数量</w:t>
      </w:r>
    </w:p>
    <w:p>
      <w:pPr>
        <w:pStyle w:val="2"/>
        <w:jc w:val="center"/>
        <w:rPr>
          <w:rFonts w:hint="eastAsia" w:ascii="仿宋" w:hAnsi="仿宋" w:eastAsia="仿宋" w:cs="仿宋"/>
          <w:sz w:val="24"/>
          <w:szCs w:val="24"/>
          <w:lang w:val="en-US" w:eastAsia="zh-CN"/>
        </w:rPr>
      </w:pPr>
      <w:r>
        <w:rPr>
          <w:rFonts w:hint="eastAsia" w:ascii="仿宋" w:hAnsi="仿宋" w:eastAsia="仿宋" w:cs="仿宋"/>
          <w:color w:val="000000" w:themeColor="text1"/>
          <w:sz w:val="24"/>
          <w:szCs w:val="24"/>
          <w14:textFill>
            <w14:solidFill>
              <w14:schemeClr w14:val="tx1"/>
            </w14:solidFill>
          </w14:textFill>
        </w:rPr>
        <w:t>表</w:t>
      </w:r>
      <w:r>
        <w:rPr>
          <w:rFonts w:hint="eastAsia" w:ascii="仿宋" w:hAnsi="仿宋" w:eastAsia="仿宋" w:cs="仿宋"/>
          <w:color w:val="000000" w:themeColor="text1"/>
          <w:sz w:val="24"/>
          <w:szCs w:val="24"/>
          <w:lang w:val="en-US" w:eastAsia="zh-CN"/>
          <w14:textFill>
            <w14:solidFill>
              <w14:schemeClr w14:val="tx1"/>
            </w14:solidFill>
          </w14:textFill>
        </w:rPr>
        <w:t>2  抽样数量</w:t>
      </w:r>
    </w:p>
    <w:tbl>
      <w:tblPr>
        <w:tblStyle w:val="8"/>
        <w:tblW w:w="50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56"/>
        <w:gridCol w:w="1746"/>
        <w:gridCol w:w="1016"/>
        <w:gridCol w:w="3827"/>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3" w:hRule="atLeast"/>
          <w:jc w:val="center"/>
        </w:trPr>
        <w:tc>
          <w:tcPr>
            <w:tcW w:w="373"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993"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产品种类</w:t>
            </w:r>
          </w:p>
        </w:tc>
        <w:tc>
          <w:tcPr>
            <w:tcW w:w="578"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抽样数量</w:t>
            </w:r>
          </w:p>
        </w:tc>
        <w:tc>
          <w:tcPr>
            <w:tcW w:w="2176"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检验样品数量</w:t>
            </w:r>
          </w:p>
        </w:tc>
        <w:tc>
          <w:tcPr>
            <w:tcW w:w="877"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jc w:val="center"/>
        </w:trPr>
        <w:tc>
          <w:tcPr>
            <w:tcW w:w="37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993"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细木工板</w:t>
            </w:r>
          </w:p>
        </w:tc>
        <w:tc>
          <w:tcPr>
            <w:tcW w:w="57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2张</w:t>
            </w:r>
          </w:p>
        </w:tc>
        <w:tc>
          <w:tcPr>
            <w:tcW w:w="2176"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1张截取尺寸为600mm×700mm三块、500mm×500mm二块作为检样</w:t>
            </w:r>
          </w:p>
        </w:tc>
        <w:tc>
          <w:tcPr>
            <w:tcW w:w="877" w:type="pct"/>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jc w:val="center"/>
        </w:trPr>
        <w:tc>
          <w:tcPr>
            <w:tcW w:w="37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993"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浸渍胶膜纸饰面胶合板和细木工板</w:t>
            </w:r>
          </w:p>
        </w:tc>
        <w:tc>
          <w:tcPr>
            <w:tcW w:w="57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2张</w:t>
            </w:r>
          </w:p>
        </w:tc>
        <w:tc>
          <w:tcPr>
            <w:tcW w:w="2176"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1张截取尺寸为600mm×700mm三块、500mm×500mm二块作为检样</w:t>
            </w:r>
          </w:p>
        </w:tc>
        <w:tc>
          <w:tcPr>
            <w:tcW w:w="877"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37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993" w:type="pct"/>
            <w:noWrap w:val="0"/>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普通胶合板</w:t>
            </w:r>
          </w:p>
        </w:tc>
        <w:tc>
          <w:tcPr>
            <w:tcW w:w="57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2张</w:t>
            </w:r>
          </w:p>
        </w:tc>
        <w:tc>
          <w:tcPr>
            <w:tcW w:w="2176"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1张截取尺寸为600mm×700mm三块、500mm×500mm二块作为检样</w:t>
            </w:r>
          </w:p>
        </w:tc>
        <w:tc>
          <w:tcPr>
            <w:tcW w:w="877"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37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99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刨花板</w:t>
            </w:r>
          </w:p>
        </w:tc>
        <w:tc>
          <w:tcPr>
            <w:tcW w:w="57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2张</w:t>
            </w:r>
          </w:p>
        </w:tc>
        <w:tc>
          <w:tcPr>
            <w:tcW w:w="2176"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1张截取尺寸为600mm×700mm三块、500mm×500mm二块作为检样</w:t>
            </w:r>
          </w:p>
        </w:tc>
        <w:tc>
          <w:tcPr>
            <w:tcW w:w="877" w:type="pct"/>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373"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993" w:type="pct"/>
            <w:noWrap w:val="0"/>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中密度纤维板</w:t>
            </w:r>
          </w:p>
        </w:tc>
        <w:tc>
          <w:tcPr>
            <w:tcW w:w="578"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2张</w:t>
            </w:r>
          </w:p>
        </w:tc>
        <w:tc>
          <w:tcPr>
            <w:tcW w:w="2176" w:type="pct"/>
            <w:noWrap w:val="0"/>
            <w:vAlign w:val="center"/>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sz w:val="24"/>
                <w:szCs w:val="24"/>
              </w:rPr>
              <w:t>1张截取尺寸为1000mm×1000mm二块并标明板长方向及正反面，作为检样</w:t>
            </w:r>
          </w:p>
        </w:tc>
        <w:tc>
          <w:tcPr>
            <w:tcW w:w="877" w:type="pct"/>
            <w:noWrap w:val="0"/>
            <w:vAlign w:val="center"/>
          </w:tcPr>
          <w:p>
            <w:pPr>
              <w:snapToGrid w:val="0"/>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1张</w:t>
            </w:r>
          </w:p>
        </w:tc>
      </w:tr>
    </w:tbl>
    <w:p>
      <w:pPr>
        <w:adjustRightInd w:val="0"/>
        <w:snapToGrid w:val="0"/>
        <w:spacing w:before="312" w:beforeLines="100" w:line="594" w:lineRule="exact"/>
        <w:ind w:firstLine="560" w:firstLineChars="200"/>
        <w:rPr>
          <w:rFonts w:ascii="仿宋_GB2312" w:eastAsia="仿宋_GB2312"/>
          <w:sz w:val="28"/>
          <w:szCs w:val="28"/>
        </w:rPr>
      </w:pPr>
      <w:r>
        <w:rPr>
          <w:rFonts w:hint="eastAsia" w:ascii="仿宋_GB2312" w:eastAsia="仿宋_GB2312"/>
          <w:sz w:val="28"/>
          <w:szCs w:val="28"/>
          <w:lang w:val="en-US" w:eastAsia="zh-CN"/>
        </w:rPr>
        <w:t>6.2</w:t>
      </w:r>
      <w:r>
        <w:rPr>
          <w:rFonts w:hint="eastAsia" w:ascii="仿宋_GB2312" w:eastAsia="仿宋_GB2312"/>
          <w:sz w:val="28"/>
          <w:szCs w:val="28"/>
        </w:rPr>
        <w:t>.4抽样时应注意的问题</w:t>
      </w:r>
    </w:p>
    <w:p>
      <w:pPr>
        <w:spacing w:line="594" w:lineRule="exact"/>
        <w:ind w:firstLine="560" w:firstLineChars="200"/>
        <w:rPr>
          <w:rFonts w:ascii="仿宋_GB2312" w:eastAsia="仿宋_GB2312"/>
          <w:sz w:val="28"/>
          <w:szCs w:val="28"/>
        </w:rPr>
      </w:pPr>
      <w:r>
        <w:rPr>
          <w:rFonts w:hint="eastAsia" w:ascii="仿宋_GB2312" w:eastAsia="仿宋_GB2312"/>
          <w:sz w:val="28"/>
          <w:szCs w:val="28"/>
        </w:rPr>
        <w:t>6.2.4.1应由抽样技术人员在现场进行抽取，不得由受检单位自行抽样。抽取的样品应当是有产品质量检验合格证明或者以其他形式表明合格的产品。</w:t>
      </w:r>
    </w:p>
    <w:p>
      <w:pPr>
        <w:spacing w:line="594" w:lineRule="exact"/>
        <w:ind w:firstLine="560" w:firstLineChars="200"/>
        <w:rPr>
          <w:rFonts w:ascii="仿宋_GB2312" w:eastAsia="仿宋_GB2312" w:cs="仿宋_GB2312"/>
          <w:sz w:val="28"/>
          <w:szCs w:val="28"/>
        </w:rPr>
      </w:pPr>
      <w:r>
        <w:rPr>
          <w:rFonts w:hint="eastAsia" w:ascii="仿宋_GB2312" w:eastAsia="仿宋_GB2312"/>
          <w:sz w:val="28"/>
          <w:szCs w:val="28"/>
        </w:rPr>
        <w:t>6.2.4.2</w:t>
      </w:r>
      <w:r>
        <w:rPr>
          <w:rFonts w:hint="eastAsia" w:ascii="仿宋_GB2312" w:eastAsia="仿宋_GB2312" w:cs="仿宋_GB2312"/>
          <w:sz w:val="28"/>
          <w:szCs w:val="28"/>
        </w:rPr>
        <w:t>抽样时，抽样人员应当认真核实营业执照等被抽查企业的相关信息，确认企业不存在不得抽样的情形。</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6.3样品处置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检验用样品及备用样品应分别封样，应对样品包装箱进行完整签封（上下或左右），签封方式应有防拆封措施。同时应有相应影像记录。购买的备用样品封存于检验机构，由受检单位无偿提供的备用样品封存于受检单位</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封样单上应有被抽查企业和抽样技术人员的签名，注明抽样日期，并确认封样单牢固。</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ascii="仿宋_GB2312" w:eastAsia="仿宋_GB2312"/>
          <w:sz w:val="28"/>
          <w:szCs w:val="28"/>
        </w:rPr>
      </w:pPr>
      <w:r>
        <w:rPr>
          <w:rFonts w:hint="eastAsia" w:ascii="仿宋_GB2312" w:eastAsia="仿宋_GB2312"/>
          <w:sz w:val="28"/>
          <w:szCs w:val="28"/>
        </w:rPr>
        <w:t>6.4抽样单</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6.5其他要求</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594" w:lineRule="exact"/>
        <w:ind w:firstLine="560" w:firstLineChars="200"/>
        <w:rPr>
          <w:rFonts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7检验要求</w:t>
      </w:r>
    </w:p>
    <w:p>
      <w:pPr>
        <w:adjustRightInd w:val="0"/>
        <w:snapToGrid w:val="0"/>
        <w:spacing w:line="594" w:lineRule="exact"/>
        <w:ind w:firstLine="560" w:firstLineChars="200"/>
        <w:rPr>
          <w:rFonts w:ascii="仿宋_GB2312" w:eastAsia="仿宋_GB2312"/>
          <w:sz w:val="28"/>
          <w:szCs w:val="28"/>
        </w:rPr>
      </w:pPr>
      <w:r>
        <w:rPr>
          <w:rFonts w:hint="eastAsia" w:ascii="仿宋_GB2312" w:hAnsi="仿宋" w:eastAsia="仿宋_GB2312"/>
          <w:snapToGrid w:val="0"/>
          <w:sz w:val="28"/>
          <w:szCs w:val="28"/>
        </w:rPr>
        <w:t>7.1检验项目</w:t>
      </w:r>
    </w:p>
    <w:p>
      <w:pPr>
        <w:snapToGrid w:val="0"/>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lang w:eastAsia="zh-CN" w:bidi="ar"/>
        </w:rPr>
        <w:t>细木工板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65"/>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65"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7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含水率</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横向静曲强度</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胶合强度</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浸渍剥离试验</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表面胶合强度试验</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甲醛释放量</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 18580-2017</w:t>
            </w:r>
          </w:p>
        </w:tc>
      </w:tr>
    </w:tbl>
    <w:p>
      <w:pPr>
        <w:snapToGrid w:val="0"/>
        <w:spacing w:line="440" w:lineRule="exact"/>
        <w:jc w:val="center"/>
        <w:rPr>
          <w:rFonts w:hint="eastAsia" w:ascii="仿宋" w:hAnsi="仿宋" w:eastAsia="仿宋" w:cs="仿宋"/>
          <w:color w:val="000000"/>
          <w:sz w:val="24"/>
          <w:szCs w:val="24"/>
        </w:rPr>
      </w:pP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 xml:space="preserve">4 </w:t>
      </w:r>
      <w:r>
        <w:rPr>
          <w:rFonts w:hint="eastAsia" w:ascii="仿宋" w:hAnsi="仿宋" w:eastAsia="仿宋" w:cs="仿宋"/>
          <w:color w:val="000000"/>
          <w:kern w:val="0"/>
          <w:sz w:val="24"/>
          <w:szCs w:val="24"/>
          <w:lang w:val="en-US" w:eastAsia="zh-CN" w:bidi="ar"/>
        </w:rPr>
        <w:t>浸渍胶膜纸饰面胶合板和细木工板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48"/>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48"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700"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含水率</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胶合强度</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浸渍剥离</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横向静曲强度</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表面胶合强度</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表面耐磨</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7</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表面耐干热</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8</w:t>
            </w:r>
          </w:p>
        </w:tc>
        <w:tc>
          <w:tcPr>
            <w:tcW w:w="314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lang w:eastAsia="zh-CN"/>
              </w:rPr>
            </w:pPr>
            <w:r>
              <w:rPr>
                <w:rFonts w:hint="eastAsia" w:ascii="仿宋" w:hAnsi="仿宋" w:eastAsia="仿宋" w:cs="仿宋"/>
                <w:i w:val="0"/>
                <w:iCs w:val="0"/>
                <w:color w:val="000000"/>
                <w:kern w:val="0"/>
                <w:sz w:val="24"/>
                <w:szCs w:val="24"/>
                <w:u w:val="none"/>
                <w:lang w:val="en-US" w:eastAsia="zh-CN" w:bidi="ar"/>
              </w:rPr>
              <w:t>甲醛释放量</w:t>
            </w:r>
          </w:p>
        </w:tc>
        <w:tc>
          <w:tcPr>
            <w:tcW w:w="47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 18580-2017</w:t>
            </w:r>
          </w:p>
        </w:tc>
      </w:tr>
    </w:tbl>
    <w:p>
      <w:pPr>
        <w:snapToGrid w:val="0"/>
        <w:spacing w:line="440" w:lineRule="exact"/>
        <w:jc w:val="center"/>
        <w:rPr>
          <w:rFonts w:hint="eastAsia" w:ascii="仿宋" w:hAnsi="仿宋" w:eastAsia="仿宋" w:cs="仿宋"/>
          <w:b/>
          <w:bCs/>
          <w:color w:val="000000"/>
          <w:sz w:val="24"/>
          <w:szCs w:val="24"/>
        </w:rPr>
      </w:pPr>
    </w:p>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5</w:t>
      </w:r>
      <w:r>
        <w:rPr>
          <w:rFonts w:hint="eastAsia" w:ascii="仿宋" w:hAnsi="仿宋" w:eastAsia="仿宋" w:cs="仿宋"/>
          <w:color w:val="000000"/>
          <w:kern w:val="0"/>
          <w:sz w:val="24"/>
          <w:szCs w:val="24"/>
          <w:lang w:bidi="ar"/>
        </w:rPr>
        <w:t>普通胶合板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05"/>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05"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657" w:type="dxa"/>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0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含水率</w:t>
            </w:r>
          </w:p>
        </w:tc>
        <w:tc>
          <w:tcPr>
            <w:tcW w:w="465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0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浸渍剥离</w:t>
            </w:r>
          </w:p>
        </w:tc>
        <w:tc>
          <w:tcPr>
            <w:tcW w:w="465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0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静曲强度和弹性模量</w:t>
            </w:r>
          </w:p>
        </w:tc>
        <w:tc>
          <w:tcPr>
            <w:tcW w:w="465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0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甲醛释放量</w:t>
            </w:r>
          </w:p>
        </w:tc>
        <w:tc>
          <w:tcPr>
            <w:tcW w:w="465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 18580-2017</w:t>
            </w:r>
          </w:p>
        </w:tc>
      </w:tr>
    </w:tbl>
    <w:p>
      <w:pPr>
        <w:adjustRightInd w:val="0"/>
        <w:snapToGrid w:val="0"/>
        <w:spacing w:line="440" w:lineRule="exact"/>
        <w:ind w:firstLine="480" w:firstLineChars="200"/>
        <w:rPr>
          <w:rFonts w:hint="eastAsia" w:ascii="仿宋" w:hAnsi="仿宋" w:eastAsia="仿宋" w:cs="仿宋"/>
          <w:color w:val="000000"/>
          <w:sz w:val="24"/>
          <w:szCs w:val="24"/>
        </w:rPr>
      </w:pPr>
    </w:p>
    <w:p>
      <w:pPr>
        <w:snapToGrid w:val="0"/>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lang w:bidi="ar"/>
        </w:rPr>
        <w:t>刨花板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65"/>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65"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7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弹性模量</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静曲强度</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含水率</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吸水厚度膨胀率</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31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板内平均密度偏差</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31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甲醛释放量</w:t>
            </w:r>
          </w:p>
        </w:tc>
        <w:tc>
          <w:tcPr>
            <w:tcW w:w="471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GB 18580-2017</w:t>
            </w:r>
          </w:p>
        </w:tc>
      </w:tr>
    </w:tbl>
    <w:p>
      <w:pPr>
        <w:pStyle w:val="2"/>
        <w:rPr>
          <w:rFonts w:hint="eastAsia" w:ascii="仿宋" w:hAnsi="仿宋" w:eastAsia="仿宋" w:cs="仿宋"/>
          <w:sz w:val="24"/>
          <w:szCs w:val="24"/>
        </w:rPr>
      </w:pPr>
    </w:p>
    <w:p>
      <w:pPr>
        <w:snapToGrid w:val="0"/>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lang w:bidi="ar"/>
        </w:rPr>
        <w:t>中密度纤维板</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65"/>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65"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4717" w:type="dxa"/>
            <w:noWrap w:val="0"/>
            <w:vAlign w:val="top"/>
          </w:tcPr>
          <w:p>
            <w:pPr>
              <w:keepNext w:val="0"/>
              <w:keepLines w:val="0"/>
              <w:pageBreakBefore w:val="0"/>
              <w:kinsoku/>
              <w:wordWrap/>
              <w:overflowPunct/>
              <w:topLinePunct w:val="0"/>
              <w:autoSpaceDE/>
              <w:autoSpaceDN/>
              <w:bidi w:val="0"/>
              <w:adjustRightInd/>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密度</w:t>
            </w:r>
          </w:p>
        </w:tc>
        <w:tc>
          <w:tcPr>
            <w:tcW w:w="4717"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板内密度偏差</w:t>
            </w:r>
          </w:p>
        </w:tc>
        <w:tc>
          <w:tcPr>
            <w:tcW w:w="4717" w:type="dxa"/>
            <w:noWrap w:val="0"/>
            <w:vAlign w:val="top"/>
          </w:tcPr>
          <w:p>
            <w:pPr>
              <w:keepNext w:val="0"/>
              <w:keepLines w:val="0"/>
              <w:widowControl/>
              <w:suppressLineNumbers w:val="0"/>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含水率</w:t>
            </w:r>
          </w:p>
        </w:tc>
        <w:tc>
          <w:tcPr>
            <w:tcW w:w="4717" w:type="dxa"/>
            <w:noWrap w:val="0"/>
            <w:vAlign w:val="top"/>
          </w:tcPr>
          <w:p>
            <w:pPr>
              <w:keepNext w:val="0"/>
              <w:keepLines w:val="0"/>
              <w:widowControl/>
              <w:suppressLineNumbers w:val="0"/>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静曲强度</w:t>
            </w:r>
          </w:p>
        </w:tc>
        <w:tc>
          <w:tcPr>
            <w:tcW w:w="4717" w:type="dxa"/>
            <w:noWrap w:val="0"/>
            <w:vAlign w:val="top"/>
          </w:tcPr>
          <w:p>
            <w:pPr>
              <w:keepNext w:val="0"/>
              <w:keepLines w:val="0"/>
              <w:widowControl/>
              <w:suppressLineNumbers w:val="0"/>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11718-2009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弹性模量</w:t>
            </w:r>
          </w:p>
        </w:tc>
        <w:tc>
          <w:tcPr>
            <w:tcW w:w="4717" w:type="dxa"/>
            <w:noWrap w:val="0"/>
            <w:vAlign w:val="top"/>
          </w:tcPr>
          <w:p>
            <w:pPr>
              <w:keepNext w:val="0"/>
              <w:keepLines w:val="0"/>
              <w:widowControl/>
              <w:suppressLineNumbers w:val="0"/>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11718-2009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吸水厚度膨胀率</w:t>
            </w:r>
          </w:p>
        </w:tc>
        <w:tc>
          <w:tcPr>
            <w:tcW w:w="4717" w:type="dxa"/>
            <w:noWrap w:val="0"/>
            <w:vAlign w:val="top"/>
          </w:tcPr>
          <w:p>
            <w:pPr>
              <w:keepNext w:val="0"/>
              <w:keepLines w:val="0"/>
              <w:widowControl/>
              <w:suppressLineNumbers w:val="0"/>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GB/T 17657-2013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idowControl/>
              <w:suppressLineNumbers w:val="0"/>
              <w:kinsoku/>
              <w:wordWrap/>
              <w:overflowPunct/>
              <w:topLinePunct w:val="0"/>
              <w:autoSpaceDE/>
              <w:autoSpaceDN/>
              <w:bidi w:val="0"/>
              <w:adjustRightInd/>
              <w:spacing w:line="440" w:lineRule="exact"/>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7</w:t>
            </w:r>
          </w:p>
        </w:tc>
        <w:tc>
          <w:tcPr>
            <w:tcW w:w="3165"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甲醛释放量</w:t>
            </w:r>
          </w:p>
        </w:tc>
        <w:tc>
          <w:tcPr>
            <w:tcW w:w="4717" w:type="dxa"/>
            <w:noWrap w:val="0"/>
            <w:vAlign w:val="top"/>
          </w:tcPr>
          <w:p>
            <w:pPr>
              <w:keepNext w:val="0"/>
              <w:keepLines w:val="0"/>
              <w:widowControl/>
              <w:suppressLineNumbers w:val="0"/>
              <w:jc w:val="center"/>
              <w:textAlignment w:val="top"/>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GB 18580-2017</w:t>
            </w:r>
          </w:p>
        </w:tc>
      </w:tr>
    </w:tbl>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2</w:t>
      </w:r>
      <w:r>
        <w:rPr>
          <w:rFonts w:hint="eastAsia" w:ascii="仿宋_GB2312" w:eastAsia="仿宋_GB2312"/>
          <w:sz w:val="28"/>
          <w:szCs w:val="28"/>
        </w:rPr>
        <w:t>检验应注意的问题</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8判定原则</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9.1核查不合格项目相关证据，能够以记录（纸质记录或电子记录或影像记录）或与不合格项目相关联的其它质量数据等检验证据证明。</w:t>
      </w:r>
    </w:p>
    <w:p>
      <w:pPr>
        <w:adjustRightInd w:val="0"/>
        <w:snapToGrid w:val="0"/>
        <w:spacing w:line="594" w:lineRule="exact"/>
        <w:ind w:firstLine="560" w:firstLineChars="200"/>
        <w:rPr>
          <w:rFonts w:hint="eastAsia" w:ascii="仿宋_GB2312" w:eastAsia="仿宋_GB2312"/>
          <w:sz w:val="28"/>
          <w:szCs w:val="28"/>
        </w:rPr>
      </w:pPr>
      <w:r>
        <w:rPr>
          <w:rFonts w:hint="eastAsia" w:ascii="仿宋_GB2312" w:eastAsia="仿宋_GB2312"/>
          <w:sz w:val="28"/>
          <w:szCs w:val="28"/>
        </w:rPr>
        <w:t>9.2对需要复检并具备检验条件的，处理企业异议的市场监督管理部门或者指定检验机构应当按原监督抽查细则对留存的样品或抽取的备用样品组织复检，并出具检验报告。复检结论为最终结论。</w:t>
      </w: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lang w:val="en-US" w:eastAsia="zh-CN"/>
        </w:rPr>
        <w:t>10</w:t>
      </w:r>
      <w:r>
        <w:rPr>
          <w:rFonts w:hint="eastAsia" w:ascii="仿宋_GB2312" w:eastAsia="仿宋_GB2312"/>
          <w:b w:val="0"/>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pStyle w:val="2"/>
      </w:pPr>
      <w:bookmarkStart w:id="0" w:name="_GoBack"/>
      <w:bookmarkEnd w:id="0"/>
    </w:p>
    <w:sectPr>
      <w:footerReference r:id="rId3" w:type="default"/>
      <w:pgSz w:w="11906" w:h="16838"/>
      <w:pgMar w:top="1701" w:right="1644" w:bottom="170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B32679"/>
    <w:rsid w:val="00014F35"/>
    <w:rsid w:val="000204C4"/>
    <w:rsid w:val="00053EFC"/>
    <w:rsid w:val="000623B5"/>
    <w:rsid w:val="00070754"/>
    <w:rsid w:val="00073B28"/>
    <w:rsid w:val="0008672C"/>
    <w:rsid w:val="000930C6"/>
    <w:rsid w:val="00097F4F"/>
    <w:rsid w:val="000A718D"/>
    <w:rsid w:val="000A7648"/>
    <w:rsid w:val="000B46E9"/>
    <w:rsid w:val="000B5BF2"/>
    <w:rsid w:val="000C40CF"/>
    <w:rsid w:val="000E4826"/>
    <w:rsid w:val="000F79E9"/>
    <w:rsid w:val="000F7DB4"/>
    <w:rsid w:val="001300B3"/>
    <w:rsid w:val="00130529"/>
    <w:rsid w:val="00141995"/>
    <w:rsid w:val="00190AE8"/>
    <w:rsid w:val="001A2372"/>
    <w:rsid w:val="001B6E21"/>
    <w:rsid w:val="001C3E50"/>
    <w:rsid w:val="001C6932"/>
    <w:rsid w:val="001D3D4A"/>
    <w:rsid w:val="001D4CF7"/>
    <w:rsid w:val="001E71D1"/>
    <w:rsid w:val="001F0EEF"/>
    <w:rsid w:val="001F1C54"/>
    <w:rsid w:val="001F445B"/>
    <w:rsid w:val="0025241A"/>
    <w:rsid w:val="002704EE"/>
    <w:rsid w:val="002776F4"/>
    <w:rsid w:val="0028765B"/>
    <w:rsid w:val="00294A42"/>
    <w:rsid w:val="002B49FB"/>
    <w:rsid w:val="002B783E"/>
    <w:rsid w:val="002E70FD"/>
    <w:rsid w:val="003076DF"/>
    <w:rsid w:val="00341A24"/>
    <w:rsid w:val="00345DF4"/>
    <w:rsid w:val="003626D0"/>
    <w:rsid w:val="00373FB4"/>
    <w:rsid w:val="0037771F"/>
    <w:rsid w:val="003812B8"/>
    <w:rsid w:val="00387151"/>
    <w:rsid w:val="00387BC2"/>
    <w:rsid w:val="003901CA"/>
    <w:rsid w:val="00396E4A"/>
    <w:rsid w:val="00397AD9"/>
    <w:rsid w:val="003A5FDA"/>
    <w:rsid w:val="003A773D"/>
    <w:rsid w:val="003B64F6"/>
    <w:rsid w:val="003C2030"/>
    <w:rsid w:val="003D558C"/>
    <w:rsid w:val="003F6E0B"/>
    <w:rsid w:val="00400181"/>
    <w:rsid w:val="00401EBD"/>
    <w:rsid w:val="00413A29"/>
    <w:rsid w:val="0041721D"/>
    <w:rsid w:val="00422D25"/>
    <w:rsid w:val="00431DF0"/>
    <w:rsid w:val="00435B96"/>
    <w:rsid w:val="00474497"/>
    <w:rsid w:val="0048725B"/>
    <w:rsid w:val="004911A3"/>
    <w:rsid w:val="004C6996"/>
    <w:rsid w:val="004D363B"/>
    <w:rsid w:val="004E0A2B"/>
    <w:rsid w:val="00500F8C"/>
    <w:rsid w:val="005017AC"/>
    <w:rsid w:val="00506CA8"/>
    <w:rsid w:val="00517D56"/>
    <w:rsid w:val="00522D22"/>
    <w:rsid w:val="00527EE9"/>
    <w:rsid w:val="00535688"/>
    <w:rsid w:val="005535EA"/>
    <w:rsid w:val="0055450C"/>
    <w:rsid w:val="00561759"/>
    <w:rsid w:val="00585440"/>
    <w:rsid w:val="00591CFA"/>
    <w:rsid w:val="005B1CBA"/>
    <w:rsid w:val="005D21DE"/>
    <w:rsid w:val="005D5D25"/>
    <w:rsid w:val="005E7252"/>
    <w:rsid w:val="00601AE5"/>
    <w:rsid w:val="00602822"/>
    <w:rsid w:val="006109C5"/>
    <w:rsid w:val="00616651"/>
    <w:rsid w:val="00642116"/>
    <w:rsid w:val="0064672C"/>
    <w:rsid w:val="00655BF3"/>
    <w:rsid w:val="006579D3"/>
    <w:rsid w:val="0066127D"/>
    <w:rsid w:val="0067014B"/>
    <w:rsid w:val="00672090"/>
    <w:rsid w:val="00673170"/>
    <w:rsid w:val="0067546D"/>
    <w:rsid w:val="00676455"/>
    <w:rsid w:val="00694E22"/>
    <w:rsid w:val="00694E7B"/>
    <w:rsid w:val="006A37F9"/>
    <w:rsid w:val="006C2F2A"/>
    <w:rsid w:val="006C40C9"/>
    <w:rsid w:val="006C6256"/>
    <w:rsid w:val="006D44E0"/>
    <w:rsid w:val="006D67D2"/>
    <w:rsid w:val="006E0EB3"/>
    <w:rsid w:val="006E202F"/>
    <w:rsid w:val="006E49E5"/>
    <w:rsid w:val="006F0477"/>
    <w:rsid w:val="006F3A1F"/>
    <w:rsid w:val="006F64A7"/>
    <w:rsid w:val="007024A4"/>
    <w:rsid w:val="00703F28"/>
    <w:rsid w:val="0071325A"/>
    <w:rsid w:val="0072053A"/>
    <w:rsid w:val="00725A28"/>
    <w:rsid w:val="007425B8"/>
    <w:rsid w:val="007509E8"/>
    <w:rsid w:val="00771CBF"/>
    <w:rsid w:val="00780717"/>
    <w:rsid w:val="00784475"/>
    <w:rsid w:val="007920FB"/>
    <w:rsid w:val="00795803"/>
    <w:rsid w:val="007F1EC3"/>
    <w:rsid w:val="0083253B"/>
    <w:rsid w:val="0083269E"/>
    <w:rsid w:val="0086199A"/>
    <w:rsid w:val="00862CA8"/>
    <w:rsid w:val="00864767"/>
    <w:rsid w:val="00865236"/>
    <w:rsid w:val="008735DD"/>
    <w:rsid w:val="008741C9"/>
    <w:rsid w:val="00885EF2"/>
    <w:rsid w:val="00891150"/>
    <w:rsid w:val="008A7442"/>
    <w:rsid w:val="008B29A9"/>
    <w:rsid w:val="008C6985"/>
    <w:rsid w:val="00904983"/>
    <w:rsid w:val="00907571"/>
    <w:rsid w:val="0091728B"/>
    <w:rsid w:val="009312EA"/>
    <w:rsid w:val="00957B40"/>
    <w:rsid w:val="009741E2"/>
    <w:rsid w:val="00985542"/>
    <w:rsid w:val="0098705C"/>
    <w:rsid w:val="009B19BD"/>
    <w:rsid w:val="009B65CD"/>
    <w:rsid w:val="009C010E"/>
    <w:rsid w:val="009C070A"/>
    <w:rsid w:val="009D01CC"/>
    <w:rsid w:val="009D4E50"/>
    <w:rsid w:val="00A21244"/>
    <w:rsid w:val="00A66407"/>
    <w:rsid w:val="00A8269E"/>
    <w:rsid w:val="00AA06F9"/>
    <w:rsid w:val="00AA1224"/>
    <w:rsid w:val="00AE3359"/>
    <w:rsid w:val="00AE7967"/>
    <w:rsid w:val="00B03A40"/>
    <w:rsid w:val="00B043A5"/>
    <w:rsid w:val="00B10826"/>
    <w:rsid w:val="00B20DCF"/>
    <w:rsid w:val="00B32679"/>
    <w:rsid w:val="00B70C44"/>
    <w:rsid w:val="00B71B29"/>
    <w:rsid w:val="00B738C7"/>
    <w:rsid w:val="00B813C6"/>
    <w:rsid w:val="00B864DB"/>
    <w:rsid w:val="00B938E2"/>
    <w:rsid w:val="00BB3727"/>
    <w:rsid w:val="00BB6052"/>
    <w:rsid w:val="00BC5EBE"/>
    <w:rsid w:val="00BD56E4"/>
    <w:rsid w:val="00BE410C"/>
    <w:rsid w:val="00C00962"/>
    <w:rsid w:val="00C023B0"/>
    <w:rsid w:val="00C731A1"/>
    <w:rsid w:val="00C80094"/>
    <w:rsid w:val="00CC70FE"/>
    <w:rsid w:val="00CE33AA"/>
    <w:rsid w:val="00CE3EEC"/>
    <w:rsid w:val="00CE626B"/>
    <w:rsid w:val="00CE7A86"/>
    <w:rsid w:val="00D21591"/>
    <w:rsid w:val="00D511F5"/>
    <w:rsid w:val="00D53080"/>
    <w:rsid w:val="00D5315E"/>
    <w:rsid w:val="00D71625"/>
    <w:rsid w:val="00D77A15"/>
    <w:rsid w:val="00D82F23"/>
    <w:rsid w:val="00DB17A3"/>
    <w:rsid w:val="00DB51A6"/>
    <w:rsid w:val="00DD76E0"/>
    <w:rsid w:val="00E0495E"/>
    <w:rsid w:val="00E0683A"/>
    <w:rsid w:val="00E11DB4"/>
    <w:rsid w:val="00E24F62"/>
    <w:rsid w:val="00E25CB8"/>
    <w:rsid w:val="00E4383B"/>
    <w:rsid w:val="00E47A1C"/>
    <w:rsid w:val="00E57036"/>
    <w:rsid w:val="00E67A5D"/>
    <w:rsid w:val="00E75C4E"/>
    <w:rsid w:val="00E84E68"/>
    <w:rsid w:val="00E918C6"/>
    <w:rsid w:val="00E97924"/>
    <w:rsid w:val="00EC0A1C"/>
    <w:rsid w:val="00EC46F1"/>
    <w:rsid w:val="00EC5562"/>
    <w:rsid w:val="00ED32BF"/>
    <w:rsid w:val="00ED6E86"/>
    <w:rsid w:val="00EE637B"/>
    <w:rsid w:val="00F04F3B"/>
    <w:rsid w:val="00F15A10"/>
    <w:rsid w:val="00F15D77"/>
    <w:rsid w:val="00F33E4B"/>
    <w:rsid w:val="00F35E82"/>
    <w:rsid w:val="00F363AD"/>
    <w:rsid w:val="00F54A74"/>
    <w:rsid w:val="00F55E33"/>
    <w:rsid w:val="00F6554B"/>
    <w:rsid w:val="00F67C53"/>
    <w:rsid w:val="00F7538D"/>
    <w:rsid w:val="00F7631B"/>
    <w:rsid w:val="00FA62AA"/>
    <w:rsid w:val="00FB0D1C"/>
    <w:rsid w:val="00FD30CE"/>
    <w:rsid w:val="00FE3786"/>
    <w:rsid w:val="047B6E55"/>
    <w:rsid w:val="0F6F5916"/>
    <w:rsid w:val="0F982805"/>
    <w:rsid w:val="354925FA"/>
    <w:rsid w:val="3960230B"/>
    <w:rsid w:val="3BD10CA3"/>
    <w:rsid w:val="41811BF6"/>
    <w:rsid w:val="424C0FE7"/>
    <w:rsid w:val="43544F2A"/>
    <w:rsid w:val="460C775D"/>
    <w:rsid w:val="4E7E71EB"/>
    <w:rsid w:val="5C8D47B8"/>
    <w:rsid w:val="5D5C01D5"/>
    <w:rsid w:val="60215D14"/>
    <w:rsid w:val="611F6A8F"/>
    <w:rsid w:val="68121426"/>
    <w:rsid w:val="681E22A3"/>
    <w:rsid w:val="74C3265F"/>
    <w:rsid w:val="751C4A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Plain Text"/>
    <w:basedOn w:val="1"/>
    <w:unhideWhenUsed/>
    <w:qFormat/>
    <w:uiPriority w:val="0"/>
    <w:rPr>
      <w:rFonts w:ascii="宋体" w:hAnsi="Courier New"/>
      <w:kern w:val="0"/>
      <w:sz w:val="20"/>
      <w:szCs w:val="2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1"/>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semiHidden/>
    <w:qFormat/>
    <w:uiPriority w:val="99"/>
    <w:rPr>
      <w:rFonts w:ascii="Calibri" w:hAnsi="Calibri" w:eastAsia="宋体" w:cs="Times New Roman"/>
      <w:sz w:val="18"/>
      <w:szCs w:val="18"/>
    </w:rPr>
  </w:style>
  <w:style w:type="paragraph" w:customStyle="1" w:styleId="12">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页脚 Char"/>
    <w:basedOn w:val="10"/>
    <w:link w:val="6"/>
    <w:qFormat/>
    <w:uiPriority w:val="99"/>
    <w:rPr>
      <w:rFonts w:ascii="Calibri" w:hAnsi="Calibri" w:eastAsia="宋体" w:cs="Times New Roman"/>
      <w:sz w:val="18"/>
      <w:szCs w:val="18"/>
    </w:rPr>
  </w:style>
  <w:style w:type="character" w:customStyle="1" w:styleId="15">
    <w:name w:val="日期 Char"/>
    <w:basedOn w:val="10"/>
    <w:link w:val="4"/>
    <w:semiHidden/>
    <w:qFormat/>
    <w:uiPriority w:val="99"/>
    <w:rPr>
      <w:rFonts w:ascii="Calibri" w:hAnsi="Calibri" w:eastAsia="宋体" w:cs="Times New Roman"/>
    </w:rPr>
  </w:style>
  <w:style w:type="paragraph" w:customStyle="1" w:styleId="16">
    <w:name w:val="列出段落1"/>
    <w:basedOn w:val="1"/>
    <w:next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2373</Words>
  <Characters>2945</Characters>
  <Lines>17</Lines>
  <Paragraphs>4</Paragraphs>
  <TotalTime>0</TotalTime>
  <ScaleCrop>false</ScaleCrop>
  <LinksUpToDate>false</LinksUpToDate>
  <CharactersWithSpaces>3003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2019-12-17T05:00:00Z</dcterms:created>
  <dc:creator>jiangdw</dc:creator>
  <cp:lastModifiedBy>dell</cp:lastModifiedBy>
  <dcterms:modified xsi:type="dcterms:W3CDTF">2022-07-18T00:44:40Z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524C9A09B9E4411EA3F9F1FDB8E81710</vt:lpwstr>
  </property>
</Properties>
</file>