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仿宋_GB2312"/>
          <w:b w:val="0"/>
          <w:bCs w:val="0"/>
          <w:spacing w:val="20"/>
          <w:w w:val="105"/>
          <w:sz w:val="36"/>
          <w:szCs w:val="36"/>
        </w:rPr>
      </w:pPr>
      <w:r>
        <w:rPr>
          <w:rFonts w:hint="eastAsia" w:ascii="仿宋" w:hAnsi="仿宋" w:eastAsia="仿宋" w:cs="仿宋"/>
          <w:b/>
          <w:bCs/>
          <w:color w:val="000000"/>
          <w:sz w:val="36"/>
          <w:szCs w:val="36"/>
          <w:lang w:val="en-US" w:eastAsia="zh-CN"/>
        </w:rPr>
        <w:t>2022年</w:t>
      </w:r>
      <w:r>
        <w:rPr>
          <w:rFonts w:hint="eastAsia" w:ascii="仿宋" w:hAnsi="仿宋" w:eastAsia="仿宋" w:cs="仿宋"/>
          <w:b/>
          <w:bCs/>
          <w:color w:val="000000"/>
          <w:sz w:val="36"/>
          <w:szCs w:val="36"/>
          <w:lang w:eastAsia="zh-CN"/>
        </w:rPr>
        <w:t>盘锦市</w:t>
      </w:r>
      <w:r>
        <w:rPr>
          <w:rFonts w:hint="eastAsia" w:ascii="仿宋_GB2312" w:hAnsi="宋体" w:eastAsia="仿宋_GB2312" w:cs="仿宋_GB2312"/>
          <w:b/>
          <w:bCs/>
          <w:spacing w:val="20"/>
          <w:w w:val="105"/>
          <w:sz w:val="36"/>
          <w:szCs w:val="36"/>
        </w:rPr>
        <w:t>水嘴产品质量监督抽查实施细则</w:t>
      </w:r>
    </w:p>
    <w:p>
      <w:pPr>
        <w:adjustRightInd w:val="0"/>
        <w:snapToGrid w:val="0"/>
        <w:spacing w:before="0" w:beforeLines="0" w:after="0" w:afterLines="0" w:line="594" w:lineRule="exact"/>
        <w:ind w:firstLine="560" w:firstLineChars="200"/>
        <w:rPr>
          <w:rFonts w:ascii="仿宋_GB2312" w:eastAsia="仿宋_GB2312" w:cs="仿宋_GB2312"/>
          <w:sz w:val="28"/>
          <w:szCs w:val="28"/>
        </w:rPr>
      </w:pPr>
    </w:p>
    <w:p>
      <w:pPr>
        <w:adjustRightInd w:val="0"/>
        <w:snapToGrid w:val="0"/>
        <w:spacing w:before="0" w:beforeLines="0" w:after="0" w:afterLines="0" w:line="594" w:lineRule="exact"/>
        <w:ind w:firstLine="560" w:firstLineChars="200"/>
        <w:rPr>
          <w:rFonts w:ascii="仿宋_GB2312" w:eastAsia="仿宋_GB2312" w:cs="Times New Roman"/>
          <w:sz w:val="28"/>
          <w:szCs w:val="28"/>
        </w:rPr>
      </w:pPr>
      <w:r>
        <w:rPr>
          <w:rFonts w:ascii="仿宋_GB2312" w:eastAsia="仿宋_GB2312" w:cs="仿宋_GB2312"/>
          <w:sz w:val="28"/>
          <w:szCs w:val="28"/>
        </w:rPr>
        <w:t>1</w:t>
      </w:r>
      <w:r>
        <w:rPr>
          <w:rFonts w:hint="eastAsia" w:ascii="仿宋_GB2312" w:eastAsia="仿宋_GB2312" w:cs="仿宋_GB2312"/>
          <w:sz w:val="28"/>
          <w:szCs w:val="28"/>
        </w:rPr>
        <w:t>适用</w:t>
      </w:r>
      <w:r>
        <w:rPr>
          <w:rFonts w:hint="eastAsia" w:ascii="仿宋_GB2312" w:hAnsi="宋体" w:eastAsia="仿宋_GB2312" w:cs="仿宋_GB2312"/>
          <w:sz w:val="28"/>
          <w:szCs w:val="28"/>
        </w:rPr>
        <w:t>范围</w:t>
      </w:r>
    </w:p>
    <w:p>
      <w:pPr>
        <w:adjustRightInd w:val="0"/>
        <w:snapToGrid w:val="0"/>
        <w:spacing w:line="594" w:lineRule="exact"/>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本细则适用于</w:t>
      </w:r>
      <w:r>
        <w:rPr>
          <w:rFonts w:hint="eastAsia" w:ascii="仿宋_GB2312" w:hAnsi="宋体" w:eastAsia="仿宋_GB2312" w:cs="仿宋_GB2312"/>
          <w:sz w:val="28"/>
          <w:szCs w:val="28"/>
          <w:lang w:eastAsia="zh-CN"/>
        </w:rPr>
        <w:t>盘锦市</w:t>
      </w:r>
      <w:r>
        <w:rPr>
          <w:rFonts w:hint="eastAsia" w:ascii="仿宋_GB2312" w:hAnsi="宋体" w:eastAsia="仿宋_GB2312" w:cs="仿宋_GB2312"/>
          <w:kern w:val="0"/>
          <w:sz w:val="28"/>
          <w:szCs w:val="28"/>
        </w:rPr>
        <w:t>水嘴</w:t>
      </w:r>
      <w:r>
        <w:rPr>
          <w:rFonts w:hint="eastAsia" w:ascii="仿宋_GB2312" w:hAnsi="宋体" w:eastAsia="仿宋_GB2312" w:cs="仿宋_GB2312"/>
          <w:sz w:val="28"/>
          <w:szCs w:val="28"/>
        </w:rPr>
        <w:t>产品质量监督抽查，针对特殊情况的专项抽查、</w:t>
      </w:r>
      <w:r>
        <w:rPr>
          <w:rFonts w:hint="eastAsia" w:ascii="仿宋_GB2312" w:hAnsi="宋体" w:eastAsia="仿宋_GB2312" w:cs="仿宋_GB2312"/>
          <w:sz w:val="28"/>
          <w:szCs w:val="28"/>
          <w:lang w:eastAsia="zh-CN"/>
        </w:rPr>
        <w:t>盘锦市</w:t>
      </w:r>
      <w:r>
        <w:rPr>
          <w:rFonts w:hint="eastAsia" w:ascii="仿宋_GB2312" w:hAnsi="宋体" w:eastAsia="仿宋_GB2312" w:cs="仿宋_GB2312"/>
          <w:sz w:val="28"/>
          <w:szCs w:val="28"/>
        </w:rPr>
        <w:t>内县级以上地方市场监督管理部门组织的地方监督抽查可参照执行。</w:t>
      </w:r>
      <w:r>
        <w:rPr>
          <w:rFonts w:hint="eastAsia" w:ascii="仿宋_GB2312" w:hAnsi="Calibri" w:eastAsia="仿宋_GB2312" w:cs="Times New Roman"/>
          <w:sz w:val="28"/>
          <w:szCs w:val="28"/>
        </w:rPr>
        <w:t>本细则内容包括产品分类、术语和定义、生产企业规模划分、检验依据、抽样、检验要求、判定原则、异议处理。</w:t>
      </w:r>
    </w:p>
    <w:p>
      <w:pPr>
        <w:adjustRightInd w:val="0"/>
        <w:snapToGrid w:val="0"/>
        <w:spacing w:before="0" w:beforeLines="0" w:after="0" w:afterLines="0" w:line="594" w:lineRule="exact"/>
        <w:ind w:firstLine="560" w:firstLineChars="200"/>
        <w:rPr>
          <w:rFonts w:ascii="仿宋_GB2312" w:eastAsia="仿宋_GB2312" w:cs="Times New Roman"/>
          <w:sz w:val="28"/>
          <w:szCs w:val="28"/>
        </w:rPr>
      </w:pPr>
      <w:r>
        <w:rPr>
          <w:rFonts w:ascii="仿宋_GB2312" w:eastAsia="仿宋_GB2312" w:cs="仿宋_GB2312"/>
          <w:sz w:val="28"/>
          <w:szCs w:val="28"/>
        </w:rPr>
        <w:t>2</w:t>
      </w:r>
      <w:r>
        <w:rPr>
          <w:rFonts w:hint="eastAsia" w:ascii="仿宋_GB2312" w:eastAsia="仿宋_GB2312" w:cs="仿宋_GB2312"/>
          <w:sz w:val="28"/>
          <w:szCs w:val="28"/>
        </w:rPr>
        <w:t>产品分类</w:t>
      </w:r>
    </w:p>
    <w:p>
      <w:pPr>
        <w:adjustRightInd w:val="0"/>
        <w:snapToGrid w:val="0"/>
        <w:spacing w:line="594" w:lineRule="exact"/>
        <w:ind w:firstLine="560" w:firstLineChars="200"/>
        <w:rPr>
          <w:rFonts w:ascii="仿宋_GB2312" w:eastAsia="仿宋_GB2312" w:cs="Times New Roman"/>
          <w:sz w:val="28"/>
          <w:szCs w:val="28"/>
        </w:rPr>
      </w:pPr>
      <w:r>
        <w:rPr>
          <w:rFonts w:ascii="仿宋_GB2312" w:eastAsia="仿宋_GB2312" w:cs="仿宋_GB2312"/>
          <w:sz w:val="28"/>
          <w:szCs w:val="28"/>
        </w:rPr>
        <w:t xml:space="preserve">2.1 </w:t>
      </w:r>
      <w:r>
        <w:rPr>
          <w:rFonts w:hint="eastAsia" w:ascii="仿宋_GB2312" w:eastAsia="仿宋_GB2312" w:cs="仿宋_GB2312"/>
          <w:sz w:val="28"/>
          <w:szCs w:val="28"/>
        </w:rPr>
        <w:t>产品分类及代码见表</w:t>
      </w:r>
      <w:r>
        <w:rPr>
          <w:rFonts w:ascii="仿宋_GB2312" w:eastAsia="仿宋_GB2312" w:cs="仿宋_GB2312"/>
          <w:sz w:val="28"/>
          <w:szCs w:val="28"/>
        </w:rPr>
        <w:t>1</w:t>
      </w:r>
      <w:r>
        <w:rPr>
          <w:rFonts w:hint="eastAsia" w:ascii="仿宋_GB2312" w:eastAsia="仿宋_GB2312" w:cs="仿宋_GB2312"/>
          <w:sz w:val="28"/>
          <w:szCs w:val="28"/>
        </w:rPr>
        <w:t>、表</w:t>
      </w:r>
      <w:r>
        <w:rPr>
          <w:rFonts w:ascii="仿宋_GB2312" w:eastAsia="仿宋_GB2312" w:cs="仿宋_GB2312"/>
          <w:sz w:val="28"/>
          <w:szCs w:val="28"/>
        </w:rPr>
        <w:t>2</w:t>
      </w:r>
    </w:p>
    <w:p>
      <w:pPr>
        <w:adjustRightInd w:val="0"/>
        <w:snapToGrid w:val="0"/>
        <w:spacing w:line="560" w:lineRule="exact"/>
        <w:jc w:val="center"/>
        <w:rPr>
          <w:rFonts w:hint="eastAsia" w:ascii="仿宋" w:hAnsi="仿宋" w:eastAsia="仿宋" w:cs="仿宋"/>
          <w:sz w:val="24"/>
          <w:szCs w:val="24"/>
        </w:rPr>
      </w:pPr>
      <w:r>
        <w:rPr>
          <w:rFonts w:hint="eastAsia" w:ascii="仿宋" w:hAnsi="仿宋" w:eastAsia="仿宋" w:cs="仿宋"/>
          <w:color w:val="000000"/>
          <w:sz w:val="24"/>
          <w:szCs w:val="24"/>
        </w:rPr>
        <w:t>表</w:t>
      </w: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 xml:space="preserve">  水嘴产品分类及代码</w:t>
      </w:r>
    </w:p>
    <w:tbl>
      <w:tblPr>
        <w:tblStyle w:val="14"/>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2471"/>
        <w:gridCol w:w="2065"/>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产品分类</w:t>
            </w:r>
          </w:p>
        </w:tc>
        <w:tc>
          <w:tcPr>
            <w:tcW w:w="2471" w:type="dxa"/>
            <w:vAlign w:val="center"/>
          </w:tcPr>
          <w:p>
            <w:pPr>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一级分类</w:t>
            </w:r>
          </w:p>
        </w:tc>
        <w:tc>
          <w:tcPr>
            <w:tcW w:w="2065" w:type="dxa"/>
            <w:vAlign w:val="center"/>
          </w:tcPr>
          <w:p>
            <w:pPr>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二级分类</w:t>
            </w:r>
          </w:p>
        </w:tc>
        <w:tc>
          <w:tcPr>
            <w:tcW w:w="2702" w:type="dxa"/>
            <w:vAlign w:val="center"/>
          </w:tcPr>
          <w:p>
            <w:pPr>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产品编码</w:t>
            </w:r>
            <w:r>
              <w:rPr>
                <w:rFonts w:hint="eastAsia" w:ascii="仿宋" w:hAnsi="仿宋" w:eastAsia="仿宋" w:cs="仿宋"/>
                <w:sz w:val="24"/>
                <w:szCs w:val="24"/>
                <w:lang w:eastAsia="zh-CN"/>
              </w:rPr>
              <w:t>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分类代码</w:t>
            </w:r>
          </w:p>
        </w:tc>
        <w:tc>
          <w:tcPr>
            <w:tcW w:w="2471" w:type="dxa"/>
            <w:vAlign w:val="center"/>
          </w:tcPr>
          <w:p>
            <w:pPr>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4</w:t>
            </w:r>
          </w:p>
        </w:tc>
        <w:tc>
          <w:tcPr>
            <w:tcW w:w="2065" w:type="dxa"/>
            <w:vAlign w:val="center"/>
          </w:tcPr>
          <w:p>
            <w:pPr>
              <w:snapToGrid w:val="0"/>
              <w:spacing w:line="240" w:lineRule="auto"/>
              <w:jc w:val="center"/>
              <w:rPr>
                <w:rFonts w:hint="eastAsia" w:ascii="仿宋" w:hAnsi="仿宋" w:eastAsia="仿宋" w:cs="仿宋"/>
                <w:sz w:val="24"/>
                <w:szCs w:val="24"/>
                <w:lang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p>
        </w:tc>
        <w:tc>
          <w:tcPr>
            <w:tcW w:w="2702" w:type="dxa"/>
            <w:vAlign w:val="center"/>
          </w:tcPr>
          <w:p>
            <w:pPr>
              <w:snapToGrid w:val="0"/>
              <w:spacing w:line="24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分类名称</w:t>
            </w:r>
          </w:p>
        </w:tc>
        <w:tc>
          <w:tcPr>
            <w:tcW w:w="2471" w:type="dxa"/>
            <w:vAlign w:val="center"/>
          </w:tcPr>
          <w:p>
            <w:pPr>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建筑和装饰装修材料</w:t>
            </w:r>
          </w:p>
        </w:tc>
        <w:tc>
          <w:tcPr>
            <w:tcW w:w="2065" w:type="dxa"/>
            <w:vAlign w:val="center"/>
          </w:tcPr>
          <w:p>
            <w:pPr>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水暖五金</w:t>
            </w:r>
          </w:p>
        </w:tc>
        <w:tc>
          <w:tcPr>
            <w:tcW w:w="2702" w:type="dxa"/>
            <w:vAlign w:val="center"/>
          </w:tcPr>
          <w:p>
            <w:pPr>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陶瓷片密封水嘴</w:t>
            </w:r>
          </w:p>
        </w:tc>
      </w:tr>
    </w:tbl>
    <w:p>
      <w:pPr>
        <w:adjustRightInd w:val="0"/>
        <w:snapToGrid w:val="0"/>
        <w:spacing w:line="594" w:lineRule="exact"/>
        <w:ind w:firstLine="560" w:firstLineChars="200"/>
        <w:rPr>
          <w:rFonts w:ascii="仿宋_GB2312" w:hAnsi="宋体" w:eastAsia="仿宋_GB2312" w:cs="Times New Roman"/>
          <w:kern w:val="0"/>
          <w:sz w:val="28"/>
          <w:szCs w:val="28"/>
        </w:rPr>
      </w:pPr>
      <w:r>
        <w:rPr>
          <w:rFonts w:ascii="仿宋_GB2312" w:eastAsia="仿宋_GB2312" w:cs="仿宋_GB2312"/>
          <w:sz w:val="28"/>
          <w:szCs w:val="28"/>
        </w:rPr>
        <w:t>2.2</w:t>
      </w:r>
      <w:r>
        <w:rPr>
          <w:rFonts w:hint="eastAsia" w:ascii="仿宋_GB2312" w:eastAsia="仿宋_GB2312" w:cs="仿宋_GB2312"/>
          <w:sz w:val="28"/>
          <w:szCs w:val="28"/>
        </w:rPr>
        <w:t>产品种类</w:t>
      </w:r>
    </w:p>
    <w:p>
      <w:pPr>
        <w:pStyle w:val="29"/>
        <w:spacing w:line="594" w:lineRule="exact"/>
        <w:ind w:firstLine="560" w:firstLineChars="200"/>
        <w:rPr>
          <w:rFonts w:ascii="仿宋_GB2312" w:eastAsia="仿宋_GB2312" w:cs="Times New Roman"/>
          <w:color w:val="auto"/>
          <w:sz w:val="28"/>
          <w:szCs w:val="28"/>
        </w:rPr>
      </w:pPr>
      <w:r>
        <w:rPr>
          <w:rFonts w:hint="eastAsia" w:ascii="仿宋_GB2312" w:eastAsia="仿宋_GB2312" w:cs="仿宋_GB2312"/>
          <w:color w:val="auto"/>
          <w:sz w:val="28"/>
          <w:szCs w:val="28"/>
        </w:rPr>
        <w:t>水嘴产品分为单柄单控、单柄双控、双柄双控。</w:t>
      </w:r>
    </w:p>
    <w:p>
      <w:pPr>
        <w:adjustRightInd w:val="0"/>
        <w:snapToGrid w:val="0"/>
        <w:spacing w:before="0" w:beforeLines="0" w:after="0" w:afterLines="0" w:line="594" w:lineRule="exact"/>
        <w:ind w:firstLine="560" w:firstLineChars="200"/>
        <w:rPr>
          <w:rFonts w:ascii="仿宋_GB2312" w:eastAsia="仿宋_GB2312" w:cs="Times New Roman"/>
          <w:sz w:val="28"/>
          <w:szCs w:val="28"/>
        </w:rPr>
      </w:pPr>
      <w:r>
        <w:rPr>
          <w:rFonts w:ascii="仿宋_GB2312" w:eastAsia="仿宋_GB2312" w:cs="仿宋_GB2312"/>
          <w:sz w:val="28"/>
          <w:szCs w:val="28"/>
        </w:rPr>
        <w:t>3</w:t>
      </w:r>
      <w:r>
        <w:rPr>
          <w:rFonts w:hint="eastAsia" w:ascii="仿宋_GB2312" w:eastAsia="仿宋_GB2312" w:cs="仿宋_GB2312"/>
          <w:sz w:val="28"/>
          <w:szCs w:val="28"/>
        </w:rPr>
        <w:t>术语和定义</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下列术语和定义适用于本细则。</w:t>
      </w:r>
    </w:p>
    <w:p>
      <w:pPr>
        <w:adjustRightInd w:val="0"/>
        <w:snapToGrid w:val="0"/>
        <w:spacing w:line="594" w:lineRule="exact"/>
        <w:ind w:firstLine="560" w:firstLineChars="200"/>
        <w:rPr>
          <w:rFonts w:ascii="仿宋_GB2312" w:eastAsia="仿宋_GB2312" w:cs="Times New Roman"/>
          <w:sz w:val="28"/>
          <w:szCs w:val="28"/>
        </w:rPr>
      </w:pPr>
      <w:r>
        <w:rPr>
          <w:rFonts w:ascii="仿宋_GB2312" w:eastAsia="仿宋_GB2312" w:cs="仿宋_GB2312"/>
          <w:sz w:val="28"/>
          <w:szCs w:val="28"/>
        </w:rPr>
        <w:t>3.</w:t>
      </w:r>
      <w:r>
        <w:rPr>
          <w:rFonts w:hint="eastAsia" w:ascii="仿宋_GB2312" w:eastAsia="仿宋_GB2312" w:cs="仿宋_GB2312"/>
          <w:sz w:val="28"/>
          <w:szCs w:val="28"/>
          <w:lang w:val="en-US" w:eastAsia="zh-CN"/>
        </w:rPr>
        <w:t>1</w:t>
      </w:r>
      <w:r>
        <w:rPr>
          <w:rFonts w:hint="eastAsia" w:ascii="仿宋_GB2312" w:eastAsia="仿宋_GB2312" w:cs="仿宋_GB2312"/>
          <w:sz w:val="28"/>
          <w:szCs w:val="28"/>
        </w:rPr>
        <w:t>单柄、双柄</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单柄是指由一个手柄或手轮控制流量或兼有出水温度；双柄是指由两个手柄或手轮控制流量及出水温度。</w:t>
      </w:r>
    </w:p>
    <w:p>
      <w:pPr>
        <w:adjustRightInd w:val="0"/>
        <w:snapToGrid w:val="0"/>
        <w:spacing w:line="594" w:lineRule="exact"/>
        <w:ind w:firstLine="560" w:firstLineChars="200"/>
        <w:rPr>
          <w:rFonts w:ascii="仿宋_GB2312" w:eastAsia="仿宋_GB2312" w:cs="Times New Roman"/>
          <w:sz w:val="28"/>
          <w:szCs w:val="28"/>
        </w:rPr>
      </w:pPr>
      <w:r>
        <w:rPr>
          <w:rFonts w:ascii="仿宋_GB2312" w:eastAsia="仿宋_GB2312" w:cs="仿宋_GB2312"/>
          <w:sz w:val="28"/>
          <w:szCs w:val="28"/>
        </w:rPr>
        <w:t>3.</w:t>
      </w: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单控、双控</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单控是指水嘴控制一路（冷水或热水）供水管路；双控是指水嘴控制两路（冷水、热水）供水管路。</w:t>
      </w:r>
    </w:p>
    <w:p>
      <w:pPr>
        <w:adjustRightInd w:val="0"/>
        <w:snapToGrid w:val="0"/>
        <w:spacing w:before="0" w:beforeLines="0" w:after="0" w:afterLines="0" w:line="594" w:lineRule="exact"/>
        <w:ind w:firstLine="560" w:firstLineChars="200"/>
        <w:rPr>
          <w:rFonts w:ascii="仿宋_GB2312" w:eastAsia="仿宋_GB2312" w:cs="Times New Roman"/>
          <w:sz w:val="28"/>
          <w:szCs w:val="28"/>
        </w:rPr>
      </w:pPr>
      <w:r>
        <w:rPr>
          <w:rFonts w:ascii="仿宋_GB2312" w:eastAsia="仿宋_GB2312" w:cs="仿宋_GB2312"/>
          <w:sz w:val="28"/>
          <w:szCs w:val="28"/>
        </w:rPr>
        <w:t>4</w:t>
      </w:r>
      <w:r>
        <w:rPr>
          <w:rFonts w:hint="eastAsia" w:ascii="仿宋_GB2312" w:eastAsia="仿宋_GB2312" w:cs="仿宋_GB2312"/>
          <w:sz w:val="28"/>
          <w:szCs w:val="28"/>
        </w:rPr>
        <w:t>生产</w:t>
      </w:r>
      <w:r>
        <w:rPr>
          <w:rFonts w:hint="eastAsia" w:ascii="仿宋_GB2312" w:eastAsia="仿宋_GB2312" w:cs="仿宋_GB2312"/>
          <w:sz w:val="28"/>
          <w:szCs w:val="28"/>
          <w:lang w:val="en-US" w:eastAsia="zh-CN"/>
        </w:rPr>
        <w:t>企业</w:t>
      </w:r>
      <w:r>
        <w:rPr>
          <w:rFonts w:hint="eastAsia" w:ascii="仿宋_GB2312" w:eastAsia="仿宋_GB2312" w:cs="仿宋_GB2312"/>
          <w:sz w:val="28"/>
          <w:szCs w:val="28"/>
        </w:rPr>
        <w:t>规模划分</w:t>
      </w:r>
    </w:p>
    <w:p>
      <w:pPr>
        <w:adjustRightInd w:val="0"/>
        <w:snapToGrid w:val="0"/>
        <w:spacing w:before="156" w:beforeLines="50" w:after="156" w:afterLines="50" w:line="594" w:lineRule="exact"/>
        <w:ind w:firstLine="560" w:firstLineChars="200"/>
        <w:rPr>
          <w:rFonts w:ascii="仿宋_GB2312" w:eastAsia="仿宋_GB2312" w:cs="Times New Roman"/>
          <w:b/>
          <w:bCs/>
          <w:sz w:val="28"/>
          <w:szCs w:val="28"/>
        </w:rPr>
      </w:pPr>
      <w:r>
        <w:rPr>
          <w:rFonts w:hint="eastAsia" w:ascii="仿宋_GB2312" w:eastAsia="仿宋_GB2312" w:cs="仿宋_GB2312"/>
          <w:sz w:val="28"/>
          <w:szCs w:val="28"/>
        </w:rPr>
        <w:t>根据国家统计局印发的相关管理办法，确定</w:t>
      </w:r>
      <w:r>
        <w:rPr>
          <w:rFonts w:hint="eastAsia" w:ascii="仿宋_GB2312" w:eastAsia="仿宋_GB2312" w:cs="仿宋_GB2312"/>
          <w:sz w:val="28"/>
          <w:szCs w:val="28"/>
          <w:lang w:val="en-US" w:eastAsia="zh-CN"/>
        </w:rPr>
        <w:t>生产</w:t>
      </w:r>
      <w:r>
        <w:rPr>
          <w:rFonts w:hint="eastAsia" w:ascii="仿宋_GB2312" w:eastAsia="仿宋_GB2312" w:cs="仿宋_GB2312"/>
          <w:sz w:val="28"/>
          <w:szCs w:val="28"/>
        </w:rPr>
        <w:t>企业规模。</w:t>
      </w:r>
    </w:p>
    <w:p>
      <w:pPr>
        <w:adjustRightInd w:val="0"/>
        <w:snapToGrid w:val="0"/>
        <w:spacing w:before="0" w:beforeLines="0" w:after="0" w:afterLines="0" w:line="594" w:lineRule="exact"/>
        <w:ind w:firstLine="560" w:firstLineChars="200"/>
        <w:rPr>
          <w:rFonts w:ascii="仿宋_GB2312" w:eastAsia="仿宋_GB2312" w:cs="Times New Roman"/>
          <w:sz w:val="28"/>
          <w:szCs w:val="28"/>
        </w:rPr>
      </w:pPr>
      <w:r>
        <w:rPr>
          <w:rFonts w:ascii="仿宋_GB2312" w:eastAsia="仿宋_GB2312" w:cs="仿宋_GB2312"/>
          <w:sz w:val="28"/>
          <w:szCs w:val="28"/>
        </w:rPr>
        <w:t>5</w:t>
      </w:r>
      <w:r>
        <w:rPr>
          <w:rFonts w:hint="eastAsia" w:ascii="仿宋_GB2312" w:eastAsia="仿宋_GB2312" w:cs="仿宋_GB2312"/>
          <w:sz w:val="28"/>
          <w:szCs w:val="28"/>
        </w:rPr>
        <w:t>检验依据</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GB 18145-2014</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陶瓷片密封水嘴</w:t>
      </w:r>
    </w:p>
    <w:p>
      <w:pPr>
        <w:keepNext w:val="0"/>
        <w:keepLines w:val="0"/>
        <w:pageBreakBefore w:val="0"/>
        <w:widowControl w:val="0"/>
        <w:kinsoku/>
        <w:wordWrap/>
        <w:overflowPunct/>
        <w:topLinePunct w:val="0"/>
        <w:autoSpaceDE/>
        <w:autoSpaceDN/>
        <w:bidi w:val="0"/>
        <w:adjustRightInd/>
        <w:snapToGrid w:val="0"/>
        <w:spacing w:line="60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GB 25501-2019</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水嘴水效限定值及水效等级</w:t>
      </w:r>
    </w:p>
    <w:p>
      <w:pPr>
        <w:adjustRightInd w:val="0"/>
        <w:snapToGrid w:val="0"/>
        <w:spacing w:before="156" w:beforeLines="50" w:line="594" w:lineRule="exact"/>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相关的法律、行政法规、部门规章、规范性文件</w:t>
      </w:r>
    </w:p>
    <w:p>
      <w:pPr>
        <w:adjustRightInd w:val="0"/>
        <w:snapToGrid w:val="0"/>
        <w:spacing w:line="594" w:lineRule="exact"/>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现行有效的企业标准、团体标准、地方标准及产品明示质量要求</w:t>
      </w:r>
    </w:p>
    <w:p>
      <w:pPr>
        <w:adjustRightInd w:val="0"/>
        <w:snapToGrid w:val="0"/>
        <w:spacing w:line="594" w:lineRule="exact"/>
        <w:ind w:firstLine="560" w:firstLineChars="200"/>
        <w:rPr>
          <w:rFonts w:ascii="仿宋_GB2312" w:eastAsia="仿宋_GB2312" w:cs="Times New Roman"/>
          <w:sz w:val="28"/>
          <w:szCs w:val="28"/>
        </w:rPr>
      </w:pPr>
      <w:r>
        <w:rPr>
          <w:rFonts w:ascii="仿宋_GB2312" w:eastAsia="仿宋_GB2312" w:cs="仿宋_GB2312"/>
          <w:sz w:val="28"/>
          <w:szCs w:val="28"/>
        </w:rPr>
        <w:t>6</w:t>
      </w:r>
      <w:r>
        <w:rPr>
          <w:rFonts w:hint="eastAsia" w:ascii="仿宋_GB2312" w:eastAsia="仿宋_GB2312" w:cs="仿宋_GB2312"/>
          <w:sz w:val="28"/>
          <w:szCs w:val="28"/>
        </w:rPr>
        <w:t>抽样</w:t>
      </w:r>
    </w:p>
    <w:p>
      <w:pPr>
        <w:adjustRightInd w:val="0"/>
        <w:snapToGrid w:val="0"/>
        <w:spacing w:line="594" w:lineRule="exact"/>
        <w:ind w:firstLine="560" w:firstLineChars="200"/>
        <w:rPr>
          <w:rFonts w:ascii="仿宋_GB2312" w:eastAsia="仿宋_GB2312" w:cs="Times New Roman"/>
          <w:sz w:val="28"/>
          <w:szCs w:val="28"/>
        </w:rPr>
      </w:pPr>
      <w:r>
        <w:rPr>
          <w:rFonts w:ascii="仿宋_GB2312" w:eastAsia="仿宋_GB2312" w:cs="仿宋_GB2312"/>
          <w:sz w:val="28"/>
          <w:szCs w:val="28"/>
        </w:rPr>
        <w:t>6.1</w:t>
      </w:r>
      <w:r>
        <w:rPr>
          <w:rFonts w:hint="eastAsia" w:ascii="仿宋_GB2312" w:eastAsia="仿宋_GB2312" w:cs="仿宋_GB2312"/>
          <w:sz w:val="28"/>
          <w:szCs w:val="28"/>
        </w:rPr>
        <w:t>抽样型号或规格</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抽取样品应为同一型号规格、同一批次的产品。具体见表</w:t>
      </w:r>
      <w:r>
        <w:rPr>
          <w:rFonts w:ascii="仿宋_GB2312" w:eastAsia="仿宋_GB2312" w:cs="仿宋_GB2312"/>
          <w:sz w:val="28"/>
          <w:szCs w:val="28"/>
        </w:rPr>
        <w:t>3</w:t>
      </w:r>
      <w:r>
        <w:rPr>
          <w:rFonts w:hint="eastAsia" w:ascii="仿宋_GB2312" w:eastAsia="仿宋_GB2312" w:cs="仿宋_GB2312"/>
          <w:sz w:val="28"/>
          <w:szCs w:val="28"/>
        </w:rPr>
        <w:t>：</w:t>
      </w:r>
    </w:p>
    <w:p>
      <w:pPr>
        <w:adjustRightInd w:val="0"/>
        <w:snapToGrid w:val="0"/>
        <w:spacing w:line="560" w:lineRule="exact"/>
        <w:jc w:val="center"/>
        <w:rPr>
          <w:rFonts w:hint="eastAsia" w:ascii="仿宋" w:hAnsi="仿宋" w:eastAsia="仿宋" w:cs="仿宋"/>
          <w:sz w:val="24"/>
          <w:szCs w:val="24"/>
        </w:rPr>
      </w:pPr>
      <w:r>
        <w:rPr>
          <w:rFonts w:hint="eastAsia" w:ascii="仿宋" w:hAnsi="仿宋" w:eastAsia="仿宋" w:cs="仿宋"/>
          <w:color w:val="000000"/>
          <w:sz w:val="24"/>
          <w:szCs w:val="24"/>
        </w:rPr>
        <w:t>表</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 xml:space="preserve"> </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rPr>
        <w:t>水嘴产品抽查范围</w:t>
      </w:r>
    </w:p>
    <w:tbl>
      <w:tblPr>
        <w:tblStyle w:val="14"/>
        <w:tblW w:w="886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
        <w:gridCol w:w="3495"/>
        <w:gridCol w:w="4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trPr>
        <w:tc>
          <w:tcPr>
            <w:tcW w:w="852" w:type="dxa"/>
            <w:vAlign w:val="center"/>
          </w:tcPr>
          <w:p>
            <w:pPr>
              <w:jc w:val="center"/>
              <w:rPr>
                <w:rFonts w:hint="eastAsia" w:ascii="仿宋" w:hAnsi="仿宋" w:eastAsia="仿宋" w:cs="仿宋"/>
                <w:color w:val="000000"/>
                <w:spacing w:val="16"/>
                <w:sz w:val="24"/>
                <w:szCs w:val="24"/>
              </w:rPr>
            </w:pPr>
            <w:r>
              <w:rPr>
                <w:rFonts w:hint="eastAsia" w:ascii="仿宋" w:hAnsi="仿宋" w:eastAsia="仿宋" w:cs="仿宋"/>
                <w:color w:val="000000"/>
                <w:spacing w:val="16"/>
                <w:sz w:val="24"/>
                <w:szCs w:val="24"/>
              </w:rPr>
              <w:t>产品</w:t>
            </w:r>
          </w:p>
        </w:tc>
        <w:tc>
          <w:tcPr>
            <w:tcW w:w="3495" w:type="dxa"/>
            <w:vAlign w:val="center"/>
          </w:tcPr>
          <w:p>
            <w:pPr>
              <w:jc w:val="center"/>
              <w:rPr>
                <w:rFonts w:hint="eastAsia" w:ascii="仿宋" w:hAnsi="仿宋" w:eastAsia="仿宋" w:cs="仿宋"/>
                <w:color w:val="000000"/>
                <w:spacing w:val="16"/>
                <w:sz w:val="24"/>
                <w:szCs w:val="24"/>
              </w:rPr>
            </w:pPr>
            <w:r>
              <w:rPr>
                <w:rFonts w:hint="eastAsia" w:ascii="仿宋" w:hAnsi="仿宋" w:eastAsia="仿宋" w:cs="仿宋"/>
                <w:color w:val="000000"/>
                <w:spacing w:val="16"/>
                <w:sz w:val="24"/>
                <w:szCs w:val="24"/>
              </w:rPr>
              <w:t>具体的产品</w:t>
            </w:r>
          </w:p>
        </w:tc>
        <w:tc>
          <w:tcPr>
            <w:tcW w:w="4514" w:type="dxa"/>
            <w:vAlign w:val="center"/>
          </w:tcPr>
          <w:p>
            <w:pPr>
              <w:jc w:val="center"/>
              <w:rPr>
                <w:rFonts w:hint="eastAsia" w:ascii="仿宋" w:hAnsi="仿宋" w:eastAsia="仿宋" w:cs="仿宋"/>
                <w:color w:val="000000"/>
                <w:spacing w:val="16"/>
                <w:sz w:val="24"/>
                <w:szCs w:val="24"/>
              </w:rPr>
            </w:pPr>
            <w:r>
              <w:rPr>
                <w:rFonts w:hint="eastAsia" w:ascii="仿宋" w:hAnsi="仿宋" w:eastAsia="仿宋" w:cs="仿宋"/>
                <w:color w:val="000000"/>
                <w:spacing w:val="16"/>
                <w:sz w:val="24"/>
                <w:szCs w:val="24"/>
              </w:rPr>
              <w:t>规格型号范围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trPr>
        <w:tc>
          <w:tcPr>
            <w:tcW w:w="852" w:type="dxa"/>
            <w:vAlign w:val="center"/>
          </w:tcPr>
          <w:p>
            <w:pPr>
              <w:jc w:val="center"/>
              <w:rPr>
                <w:rFonts w:hint="eastAsia" w:ascii="仿宋" w:hAnsi="仿宋" w:eastAsia="仿宋" w:cs="仿宋"/>
                <w:color w:val="000000"/>
                <w:spacing w:val="16"/>
                <w:sz w:val="24"/>
                <w:szCs w:val="24"/>
              </w:rPr>
            </w:pPr>
            <w:r>
              <w:rPr>
                <w:rFonts w:hint="eastAsia" w:ascii="仿宋" w:hAnsi="仿宋" w:eastAsia="仿宋" w:cs="仿宋"/>
                <w:color w:val="000000"/>
                <w:spacing w:val="16"/>
                <w:sz w:val="24"/>
                <w:szCs w:val="24"/>
              </w:rPr>
              <w:t>水嘴</w:t>
            </w:r>
          </w:p>
        </w:tc>
        <w:tc>
          <w:tcPr>
            <w:tcW w:w="3495" w:type="dxa"/>
            <w:vAlign w:val="center"/>
          </w:tcPr>
          <w:p>
            <w:pPr>
              <w:jc w:val="center"/>
              <w:rPr>
                <w:rFonts w:hint="eastAsia" w:ascii="仿宋" w:hAnsi="仿宋" w:eastAsia="仿宋" w:cs="仿宋"/>
                <w:color w:val="000000"/>
                <w:spacing w:val="16"/>
                <w:sz w:val="24"/>
                <w:szCs w:val="24"/>
              </w:rPr>
            </w:pPr>
            <w:r>
              <w:rPr>
                <w:rFonts w:hint="eastAsia" w:ascii="仿宋" w:hAnsi="仿宋" w:eastAsia="仿宋" w:cs="仿宋"/>
                <w:color w:val="000000"/>
                <w:spacing w:val="16"/>
                <w:sz w:val="24"/>
                <w:szCs w:val="24"/>
              </w:rPr>
              <w:t>面盆水嘴、厨房水嘴、浴缸水嘴、洗衣机水嘴</w:t>
            </w:r>
          </w:p>
        </w:tc>
        <w:tc>
          <w:tcPr>
            <w:tcW w:w="4514" w:type="dxa"/>
            <w:vAlign w:val="center"/>
          </w:tcPr>
          <w:p>
            <w:pPr>
              <w:jc w:val="center"/>
              <w:rPr>
                <w:rFonts w:hint="eastAsia" w:ascii="仿宋" w:hAnsi="仿宋" w:eastAsia="仿宋" w:cs="仿宋"/>
                <w:color w:val="000000"/>
                <w:spacing w:val="16"/>
                <w:sz w:val="24"/>
                <w:szCs w:val="24"/>
              </w:rPr>
            </w:pPr>
            <w:r>
              <w:rPr>
                <w:rFonts w:hint="eastAsia" w:ascii="仿宋" w:hAnsi="仿宋" w:eastAsia="仿宋" w:cs="仿宋"/>
                <w:color w:val="000000"/>
                <w:spacing w:val="16"/>
                <w:sz w:val="24"/>
                <w:szCs w:val="24"/>
              </w:rPr>
              <w:t>单柄单控、单柄双控、双柄双控</w:t>
            </w:r>
          </w:p>
        </w:tc>
      </w:tr>
    </w:tbl>
    <w:p>
      <w:pPr>
        <w:adjustRightInd w:val="0"/>
        <w:snapToGrid w:val="0"/>
        <w:spacing w:before="0" w:beforeLines="0" w:line="594" w:lineRule="exact"/>
        <w:ind w:firstLine="560" w:firstLineChars="200"/>
        <w:rPr>
          <w:rFonts w:ascii="仿宋_GB2312" w:eastAsia="仿宋_GB2312" w:cs="Times New Roman"/>
          <w:sz w:val="28"/>
          <w:szCs w:val="28"/>
        </w:rPr>
      </w:pPr>
      <w:r>
        <w:rPr>
          <w:rFonts w:ascii="仿宋_GB2312" w:eastAsia="仿宋_GB2312" w:cs="仿宋_GB2312"/>
          <w:sz w:val="28"/>
          <w:szCs w:val="28"/>
        </w:rPr>
        <w:t>6.2</w:t>
      </w:r>
      <w:r>
        <w:rPr>
          <w:rFonts w:hint="eastAsia" w:ascii="仿宋_GB2312" w:eastAsia="仿宋_GB2312" w:cs="仿宋_GB2312"/>
          <w:sz w:val="28"/>
          <w:szCs w:val="28"/>
        </w:rPr>
        <w:t>抽样基数、抽样数量</w:t>
      </w:r>
    </w:p>
    <w:p>
      <w:pPr>
        <w:adjustRightInd w:val="0"/>
        <w:snapToGrid w:val="0"/>
        <w:spacing w:line="594" w:lineRule="exact"/>
        <w:ind w:firstLine="560" w:firstLineChars="200"/>
        <w:rPr>
          <w:rFonts w:ascii="仿宋_GB2312" w:eastAsia="仿宋_GB2312" w:cs="Times New Roman"/>
          <w:sz w:val="28"/>
          <w:szCs w:val="28"/>
        </w:rPr>
      </w:pPr>
      <w:r>
        <w:rPr>
          <w:rFonts w:ascii="仿宋_GB2312" w:eastAsia="仿宋_GB2312" w:cs="仿宋_GB2312"/>
          <w:sz w:val="28"/>
          <w:szCs w:val="28"/>
        </w:rPr>
        <w:t xml:space="preserve">6.2.1 </w:t>
      </w:r>
      <w:r>
        <w:rPr>
          <w:rFonts w:hint="eastAsia" w:ascii="仿宋_GB2312" w:hAnsi="仿宋_GB2312" w:eastAsia="仿宋_GB2312" w:cs="仿宋_GB2312"/>
          <w:sz w:val="28"/>
          <w:szCs w:val="28"/>
        </w:rPr>
        <w:t>在企业的成品库内或市场待销产品中随机抽取有产品质量检验合格证明或者以其他形式表明合格的、近期生产的产品。</w:t>
      </w:r>
    </w:p>
    <w:p>
      <w:pPr>
        <w:adjustRightInd w:val="0"/>
        <w:snapToGrid w:val="0"/>
        <w:spacing w:line="594" w:lineRule="exact"/>
        <w:ind w:firstLine="560" w:firstLineChars="200"/>
        <w:rPr>
          <w:rFonts w:ascii="仿宋_GB2312" w:eastAsia="仿宋_GB2312" w:cs="Times New Roman"/>
          <w:sz w:val="28"/>
          <w:szCs w:val="28"/>
        </w:rPr>
      </w:pPr>
      <w:r>
        <w:rPr>
          <w:rFonts w:ascii="仿宋_GB2312" w:eastAsia="仿宋_GB2312" w:cs="仿宋_GB2312"/>
          <w:sz w:val="28"/>
          <w:szCs w:val="28"/>
        </w:rPr>
        <w:t>6.2.2</w:t>
      </w:r>
      <w:r>
        <w:rPr>
          <w:rFonts w:hint="eastAsia" w:ascii="仿宋_GB2312" w:eastAsia="仿宋_GB2312" w:cs="仿宋_GB2312"/>
          <w:sz w:val="28"/>
          <w:szCs w:val="28"/>
        </w:rPr>
        <w:t>抽样基数</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抽样基数满足抽样数量即可。</w:t>
      </w:r>
    </w:p>
    <w:p>
      <w:pPr>
        <w:adjustRightInd w:val="0"/>
        <w:snapToGrid w:val="0"/>
        <w:spacing w:line="594" w:lineRule="exact"/>
        <w:ind w:firstLine="560" w:firstLineChars="200"/>
        <w:rPr>
          <w:rFonts w:ascii="仿宋_GB2312" w:eastAsia="仿宋_GB2312" w:cs="Times New Roman"/>
          <w:sz w:val="28"/>
          <w:szCs w:val="28"/>
        </w:rPr>
      </w:pPr>
      <w:r>
        <w:rPr>
          <w:rFonts w:ascii="仿宋_GB2312" w:eastAsia="仿宋_GB2312" w:cs="仿宋_GB2312"/>
          <w:sz w:val="28"/>
          <w:szCs w:val="28"/>
        </w:rPr>
        <w:t>6.2.3</w:t>
      </w:r>
      <w:r>
        <w:rPr>
          <w:rFonts w:hint="eastAsia" w:ascii="仿宋_GB2312" w:eastAsia="仿宋_GB2312" w:cs="仿宋_GB2312"/>
          <w:sz w:val="28"/>
          <w:szCs w:val="28"/>
        </w:rPr>
        <w:t>抽样方法及数量</w:t>
      </w:r>
    </w:p>
    <w:p>
      <w:pPr>
        <w:keepNext w:val="0"/>
        <w:keepLines w:val="0"/>
        <w:pageBreakBefore w:val="0"/>
        <w:widowControl w:val="0"/>
        <w:kinsoku/>
        <w:wordWrap/>
        <w:overflowPunct/>
        <w:topLinePunct w:val="0"/>
        <w:autoSpaceDE/>
        <w:autoSpaceDN/>
        <w:bidi w:val="0"/>
        <w:adjustRightInd w:val="0"/>
        <w:snapToGrid w:val="0"/>
        <w:spacing w:line="58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sz w:val="28"/>
          <w:szCs w:val="28"/>
          <w:lang w:eastAsia="zh-CN"/>
        </w:rPr>
        <w:t>水嘴：</w:t>
      </w:r>
      <w:r>
        <w:rPr>
          <w:rFonts w:hint="eastAsia" w:ascii="仿宋" w:hAnsi="仿宋" w:eastAsia="仿宋" w:cs="仿宋"/>
          <w:color w:val="000000"/>
          <w:sz w:val="28"/>
          <w:szCs w:val="28"/>
        </w:rPr>
        <w:t>洗面器水嘴或厨房水嘴每批次</w:t>
      </w:r>
      <w:r>
        <w:rPr>
          <w:rFonts w:hint="eastAsia" w:ascii="仿宋" w:hAnsi="仿宋" w:eastAsia="仿宋" w:cs="仿宋"/>
          <w:sz w:val="28"/>
          <w:szCs w:val="28"/>
        </w:rPr>
        <w:t>同一规格型号、同批次产品</w:t>
      </w:r>
      <w:r>
        <w:rPr>
          <w:rFonts w:hint="eastAsia" w:ascii="仿宋" w:hAnsi="仿宋" w:eastAsia="仿宋" w:cs="仿宋"/>
          <w:color w:val="000000"/>
          <w:sz w:val="28"/>
          <w:szCs w:val="28"/>
        </w:rPr>
        <w:t>抽取样品10件，其中5件作为检验样品，5件作为备用样品；其他用途水嘴每批次产品抽取样品4件，其中2件作为检验样品，2件作为备用样品。</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随机抽样工具选择扑克牌或骰子，随机数一般可使用随机数表、骰子或扑克牌等方法产生。</w:t>
      </w:r>
    </w:p>
    <w:p>
      <w:pPr>
        <w:adjustRightInd w:val="0"/>
        <w:snapToGrid w:val="0"/>
        <w:spacing w:line="594" w:lineRule="exact"/>
        <w:ind w:firstLine="560" w:firstLineChars="200"/>
        <w:rPr>
          <w:rFonts w:ascii="仿宋_GB2312" w:eastAsia="仿宋_GB2312" w:cs="Times New Roman"/>
          <w:sz w:val="28"/>
          <w:szCs w:val="28"/>
        </w:rPr>
      </w:pPr>
      <w:r>
        <w:rPr>
          <w:rFonts w:ascii="仿宋_GB2312" w:eastAsia="仿宋_GB2312" w:cs="仿宋_GB2312"/>
          <w:sz w:val="28"/>
          <w:szCs w:val="28"/>
        </w:rPr>
        <w:t>6.3</w:t>
      </w:r>
      <w:r>
        <w:rPr>
          <w:rFonts w:hint="eastAsia" w:ascii="仿宋_GB2312" w:eastAsia="仿宋_GB2312" w:cs="仿宋_GB2312"/>
          <w:sz w:val="28"/>
          <w:szCs w:val="28"/>
        </w:rPr>
        <w:t>样品处置</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对检验样品和备用样品分别封样，同时在封条上标注出检验样品和备用样品。封样应防揭，并保证封条不受环境、运输影响而破损脱落。</w:t>
      </w:r>
    </w:p>
    <w:p>
      <w:pPr>
        <w:adjustRightInd w:val="0"/>
        <w:snapToGrid w:val="0"/>
        <w:spacing w:line="360" w:lineRule="auto"/>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6.4抽样单</w:t>
      </w:r>
    </w:p>
    <w:p>
      <w:pPr>
        <w:adjustRightInd w:val="0"/>
        <w:snapToGrid w:val="0"/>
        <w:spacing w:line="360" w:lineRule="auto"/>
        <w:ind w:firstLine="560" w:firstLineChars="200"/>
        <w:rPr>
          <w:rFonts w:ascii="仿宋_GB2312" w:eastAsia="仿宋_GB2312" w:cs="Times New Roman"/>
          <w:sz w:val="28"/>
          <w:szCs w:val="28"/>
        </w:rPr>
      </w:pPr>
      <w:r>
        <w:rPr>
          <w:rFonts w:hint="eastAsia" w:ascii="仿宋_GB2312" w:eastAsia="仿宋_GB2312"/>
          <w:sz w:val="28"/>
          <w:szCs w:val="28"/>
          <w:highlight w:val="none"/>
        </w:rPr>
        <w:t>应按有关规定填写抽样单，并记录被抽查产品及企业相关信息。需要被抽企业提供的其他样品信息应注明，并经企业确认。</w:t>
      </w:r>
    </w:p>
    <w:p>
      <w:pPr>
        <w:spacing w:line="360" w:lineRule="auto"/>
        <w:ind w:firstLine="548" w:firstLineChars="196"/>
        <w:contextualSpacing/>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6</w:t>
      </w:r>
      <w:r>
        <w:rPr>
          <w:rFonts w:hint="eastAsia" w:ascii="仿宋_GB2312" w:hAnsi="宋体" w:eastAsia="仿宋_GB2312"/>
          <w:color w:val="000000"/>
          <w:sz w:val="28"/>
          <w:szCs w:val="28"/>
        </w:rPr>
        <w:t>.</w:t>
      </w:r>
      <w:r>
        <w:rPr>
          <w:rFonts w:hint="eastAsia" w:ascii="仿宋_GB2312" w:hAnsi="宋体" w:eastAsia="仿宋_GB2312"/>
          <w:color w:val="000000"/>
          <w:sz w:val="28"/>
          <w:szCs w:val="28"/>
          <w:lang w:val="en-US" w:eastAsia="zh-CN"/>
        </w:rPr>
        <w:t>5</w:t>
      </w:r>
      <w:r>
        <w:rPr>
          <w:rFonts w:hint="eastAsia" w:ascii="仿宋" w:hAnsi="仿宋" w:eastAsia="仿宋" w:cs="仿宋"/>
          <w:sz w:val="28"/>
          <w:szCs w:val="28"/>
        </w:rPr>
        <w:t>样品获取方式</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 w:hAnsi="仿宋" w:eastAsia="仿宋" w:cs="仿宋"/>
          <w:sz w:val="28"/>
          <w:szCs w:val="28"/>
          <w:lang w:val="en-US" w:eastAsia="zh-CN"/>
        </w:rPr>
        <w:t>5</w:t>
      </w:r>
      <w:r>
        <w:rPr>
          <w:rFonts w:hint="eastAsia" w:ascii="仿宋" w:hAnsi="仿宋" w:eastAsia="仿宋" w:cs="仿宋"/>
          <w:sz w:val="28"/>
          <w:szCs w:val="28"/>
        </w:rPr>
        <w:t>.1 监督抽查所需的检验样品要在受检单位以购买方式获取</w:t>
      </w:r>
      <w:r>
        <w:rPr>
          <w:rFonts w:hint="eastAsia" w:ascii="仿宋" w:hAnsi="仿宋" w:eastAsia="仿宋" w:cs="仿宋"/>
          <w:sz w:val="28"/>
          <w:szCs w:val="28"/>
          <w:lang w:eastAsia="zh-CN"/>
        </w:rPr>
        <w:t>，受检单位开具发票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ascii="仿宋_GB2312" w:eastAsia="仿宋_GB2312"/>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 w:hAnsi="仿宋" w:eastAsia="仿宋" w:cs="仿宋"/>
          <w:sz w:val="28"/>
          <w:szCs w:val="28"/>
          <w:lang w:val="en-US" w:eastAsia="zh-CN"/>
        </w:rPr>
        <w:t>5</w:t>
      </w:r>
      <w:r>
        <w:rPr>
          <w:rFonts w:hint="eastAsia" w:ascii="仿宋" w:hAnsi="仿宋" w:eastAsia="仿宋" w:cs="仿宋"/>
          <w:sz w:val="28"/>
          <w:szCs w:val="28"/>
        </w:rPr>
        <w:t>.2 当被抽样生产者对检验结论有异议需要复检时，应当向</w:t>
      </w:r>
      <w:r>
        <w:rPr>
          <w:rFonts w:hint="eastAsia" w:ascii="仿宋" w:hAnsi="仿宋" w:eastAsia="仿宋" w:cs="仿宋"/>
          <w:sz w:val="28"/>
          <w:szCs w:val="28"/>
          <w:lang w:eastAsia="zh-CN"/>
        </w:rPr>
        <w:t>受检单位</w:t>
      </w:r>
      <w:r>
        <w:rPr>
          <w:rFonts w:hint="eastAsia" w:ascii="仿宋" w:hAnsi="仿宋" w:eastAsia="仿宋" w:cs="仿宋"/>
          <w:sz w:val="28"/>
          <w:szCs w:val="28"/>
        </w:rPr>
        <w:t>支付备用样品费用。</w:t>
      </w:r>
    </w:p>
    <w:p>
      <w:pPr>
        <w:spacing w:line="594" w:lineRule="exact"/>
        <w:ind w:firstLine="560" w:firstLineChars="200"/>
        <w:rPr>
          <w:rFonts w:ascii="仿宋_GB2312" w:eastAsia="仿宋_GB2312" w:cs="Times New Roman"/>
          <w:sz w:val="28"/>
          <w:szCs w:val="28"/>
        </w:rPr>
      </w:pPr>
      <w:r>
        <w:rPr>
          <w:rFonts w:ascii="仿宋_GB2312" w:eastAsia="仿宋_GB2312" w:cs="仿宋_GB2312"/>
          <w:sz w:val="28"/>
          <w:szCs w:val="28"/>
        </w:rPr>
        <w:t>6.6</w:t>
      </w:r>
      <w:r>
        <w:rPr>
          <w:rFonts w:hint="eastAsia" w:ascii="仿宋_GB2312" w:eastAsia="仿宋_GB2312" w:cs="仿宋_GB2312"/>
          <w:sz w:val="28"/>
          <w:szCs w:val="28"/>
        </w:rPr>
        <w:t>抽样注意事项</w:t>
      </w:r>
    </w:p>
    <w:p>
      <w:pPr>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抽样时，抽样人员应当认真核实营业执照等被抽查企业的相关信息，确认企业不存在不得抽样的情形。遇有下列情况之一且能提供有效证明的，不得抽样：</w:t>
      </w:r>
      <w:r>
        <w:rPr>
          <w:rFonts w:ascii="仿宋_GB2312" w:eastAsia="仿宋_GB2312" w:cs="仿宋_GB2312"/>
          <w:sz w:val="28"/>
          <w:szCs w:val="28"/>
        </w:rPr>
        <w:t xml:space="preserve"> </w:t>
      </w:r>
    </w:p>
    <w:p>
      <w:pPr>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w:t>
      </w:r>
      <w:r>
        <w:rPr>
          <w:rFonts w:ascii="仿宋_GB2312" w:eastAsia="仿宋_GB2312" w:cs="仿宋_GB2312"/>
          <w:sz w:val="28"/>
          <w:szCs w:val="28"/>
        </w:rPr>
        <w:t>1</w:t>
      </w:r>
      <w:r>
        <w:rPr>
          <w:rFonts w:hint="eastAsia" w:ascii="仿宋_GB2312" w:eastAsia="仿宋_GB2312" w:cs="仿宋_GB2312"/>
          <w:sz w:val="28"/>
          <w:szCs w:val="28"/>
        </w:rPr>
        <w:t>）被抽查企业无监督抽查通知书或者相关文件复印件所列产品的；</w:t>
      </w:r>
    </w:p>
    <w:p>
      <w:pPr>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w:t>
      </w:r>
      <w:r>
        <w:rPr>
          <w:rFonts w:ascii="仿宋_GB2312" w:eastAsia="仿宋_GB2312" w:cs="仿宋_GB2312"/>
          <w:sz w:val="28"/>
          <w:szCs w:val="28"/>
        </w:rPr>
        <w:t>2</w:t>
      </w:r>
      <w:r>
        <w:rPr>
          <w:rFonts w:hint="eastAsia" w:ascii="仿宋_GB2312" w:eastAsia="仿宋_GB2312" w:cs="仿宋_GB2312"/>
          <w:sz w:val="28"/>
          <w:szCs w:val="28"/>
        </w:rPr>
        <w:t>）有充分证据证明拟抽查的产品是不用于销售的；</w:t>
      </w:r>
    </w:p>
    <w:p>
      <w:pPr>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w:t>
      </w:r>
      <w:r>
        <w:rPr>
          <w:rFonts w:ascii="仿宋_GB2312" w:eastAsia="仿宋_GB2312" w:cs="仿宋_GB2312"/>
          <w:sz w:val="28"/>
          <w:szCs w:val="28"/>
        </w:rPr>
        <w:t>3</w:t>
      </w:r>
      <w:r>
        <w:rPr>
          <w:rFonts w:hint="eastAsia" w:ascii="仿宋_GB2312" w:eastAsia="仿宋_GB2312" w:cs="仿宋_GB2312"/>
          <w:sz w:val="28"/>
          <w:szCs w:val="28"/>
        </w:rPr>
        <w:t>）产品不涉及强制性标准要求，仅按双方约定的技术要求加工生产，且未执行任何标准的；</w:t>
      </w:r>
    </w:p>
    <w:p>
      <w:pPr>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w:t>
      </w:r>
      <w:r>
        <w:rPr>
          <w:rFonts w:ascii="仿宋_GB2312" w:eastAsia="仿宋_GB2312" w:cs="仿宋_GB2312"/>
          <w:sz w:val="28"/>
          <w:szCs w:val="28"/>
        </w:rPr>
        <w:t>4</w:t>
      </w:r>
      <w:r>
        <w:rPr>
          <w:rFonts w:hint="eastAsia" w:ascii="仿宋_GB2312" w:eastAsia="仿宋_GB2312" w:cs="仿宋_GB2312"/>
          <w:sz w:val="28"/>
          <w:szCs w:val="28"/>
        </w:rPr>
        <w:t>）有充分证据证明拟抽查的产品为企业用于出口，并且出口合同对产品质量另有规定的；</w:t>
      </w:r>
    </w:p>
    <w:p>
      <w:pPr>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w:t>
      </w:r>
      <w:r>
        <w:rPr>
          <w:rFonts w:ascii="仿宋_GB2312" w:eastAsia="仿宋_GB2312" w:cs="仿宋_GB2312"/>
          <w:sz w:val="28"/>
          <w:szCs w:val="28"/>
        </w:rPr>
        <w:t>5</w:t>
      </w:r>
      <w:r>
        <w:rPr>
          <w:rFonts w:hint="eastAsia" w:ascii="仿宋_GB2312" w:eastAsia="仿宋_GB2312" w:cs="仿宋_GB2312"/>
          <w:sz w:val="28"/>
          <w:szCs w:val="28"/>
        </w:rPr>
        <w:t>）产品或者标签、包装、说明书标有“试制”、“处理”或者“样品”等字样的；</w:t>
      </w:r>
    </w:p>
    <w:p>
      <w:pPr>
        <w:adjustRightInd w:val="0"/>
        <w:snapToGrid w:val="0"/>
        <w:spacing w:line="594" w:lineRule="exact"/>
        <w:ind w:firstLine="560" w:firstLineChars="200"/>
        <w:jc w:val="left"/>
        <w:rPr>
          <w:rFonts w:ascii="仿宋_GB2312" w:eastAsia="仿宋_GB2312" w:cs="Times New Roman"/>
          <w:sz w:val="28"/>
          <w:szCs w:val="28"/>
        </w:rPr>
      </w:pPr>
      <w:r>
        <w:rPr>
          <w:rFonts w:hint="eastAsia" w:ascii="仿宋_GB2312" w:eastAsia="仿宋_GB2312" w:cs="仿宋_GB2312"/>
          <w:sz w:val="28"/>
          <w:szCs w:val="28"/>
        </w:rPr>
        <w:t>（</w:t>
      </w:r>
      <w:r>
        <w:rPr>
          <w:rFonts w:ascii="仿宋_GB2312" w:eastAsia="仿宋_GB2312" w:cs="仿宋_GB2312"/>
          <w:sz w:val="28"/>
          <w:szCs w:val="28"/>
        </w:rPr>
        <w:t>6</w:t>
      </w:r>
      <w:r>
        <w:rPr>
          <w:rFonts w:hint="eastAsia" w:ascii="仿宋_GB2312" w:eastAsia="仿宋_GB2312" w:cs="仿宋_GB2312"/>
          <w:sz w:val="28"/>
          <w:szCs w:val="28"/>
        </w:rPr>
        <w:t>）企业提供上级市场监管部门</w:t>
      </w:r>
      <w:r>
        <w:rPr>
          <w:rFonts w:ascii="仿宋_GB2312" w:eastAsia="仿宋_GB2312" w:cs="仿宋_GB2312"/>
          <w:sz w:val="28"/>
          <w:szCs w:val="28"/>
        </w:rPr>
        <w:t>6</w:t>
      </w:r>
      <w:r>
        <w:rPr>
          <w:rFonts w:hint="eastAsia" w:ascii="仿宋_GB2312" w:eastAsia="仿宋_GB2312" w:cs="仿宋_GB2312"/>
          <w:sz w:val="28"/>
          <w:szCs w:val="28"/>
        </w:rPr>
        <w:t>个月内该种产品的监督抽查抽样单或者合格检验报告的。</w:t>
      </w:r>
    </w:p>
    <w:p>
      <w:pPr>
        <w:adjustRightInd w:val="0"/>
        <w:snapToGrid w:val="0"/>
        <w:spacing w:before="156" w:beforeLines="50" w:after="156" w:afterLines="50" w:line="594" w:lineRule="exact"/>
        <w:ind w:firstLine="560" w:firstLineChars="200"/>
        <w:rPr>
          <w:rFonts w:ascii="仿宋_GB2312" w:eastAsia="仿宋_GB2312" w:cs="Times New Roman"/>
          <w:sz w:val="28"/>
          <w:szCs w:val="28"/>
        </w:rPr>
      </w:pPr>
      <w:r>
        <w:rPr>
          <w:rFonts w:ascii="仿宋_GB2312" w:eastAsia="仿宋_GB2312" w:cs="仿宋_GB2312"/>
          <w:sz w:val="28"/>
          <w:szCs w:val="28"/>
        </w:rPr>
        <w:t>7</w:t>
      </w:r>
      <w:r>
        <w:rPr>
          <w:rFonts w:hint="eastAsia" w:ascii="仿宋_GB2312" w:eastAsia="仿宋_GB2312" w:cs="仿宋_GB2312"/>
          <w:sz w:val="28"/>
          <w:szCs w:val="28"/>
        </w:rPr>
        <w:t>检验要求</w:t>
      </w:r>
    </w:p>
    <w:p>
      <w:pPr>
        <w:adjustRightInd w:val="0"/>
        <w:snapToGrid w:val="0"/>
        <w:spacing w:line="594" w:lineRule="exact"/>
        <w:ind w:firstLine="560" w:firstLineChars="200"/>
        <w:rPr>
          <w:rFonts w:ascii="仿宋_GB2312" w:hAnsi="仿宋_GB2312" w:eastAsia="仿宋_GB2312" w:cs="Times New Roman"/>
          <w:color w:val="000000"/>
          <w:spacing w:val="2"/>
          <w:position w:val="-2"/>
          <w:sz w:val="28"/>
          <w:szCs w:val="28"/>
        </w:rPr>
      </w:pPr>
      <w:r>
        <w:rPr>
          <w:rFonts w:ascii="仿宋_GB2312" w:eastAsia="仿宋_GB2312" w:cs="仿宋_GB2312"/>
          <w:sz w:val="28"/>
          <w:szCs w:val="28"/>
        </w:rPr>
        <w:t>7.1</w:t>
      </w:r>
      <w:r>
        <w:rPr>
          <w:rFonts w:hint="eastAsia" w:ascii="仿宋_GB2312" w:eastAsia="仿宋_GB2312" w:cs="仿宋_GB2312"/>
          <w:sz w:val="28"/>
          <w:szCs w:val="28"/>
        </w:rPr>
        <w:t>检验项目</w:t>
      </w:r>
    </w:p>
    <w:p>
      <w:pPr>
        <w:snapToGrid w:val="0"/>
        <w:spacing w:line="594" w:lineRule="exact"/>
        <w:jc w:val="center"/>
        <w:rPr>
          <w:rFonts w:hint="eastAsia" w:ascii="仿宋" w:hAnsi="仿宋" w:eastAsia="仿宋" w:cs="仿宋"/>
          <w:sz w:val="24"/>
          <w:szCs w:val="24"/>
        </w:rPr>
      </w:pPr>
      <w:r>
        <w:rPr>
          <w:rFonts w:hint="eastAsia" w:ascii="仿宋" w:hAnsi="仿宋" w:eastAsia="仿宋" w:cs="仿宋"/>
          <w:color w:val="000000"/>
          <w:spacing w:val="2"/>
          <w:position w:val="-2"/>
          <w:sz w:val="24"/>
          <w:szCs w:val="24"/>
        </w:rPr>
        <w:t>表</w:t>
      </w:r>
      <w:r>
        <w:rPr>
          <w:rFonts w:hint="eastAsia" w:ascii="仿宋" w:hAnsi="仿宋" w:eastAsia="仿宋" w:cs="仿宋"/>
          <w:color w:val="000000"/>
          <w:spacing w:val="2"/>
          <w:position w:val="-2"/>
          <w:sz w:val="24"/>
          <w:szCs w:val="24"/>
          <w:lang w:val="en-US" w:eastAsia="zh-CN"/>
        </w:rPr>
        <w:t>3</w:t>
      </w:r>
      <w:r>
        <w:rPr>
          <w:rFonts w:hint="eastAsia" w:ascii="仿宋" w:hAnsi="仿宋" w:eastAsia="仿宋" w:cs="仿宋"/>
          <w:color w:val="000000"/>
          <w:spacing w:val="2"/>
          <w:position w:val="-2"/>
          <w:sz w:val="24"/>
          <w:szCs w:val="24"/>
        </w:rPr>
        <w:t>水嘴检验项目及重要程度分类</w:t>
      </w:r>
    </w:p>
    <w:tbl>
      <w:tblPr>
        <w:tblStyle w:val="14"/>
        <w:tblW w:w="8131" w:type="dxa"/>
        <w:jc w:val="center"/>
        <w:tblLayout w:type="fixed"/>
        <w:tblCellMar>
          <w:top w:w="0" w:type="dxa"/>
          <w:left w:w="108" w:type="dxa"/>
          <w:bottom w:w="0" w:type="dxa"/>
          <w:right w:w="108" w:type="dxa"/>
        </w:tblCellMar>
      </w:tblPr>
      <w:tblGrid>
        <w:gridCol w:w="1210"/>
        <w:gridCol w:w="3084"/>
        <w:gridCol w:w="3837"/>
      </w:tblGrid>
      <w:tr>
        <w:tblPrEx>
          <w:tblCellMar>
            <w:top w:w="0" w:type="dxa"/>
            <w:left w:w="108" w:type="dxa"/>
            <w:bottom w:w="0" w:type="dxa"/>
            <w:right w:w="108" w:type="dxa"/>
          </w:tblCellMar>
        </w:tblPrEx>
        <w:trPr>
          <w:trHeight w:val="270" w:hRule="atLeast"/>
          <w:jc w:val="center"/>
        </w:trPr>
        <w:tc>
          <w:tcPr>
            <w:tcW w:w="1210" w:type="dxa"/>
            <w:tcBorders>
              <w:top w:val="single" w:color="auto" w:sz="4" w:space="0"/>
              <w:left w:val="single" w:color="000000" w:sz="4" w:space="0"/>
              <w:bottom w:val="single" w:color="000000" w:sz="4" w:space="0"/>
              <w:right w:val="single" w:color="auto" w:sz="4" w:space="0"/>
            </w:tcBorders>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3084" w:type="dxa"/>
            <w:tcBorders>
              <w:top w:val="single" w:color="auto" w:sz="4" w:space="0"/>
              <w:left w:val="single" w:color="auto" w:sz="4" w:space="0"/>
              <w:bottom w:val="single" w:color="000000" w:sz="4" w:space="0"/>
              <w:right w:val="single" w:color="auto" w:sz="4" w:space="0"/>
            </w:tcBorders>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检验项目</w:t>
            </w:r>
          </w:p>
        </w:tc>
        <w:tc>
          <w:tcPr>
            <w:tcW w:w="3837" w:type="dxa"/>
            <w:tcBorders>
              <w:top w:val="single" w:color="auto" w:sz="4" w:space="0"/>
              <w:left w:val="single" w:color="auto" w:sz="4" w:space="0"/>
              <w:bottom w:val="single" w:color="000000" w:sz="4" w:space="0"/>
              <w:right w:val="single" w:color="000000" w:sz="4" w:space="0"/>
            </w:tcBorders>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检验方法</w:t>
            </w:r>
          </w:p>
        </w:tc>
      </w:tr>
      <w:tr>
        <w:tblPrEx>
          <w:tblCellMar>
            <w:top w:w="0" w:type="dxa"/>
            <w:left w:w="108" w:type="dxa"/>
            <w:bottom w:w="0" w:type="dxa"/>
            <w:right w:w="108" w:type="dxa"/>
          </w:tblCellMar>
        </w:tblPrEx>
        <w:trPr>
          <w:trHeight w:val="270" w:hRule="atLeast"/>
          <w:jc w:val="center"/>
        </w:trPr>
        <w:tc>
          <w:tcPr>
            <w:tcW w:w="121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40" w:lineRule="exact"/>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1</w:t>
            </w:r>
          </w:p>
        </w:tc>
        <w:tc>
          <w:tcPr>
            <w:tcW w:w="3084"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管螺纹精度</w:t>
            </w:r>
          </w:p>
        </w:tc>
        <w:tc>
          <w:tcPr>
            <w:tcW w:w="3837"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3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GB 18145-2014</w:t>
            </w:r>
          </w:p>
        </w:tc>
      </w:tr>
      <w:tr>
        <w:tblPrEx>
          <w:tblCellMar>
            <w:top w:w="0" w:type="dxa"/>
            <w:left w:w="108" w:type="dxa"/>
            <w:bottom w:w="0" w:type="dxa"/>
            <w:right w:w="108" w:type="dxa"/>
          </w:tblCellMar>
        </w:tblPrEx>
        <w:trPr>
          <w:trHeight w:val="270" w:hRule="atLeast"/>
          <w:jc w:val="center"/>
        </w:trPr>
        <w:tc>
          <w:tcPr>
            <w:tcW w:w="12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40" w:lineRule="exact"/>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2</w:t>
            </w:r>
          </w:p>
        </w:tc>
        <w:tc>
          <w:tcPr>
            <w:tcW w:w="308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冷热水标志</w:t>
            </w:r>
          </w:p>
        </w:tc>
        <w:tc>
          <w:tcPr>
            <w:tcW w:w="383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GB 18145-2014</w:t>
            </w:r>
          </w:p>
        </w:tc>
      </w:tr>
      <w:tr>
        <w:tblPrEx>
          <w:tblCellMar>
            <w:top w:w="0" w:type="dxa"/>
            <w:left w:w="108" w:type="dxa"/>
            <w:bottom w:w="0" w:type="dxa"/>
            <w:right w:w="108" w:type="dxa"/>
          </w:tblCellMar>
        </w:tblPrEx>
        <w:trPr>
          <w:trHeight w:val="270" w:hRule="atLeast"/>
          <w:jc w:val="center"/>
        </w:trPr>
        <w:tc>
          <w:tcPr>
            <w:tcW w:w="12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40" w:lineRule="exact"/>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3</w:t>
            </w:r>
          </w:p>
        </w:tc>
        <w:tc>
          <w:tcPr>
            <w:tcW w:w="308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金属污染物析出</w:t>
            </w:r>
          </w:p>
        </w:tc>
        <w:tc>
          <w:tcPr>
            <w:tcW w:w="383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GB 18145-2014</w:t>
            </w:r>
          </w:p>
        </w:tc>
      </w:tr>
      <w:tr>
        <w:tblPrEx>
          <w:tblCellMar>
            <w:top w:w="0" w:type="dxa"/>
            <w:left w:w="108" w:type="dxa"/>
            <w:bottom w:w="0" w:type="dxa"/>
            <w:right w:w="108" w:type="dxa"/>
          </w:tblCellMar>
        </w:tblPrEx>
        <w:trPr>
          <w:trHeight w:val="270" w:hRule="atLeast"/>
          <w:jc w:val="center"/>
        </w:trPr>
        <w:tc>
          <w:tcPr>
            <w:tcW w:w="12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40" w:lineRule="exact"/>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4</w:t>
            </w:r>
          </w:p>
        </w:tc>
        <w:tc>
          <w:tcPr>
            <w:tcW w:w="308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抗水压机械性能</w:t>
            </w:r>
          </w:p>
        </w:tc>
        <w:tc>
          <w:tcPr>
            <w:tcW w:w="383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3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GB 18145-2014</w:t>
            </w:r>
          </w:p>
        </w:tc>
      </w:tr>
      <w:tr>
        <w:tblPrEx>
          <w:tblCellMar>
            <w:top w:w="0" w:type="dxa"/>
            <w:left w:w="108" w:type="dxa"/>
            <w:bottom w:w="0" w:type="dxa"/>
            <w:right w:w="108" w:type="dxa"/>
          </w:tblCellMar>
        </w:tblPrEx>
        <w:trPr>
          <w:trHeight w:val="270" w:hRule="atLeast"/>
          <w:jc w:val="center"/>
        </w:trPr>
        <w:tc>
          <w:tcPr>
            <w:tcW w:w="12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40" w:lineRule="exact"/>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5</w:t>
            </w:r>
          </w:p>
        </w:tc>
        <w:tc>
          <w:tcPr>
            <w:tcW w:w="308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密封性能</w:t>
            </w:r>
          </w:p>
        </w:tc>
        <w:tc>
          <w:tcPr>
            <w:tcW w:w="383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GB 18145-2014</w:t>
            </w:r>
          </w:p>
        </w:tc>
      </w:tr>
      <w:tr>
        <w:tblPrEx>
          <w:tblCellMar>
            <w:top w:w="0" w:type="dxa"/>
            <w:left w:w="108" w:type="dxa"/>
            <w:bottom w:w="0" w:type="dxa"/>
            <w:right w:w="108" w:type="dxa"/>
          </w:tblCellMar>
        </w:tblPrEx>
        <w:trPr>
          <w:trHeight w:val="270" w:hRule="atLeast"/>
          <w:jc w:val="center"/>
        </w:trPr>
        <w:tc>
          <w:tcPr>
            <w:tcW w:w="12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40" w:lineRule="exact"/>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6</w:t>
            </w:r>
          </w:p>
        </w:tc>
        <w:tc>
          <w:tcPr>
            <w:tcW w:w="308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流量</w:t>
            </w:r>
          </w:p>
        </w:tc>
        <w:tc>
          <w:tcPr>
            <w:tcW w:w="383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GB 18145-2014</w:t>
            </w:r>
          </w:p>
        </w:tc>
      </w:tr>
      <w:tr>
        <w:tblPrEx>
          <w:tblCellMar>
            <w:top w:w="0" w:type="dxa"/>
            <w:left w:w="108" w:type="dxa"/>
            <w:bottom w:w="0" w:type="dxa"/>
            <w:right w:w="108" w:type="dxa"/>
          </w:tblCellMar>
        </w:tblPrEx>
        <w:trPr>
          <w:trHeight w:val="270" w:hRule="atLeast"/>
          <w:jc w:val="center"/>
        </w:trPr>
        <w:tc>
          <w:tcPr>
            <w:tcW w:w="12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40" w:lineRule="exact"/>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7</w:t>
            </w:r>
          </w:p>
        </w:tc>
        <w:tc>
          <w:tcPr>
            <w:tcW w:w="308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表面耐腐蚀性能</w:t>
            </w:r>
          </w:p>
        </w:tc>
        <w:tc>
          <w:tcPr>
            <w:tcW w:w="383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3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GB/T 10125-2012</w:t>
            </w:r>
          </w:p>
        </w:tc>
      </w:tr>
      <w:tr>
        <w:tblPrEx>
          <w:tblCellMar>
            <w:top w:w="0" w:type="dxa"/>
            <w:left w:w="108" w:type="dxa"/>
            <w:bottom w:w="0" w:type="dxa"/>
            <w:right w:w="108" w:type="dxa"/>
          </w:tblCellMar>
        </w:tblPrEx>
        <w:trPr>
          <w:trHeight w:val="270" w:hRule="atLeast"/>
          <w:jc w:val="center"/>
        </w:trPr>
        <w:tc>
          <w:tcPr>
            <w:tcW w:w="12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40" w:lineRule="exact"/>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8</w:t>
            </w:r>
          </w:p>
        </w:tc>
        <w:tc>
          <w:tcPr>
            <w:tcW w:w="308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流量均匀性</w:t>
            </w:r>
          </w:p>
        </w:tc>
        <w:tc>
          <w:tcPr>
            <w:tcW w:w="383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GB 25501-2010</w:t>
            </w:r>
          </w:p>
        </w:tc>
      </w:tr>
      <w:tr>
        <w:tblPrEx>
          <w:tblCellMar>
            <w:top w:w="0" w:type="dxa"/>
            <w:left w:w="108" w:type="dxa"/>
            <w:bottom w:w="0" w:type="dxa"/>
            <w:right w:w="108" w:type="dxa"/>
          </w:tblCellMar>
        </w:tblPrEx>
        <w:trPr>
          <w:trHeight w:val="270" w:hRule="atLeast"/>
          <w:jc w:val="center"/>
        </w:trPr>
        <w:tc>
          <w:tcPr>
            <w:tcW w:w="121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pacing w:line="340" w:lineRule="exact"/>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9</w:t>
            </w:r>
          </w:p>
        </w:tc>
        <w:tc>
          <w:tcPr>
            <w:tcW w:w="3084"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水嘴用水效率等级</w:t>
            </w:r>
          </w:p>
        </w:tc>
        <w:tc>
          <w:tcPr>
            <w:tcW w:w="383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GB 25501-2010</w:t>
            </w:r>
          </w:p>
        </w:tc>
      </w:tr>
      <w:tr>
        <w:tblPrEx>
          <w:tblCellMar>
            <w:top w:w="0" w:type="dxa"/>
            <w:left w:w="108" w:type="dxa"/>
            <w:bottom w:w="0" w:type="dxa"/>
            <w:right w:w="108" w:type="dxa"/>
          </w:tblCellMar>
        </w:tblPrEx>
        <w:trPr>
          <w:trHeight w:val="270" w:hRule="atLeast"/>
          <w:jc w:val="center"/>
        </w:trPr>
        <w:tc>
          <w:tcPr>
            <w:tcW w:w="8131" w:type="dxa"/>
            <w:gridSpan w:val="3"/>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340" w:lineRule="exact"/>
              <w:jc w:val="left"/>
              <w:rPr>
                <w:rFonts w:hint="eastAsia"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注：检验项目以实际样品适用项为准</w:t>
            </w:r>
          </w:p>
        </w:tc>
      </w:tr>
    </w:tbl>
    <w:p>
      <w:pPr>
        <w:adjustRightInd w:val="0"/>
        <w:snapToGrid w:val="0"/>
        <w:spacing w:line="594" w:lineRule="exact"/>
        <w:ind w:firstLine="560" w:firstLineChars="200"/>
        <w:rPr>
          <w:rFonts w:ascii="仿宋_GB2312" w:eastAsia="仿宋_GB2312" w:cs="Times New Roman"/>
          <w:sz w:val="28"/>
          <w:szCs w:val="28"/>
        </w:rPr>
      </w:pPr>
      <w:r>
        <w:rPr>
          <w:rFonts w:ascii="仿宋_GB2312" w:eastAsia="仿宋_GB2312" w:cs="仿宋_GB2312"/>
          <w:sz w:val="28"/>
          <w:szCs w:val="28"/>
        </w:rPr>
        <w:t>7.2</w:t>
      </w:r>
      <w:r>
        <w:rPr>
          <w:rFonts w:hint="eastAsia" w:ascii="仿宋_GB2312" w:eastAsia="仿宋_GB2312" w:cs="仿宋_GB2312"/>
          <w:sz w:val="28"/>
          <w:szCs w:val="28"/>
        </w:rPr>
        <w:t>检验应注意的问题</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若被检产品明示的质量要求高于本细则中检验项目依据的标准要求时，应按被检产品明示的质量要求判定。</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若被检产品明示的质量要求低于本细则中检验项目依据的强制性标准要求时，应按照强制性标准要求判定。</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若被检产品明示的质量要求低于或包含本细则中检验项目依据的推荐性标准要求时，应以被检产品明示的质量要求判定。</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若被检产品明示的质量要求缺少本细则中检验项目依据的强制性标准要求时，应按照强制性标准要求判定。</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若被检产品明示的质量要求缺少本细则中检验项目依据的推荐性标准要求时，该项目不参与判定，但应在检验报告备注中进行说明。</w:t>
      </w:r>
    </w:p>
    <w:p>
      <w:pPr>
        <w:adjustRightInd w:val="0"/>
        <w:snapToGrid w:val="0"/>
        <w:spacing w:line="594" w:lineRule="exact"/>
        <w:ind w:firstLine="560" w:firstLineChars="200"/>
        <w:rPr>
          <w:rFonts w:ascii="仿宋_GB2312" w:eastAsia="仿宋_GB2312" w:cs="Times New Roman"/>
          <w:sz w:val="28"/>
          <w:szCs w:val="28"/>
        </w:rPr>
      </w:pPr>
      <w:r>
        <w:rPr>
          <w:rFonts w:ascii="仿宋_GB2312" w:eastAsia="仿宋_GB2312" w:cs="仿宋_GB2312"/>
          <w:sz w:val="28"/>
          <w:szCs w:val="28"/>
        </w:rPr>
        <w:t>8</w:t>
      </w:r>
      <w:r>
        <w:rPr>
          <w:rFonts w:hint="eastAsia" w:ascii="仿宋_GB2312" w:eastAsia="仿宋_GB2312" w:cs="仿宋_GB2312"/>
          <w:sz w:val="28"/>
          <w:szCs w:val="28"/>
        </w:rPr>
        <w:t>判定原则</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经检验，检验项目全部合格，判定为被抽查产品所检项目未发现不合格；检验项目中任一项或一项以上不合格，判定为被抽查产品不合格。</w:t>
      </w:r>
    </w:p>
    <w:p>
      <w:pPr>
        <w:adjustRightInd w:val="0"/>
        <w:snapToGrid w:val="0"/>
        <w:spacing w:before="0" w:beforeLines="0" w:after="0" w:afterLines="0" w:line="594" w:lineRule="exact"/>
        <w:ind w:firstLine="560" w:firstLineChars="200"/>
        <w:rPr>
          <w:rFonts w:ascii="仿宋_GB2312" w:eastAsia="仿宋_GB2312" w:cs="Times New Roman"/>
          <w:sz w:val="28"/>
          <w:szCs w:val="28"/>
        </w:rPr>
      </w:pPr>
      <w:r>
        <w:rPr>
          <w:rFonts w:ascii="仿宋_GB2312" w:eastAsia="仿宋_GB2312" w:cs="仿宋_GB2312"/>
          <w:sz w:val="28"/>
          <w:szCs w:val="28"/>
        </w:rPr>
        <w:t>9</w:t>
      </w:r>
      <w:r>
        <w:rPr>
          <w:rFonts w:hint="eastAsia" w:ascii="仿宋_GB2312" w:eastAsia="仿宋_GB2312" w:cs="仿宋_GB2312"/>
          <w:sz w:val="28"/>
          <w:szCs w:val="28"/>
        </w:rPr>
        <w:t>异议处理</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对被判定为不合格企业进行异议处理时，按以下方式进行：</w:t>
      </w:r>
    </w:p>
    <w:p>
      <w:pPr>
        <w:adjustRightInd w:val="0"/>
        <w:snapToGrid w:val="0"/>
        <w:spacing w:line="594" w:lineRule="exact"/>
        <w:ind w:firstLine="560" w:firstLineChars="200"/>
        <w:rPr>
          <w:rFonts w:ascii="仿宋_GB2312" w:eastAsia="仿宋_GB2312" w:cs="Times New Roman"/>
          <w:sz w:val="28"/>
          <w:szCs w:val="28"/>
        </w:rPr>
      </w:pPr>
      <w:r>
        <w:rPr>
          <w:rFonts w:ascii="仿宋_GB2312" w:eastAsia="仿宋_GB2312" w:cs="仿宋_GB2312"/>
          <w:sz w:val="28"/>
          <w:szCs w:val="28"/>
        </w:rPr>
        <w:t>9.1</w:t>
      </w:r>
      <w:r>
        <w:rPr>
          <w:rFonts w:hint="eastAsia" w:ascii="仿宋_GB2312" w:eastAsia="仿宋_GB2312" w:cs="仿宋_GB2312"/>
          <w:sz w:val="28"/>
          <w:szCs w:val="28"/>
        </w:rPr>
        <w:t>核查不合格项目相关证据，能够以记录（纸质记录或电子记录或影像记录）或与不合格项目相关联的其它质量数据等检验证据证明。</w:t>
      </w:r>
    </w:p>
    <w:p>
      <w:pPr>
        <w:widowControl/>
        <w:adjustRightInd w:val="0"/>
        <w:snapToGrid w:val="0"/>
        <w:spacing w:after="0" w:afterLines="-2147483648" w:line="594" w:lineRule="exact"/>
        <w:ind w:firstLine="560" w:firstLineChars="200"/>
        <w:rPr>
          <w:rFonts w:hint="eastAsia" w:ascii="仿宋_GB2312" w:eastAsia="仿宋_GB2312" w:cs="仿宋_GB2312"/>
          <w:sz w:val="28"/>
          <w:szCs w:val="28"/>
        </w:rPr>
      </w:pPr>
      <w:r>
        <w:rPr>
          <w:rFonts w:ascii="仿宋_GB2312" w:eastAsia="仿宋_GB2312" w:cs="仿宋_GB2312"/>
          <w:sz w:val="28"/>
          <w:szCs w:val="28"/>
        </w:rPr>
        <w:t>9.2</w:t>
      </w:r>
      <w:r>
        <w:rPr>
          <w:rFonts w:hint="eastAsia" w:ascii="仿宋_GB2312" w:eastAsia="仿宋_GB2312" w:cs="仿宋_GB2312"/>
          <w:sz w:val="28"/>
          <w:szCs w:val="28"/>
        </w:rPr>
        <w:t>对需要复检并具备检验条件的，处理企业异议的市场监督管理部门或者指定检验机构应当按原监督抽查细则对留存的样品或抽取的备用样品组织复检，并出具检验报告。复检结论为最终结论。</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lang w:val="en-US" w:eastAsia="zh-CN"/>
        </w:rPr>
        <w:t>10</w:t>
      </w:r>
      <w:r>
        <w:rPr>
          <w:rFonts w:hint="eastAsia" w:ascii="仿宋_GB2312" w:eastAsia="仿宋_GB2312"/>
          <w:sz w:val="28"/>
          <w:szCs w:val="28"/>
        </w:rPr>
        <w:t>附则</w:t>
      </w:r>
    </w:p>
    <w:p>
      <w:pPr>
        <w:pStyle w:val="2"/>
        <w:keepNext w:val="0"/>
        <w:keepLines w:val="0"/>
        <w:pageBreakBefore w:val="0"/>
        <w:widowControl w:val="0"/>
        <w:kinsoku/>
        <w:wordWrap/>
        <w:overflowPunct/>
        <w:autoSpaceDE/>
        <w:autoSpaceDN/>
        <w:bidi w:val="0"/>
        <w:spacing w:line="540" w:lineRule="exact"/>
        <w:textAlignment w:val="auto"/>
        <w:rPr>
          <w:rFonts w:hint="eastAsia" w:ascii="仿宋_GB2312" w:eastAsia="仿宋_GB2312"/>
          <w:sz w:val="28"/>
          <w:szCs w:val="28"/>
        </w:rPr>
      </w:pPr>
      <w:r>
        <w:rPr>
          <w:rFonts w:hint="eastAsia" w:ascii="仿宋_GB2312" w:eastAsia="仿宋_GB2312"/>
          <w:sz w:val="28"/>
          <w:szCs w:val="28"/>
        </w:rPr>
        <w:t>本细则编写单位:山东腾翔产品质量检测有限公司。</w:t>
      </w:r>
    </w:p>
    <w:p>
      <w:pPr>
        <w:pStyle w:val="2"/>
        <w:keepNext w:val="0"/>
        <w:keepLines w:val="0"/>
        <w:pageBreakBefore w:val="0"/>
        <w:widowControl w:val="0"/>
        <w:kinsoku/>
        <w:wordWrap/>
        <w:overflowPunct/>
        <w:autoSpaceDE/>
        <w:autoSpaceDN/>
        <w:bidi w:val="0"/>
        <w:spacing w:line="540" w:lineRule="exact"/>
        <w:textAlignment w:val="auto"/>
        <w:rPr>
          <w:rFonts w:hint="eastAsia" w:eastAsia="仿宋_GB2312"/>
          <w:lang w:eastAsia="zh-CN"/>
        </w:rPr>
      </w:pPr>
      <w:r>
        <w:rPr>
          <w:rFonts w:hint="eastAsia" w:ascii="仿宋_GB2312" w:eastAsia="仿宋_GB2312"/>
          <w:sz w:val="28"/>
          <w:szCs w:val="28"/>
        </w:rPr>
        <w:t xml:space="preserve">本细则由盘锦市市场监督管理局管理。 </w:t>
      </w:r>
    </w:p>
    <w:p>
      <w:pPr>
        <w:pStyle w:val="2"/>
        <w:rPr>
          <w:rFonts w:hint="eastAsia" w:eastAsia="仿宋_GB231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p>
    <w:p>
      <w:pPr>
        <w:pStyle w:val="19"/>
      </w:pPr>
    </w:p>
    <w:sectPr>
      <w:footerReference r:id="rId3" w:type="default"/>
      <w:pgSz w:w="11906" w:h="16838"/>
      <w:pgMar w:top="1701" w:right="1644" w:bottom="1701"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书宋二">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hint="eastAsia" w:ascii="宋体" w:hAnsi="宋体" w:cs="宋体"/>
                              <w:sz w:val="21"/>
                              <w:szCs w:val="21"/>
                            </w:rPr>
                            <w:t>- 1 -</w:t>
                          </w:r>
                          <w:r>
                            <w:rPr>
                              <w:rFonts w:hint="eastAsia" w:ascii="宋体" w:hAnsi="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hint="eastAsia" w:ascii="宋体" w:hAnsi="宋体" w:cs="宋体"/>
                        <w:sz w:val="21"/>
                        <w:szCs w:val="21"/>
                      </w:rPr>
                      <w:t>- 1 -</w:t>
                    </w:r>
                    <w:r>
                      <w:rPr>
                        <w:rFonts w:hint="eastAsia" w:ascii="宋体" w:hAnsi="宋体" w:cs="宋体"/>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YTYzZjNlYWM3MjJlOTBiZjIwNjA2Y2UwNTk0YzgifQ=="/>
  </w:docVars>
  <w:rsids>
    <w:rsidRoot w:val="00B32679"/>
    <w:rsid w:val="00006F3B"/>
    <w:rsid w:val="000409F6"/>
    <w:rsid w:val="00053EFC"/>
    <w:rsid w:val="000623B5"/>
    <w:rsid w:val="000A7648"/>
    <w:rsid w:val="000C40CF"/>
    <w:rsid w:val="000D3FC1"/>
    <w:rsid w:val="000E4826"/>
    <w:rsid w:val="000E5629"/>
    <w:rsid w:val="000F79E9"/>
    <w:rsid w:val="00111124"/>
    <w:rsid w:val="00116E50"/>
    <w:rsid w:val="001235E3"/>
    <w:rsid w:val="001300B3"/>
    <w:rsid w:val="00130529"/>
    <w:rsid w:val="00152170"/>
    <w:rsid w:val="00163FE0"/>
    <w:rsid w:val="0017406E"/>
    <w:rsid w:val="00184C1D"/>
    <w:rsid w:val="001B3A82"/>
    <w:rsid w:val="001B6E21"/>
    <w:rsid w:val="001C3E50"/>
    <w:rsid w:val="001C6932"/>
    <w:rsid w:val="001D42F0"/>
    <w:rsid w:val="001D4CF7"/>
    <w:rsid w:val="001E2F13"/>
    <w:rsid w:val="001F445B"/>
    <w:rsid w:val="00215133"/>
    <w:rsid w:val="00270807"/>
    <w:rsid w:val="00275503"/>
    <w:rsid w:val="00283E7D"/>
    <w:rsid w:val="002B49FB"/>
    <w:rsid w:val="002B7133"/>
    <w:rsid w:val="002B783E"/>
    <w:rsid w:val="002D09B5"/>
    <w:rsid w:val="002E125A"/>
    <w:rsid w:val="002E70FD"/>
    <w:rsid w:val="002F27EA"/>
    <w:rsid w:val="003076DF"/>
    <w:rsid w:val="00320128"/>
    <w:rsid w:val="00341A24"/>
    <w:rsid w:val="003466D8"/>
    <w:rsid w:val="00361C51"/>
    <w:rsid w:val="00361EFA"/>
    <w:rsid w:val="00365BD8"/>
    <w:rsid w:val="00373FB4"/>
    <w:rsid w:val="0037771F"/>
    <w:rsid w:val="003812B8"/>
    <w:rsid w:val="00387151"/>
    <w:rsid w:val="003901CA"/>
    <w:rsid w:val="00396E4A"/>
    <w:rsid w:val="00397AD9"/>
    <w:rsid w:val="003A773D"/>
    <w:rsid w:val="003B7039"/>
    <w:rsid w:val="003C3EF8"/>
    <w:rsid w:val="003D56E3"/>
    <w:rsid w:val="003F2638"/>
    <w:rsid w:val="00410DED"/>
    <w:rsid w:val="00413A29"/>
    <w:rsid w:val="00413E65"/>
    <w:rsid w:val="00416E5C"/>
    <w:rsid w:val="0041721D"/>
    <w:rsid w:val="0042724B"/>
    <w:rsid w:val="004317ED"/>
    <w:rsid w:val="00435B96"/>
    <w:rsid w:val="00436E6B"/>
    <w:rsid w:val="00451670"/>
    <w:rsid w:val="00452F7F"/>
    <w:rsid w:val="00455A23"/>
    <w:rsid w:val="0046798C"/>
    <w:rsid w:val="00484E70"/>
    <w:rsid w:val="004871C3"/>
    <w:rsid w:val="0048725B"/>
    <w:rsid w:val="004915F8"/>
    <w:rsid w:val="004C7BEC"/>
    <w:rsid w:val="004D363B"/>
    <w:rsid w:val="004D4241"/>
    <w:rsid w:val="004E0A2B"/>
    <w:rsid w:val="004F5951"/>
    <w:rsid w:val="005017AC"/>
    <w:rsid w:val="005030BA"/>
    <w:rsid w:val="005152D5"/>
    <w:rsid w:val="00517D56"/>
    <w:rsid w:val="00522D22"/>
    <w:rsid w:val="00561759"/>
    <w:rsid w:val="0056189F"/>
    <w:rsid w:val="00567BC9"/>
    <w:rsid w:val="00591CFA"/>
    <w:rsid w:val="005A171C"/>
    <w:rsid w:val="005A3494"/>
    <w:rsid w:val="005B3C21"/>
    <w:rsid w:val="005B6BD2"/>
    <w:rsid w:val="005D21DE"/>
    <w:rsid w:val="005E5F69"/>
    <w:rsid w:val="005F215A"/>
    <w:rsid w:val="00601AE5"/>
    <w:rsid w:val="00602822"/>
    <w:rsid w:val="006109C5"/>
    <w:rsid w:val="00642116"/>
    <w:rsid w:val="00661E60"/>
    <w:rsid w:val="00670273"/>
    <w:rsid w:val="00676455"/>
    <w:rsid w:val="00686E35"/>
    <w:rsid w:val="00694E7B"/>
    <w:rsid w:val="006A5C38"/>
    <w:rsid w:val="006C6505"/>
    <w:rsid w:val="006D44E0"/>
    <w:rsid w:val="006D67D2"/>
    <w:rsid w:val="006E49E5"/>
    <w:rsid w:val="006F03CF"/>
    <w:rsid w:val="007024A4"/>
    <w:rsid w:val="0071325A"/>
    <w:rsid w:val="00721ED1"/>
    <w:rsid w:val="00724475"/>
    <w:rsid w:val="00725A28"/>
    <w:rsid w:val="00726083"/>
    <w:rsid w:val="0072683E"/>
    <w:rsid w:val="007425B8"/>
    <w:rsid w:val="007727EF"/>
    <w:rsid w:val="00785850"/>
    <w:rsid w:val="007920FB"/>
    <w:rsid w:val="00794FD2"/>
    <w:rsid w:val="007A1F87"/>
    <w:rsid w:val="007F33F0"/>
    <w:rsid w:val="007F4FC1"/>
    <w:rsid w:val="00812A3D"/>
    <w:rsid w:val="0081673E"/>
    <w:rsid w:val="0083253B"/>
    <w:rsid w:val="0083613E"/>
    <w:rsid w:val="008741C9"/>
    <w:rsid w:val="00887038"/>
    <w:rsid w:val="008907BE"/>
    <w:rsid w:val="008B29A9"/>
    <w:rsid w:val="008C6985"/>
    <w:rsid w:val="008D2D3B"/>
    <w:rsid w:val="009073E8"/>
    <w:rsid w:val="00907571"/>
    <w:rsid w:val="00930A7F"/>
    <w:rsid w:val="009741E2"/>
    <w:rsid w:val="00985542"/>
    <w:rsid w:val="009B65CD"/>
    <w:rsid w:val="009C070A"/>
    <w:rsid w:val="009D4E50"/>
    <w:rsid w:val="009F748E"/>
    <w:rsid w:val="009F7926"/>
    <w:rsid w:val="00A0368D"/>
    <w:rsid w:val="00A55599"/>
    <w:rsid w:val="00A66407"/>
    <w:rsid w:val="00A85E13"/>
    <w:rsid w:val="00AA1224"/>
    <w:rsid w:val="00AA522C"/>
    <w:rsid w:val="00AB7430"/>
    <w:rsid w:val="00AE3359"/>
    <w:rsid w:val="00AE7967"/>
    <w:rsid w:val="00B03A40"/>
    <w:rsid w:val="00B043A5"/>
    <w:rsid w:val="00B20DCF"/>
    <w:rsid w:val="00B32679"/>
    <w:rsid w:val="00B328A2"/>
    <w:rsid w:val="00B45959"/>
    <w:rsid w:val="00B636A9"/>
    <w:rsid w:val="00B70C44"/>
    <w:rsid w:val="00B720AF"/>
    <w:rsid w:val="00B813C6"/>
    <w:rsid w:val="00B864DB"/>
    <w:rsid w:val="00BA1D61"/>
    <w:rsid w:val="00BB3727"/>
    <w:rsid w:val="00BB71CA"/>
    <w:rsid w:val="00BC5EBE"/>
    <w:rsid w:val="00BE1DE9"/>
    <w:rsid w:val="00BE5F72"/>
    <w:rsid w:val="00C00962"/>
    <w:rsid w:val="00C023B0"/>
    <w:rsid w:val="00C0443B"/>
    <w:rsid w:val="00C237F2"/>
    <w:rsid w:val="00C30A9A"/>
    <w:rsid w:val="00C45387"/>
    <w:rsid w:val="00C52E51"/>
    <w:rsid w:val="00C66D83"/>
    <w:rsid w:val="00C80094"/>
    <w:rsid w:val="00C82480"/>
    <w:rsid w:val="00C850FF"/>
    <w:rsid w:val="00CD5785"/>
    <w:rsid w:val="00CF22C4"/>
    <w:rsid w:val="00D21591"/>
    <w:rsid w:val="00D5315E"/>
    <w:rsid w:val="00D53D9E"/>
    <w:rsid w:val="00D70D4B"/>
    <w:rsid w:val="00D71625"/>
    <w:rsid w:val="00D76E19"/>
    <w:rsid w:val="00D8215A"/>
    <w:rsid w:val="00D934C4"/>
    <w:rsid w:val="00DA04E1"/>
    <w:rsid w:val="00DB05A7"/>
    <w:rsid w:val="00DB17A3"/>
    <w:rsid w:val="00DE3084"/>
    <w:rsid w:val="00DE7CB8"/>
    <w:rsid w:val="00DF7CED"/>
    <w:rsid w:val="00E017D3"/>
    <w:rsid w:val="00E0683A"/>
    <w:rsid w:val="00E25CB8"/>
    <w:rsid w:val="00E31A8C"/>
    <w:rsid w:val="00E31FAA"/>
    <w:rsid w:val="00E42C97"/>
    <w:rsid w:val="00E4383B"/>
    <w:rsid w:val="00E57036"/>
    <w:rsid w:val="00E67A5D"/>
    <w:rsid w:val="00E745ED"/>
    <w:rsid w:val="00E75FE7"/>
    <w:rsid w:val="00E84CF9"/>
    <w:rsid w:val="00E926BF"/>
    <w:rsid w:val="00E96D8E"/>
    <w:rsid w:val="00EB6E2F"/>
    <w:rsid w:val="00EC5562"/>
    <w:rsid w:val="00EC760D"/>
    <w:rsid w:val="00EE637B"/>
    <w:rsid w:val="00F04F3B"/>
    <w:rsid w:val="00F15A10"/>
    <w:rsid w:val="00F15D77"/>
    <w:rsid w:val="00F33E4B"/>
    <w:rsid w:val="00F35E82"/>
    <w:rsid w:val="00F64C84"/>
    <w:rsid w:val="00F6554B"/>
    <w:rsid w:val="00F67C53"/>
    <w:rsid w:val="00F7631B"/>
    <w:rsid w:val="00F82DBB"/>
    <w:rsid w:val="00F93287"/>
    <w:rsid w:val="00FA62AA"/>
    <w:rsid w:val="00FB0D1C"/>
    <w:rsid w:val="00FE4420"/>
    <w:rsid w:val="029263DB"/>
    <w:rsid w:val="061B7CF0"/>
    <w:rsid w:val="0DB04044"/>
    <w:rsid w:val="11F41115"/>
    <w:rsid w:val="16A42DD5"/>
    <w:rsid w:val="207F75EA"/>
    <w:rsid w:val="2B1B604F"/>
    <w:rsid w:val="2D954C37"/>
    <w:rsid w:val="2F9571CE"/>
    <w:rsid w:val="2FB910B1"/>
    <w:rsid w:val="313078F5"/>
    <w:rsid w:val="34515C51"/>
    <w:rsid w:val="36231A77"/>
    <w:rsid w:val="37C0357F"/>
    <w:rsid w:val="39A86C96"/>
    <w:rsid w:val="3BD10CA3"/>
    <w:rsid w:val="4B5378F4"/>
    <w:rsid w:val="4B7E09B6"/>
    <w:rsid w:val="514D1D26"/>
    <w:rsid w:val="51F3391A"/>
    <w:rsid w:val="58563FB6"/>
    <w:rsid w:val="58BC11D0"/>
    <w:rsid w:val="5B7761FF"/>
    <w:rsid w:val="5CC91909"/>
    <w:rsid w:val="618D11D9"/>
    <w:rsid w:val="62E444D5"/>
    <w:rsid w:val="67061EB0"/>
    <w:rsid w:val="67EA3B93"/>
    <w:rsid w:val="6866661E"/>
    <w:rsid w:val="691C2026"/>
    <w:rsid w:val="6BF213DC"/>
    <w:rsid w:val="6D4A17A8"/>
    <w:rsid w:val="6E9A012F"/>
    <w:rsid w:val="6F5903FE"/>
    <w:rsid w:val="712F6028"/>
    <w:rsid w:val="715139D3"/>
    <w:rsid w:val="7539233D"/>
    <w:rsid w:val="7B2B5E22"/>
    <w:rsid w:val="7DF2518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20"/>
    <w:qFormat/>
    <w:uiPriority w:val="99"/>
    <w:pPr>
      <w:jc w:val="left"/>
      <w:outlineLvl w:val="0"/>
    </w:pPr>
    <w:rPr>
      <w:rFonts w:ascii="宋体" w:hAnsi="宋体" w:cs="宋体"/>
      <w:b/>
      <w:bCs/>
      <w:kern w:val="44"/>
      <w:sz w:val="48"/>
      <w:szCs w:val="4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wang正文"/>
    <w:basedOn w:val="1"/>
    <w:qFormat/>
    <w:uiPriority w:val="0"/>
    <w:pPr>
      <w:tabs>
        <w:tab w:val="left" w:pos="6840"/>
      </w:tabs>
      <w:topLinePunct/>
      <w:ind w:firstLine="420"/>
    </w:pPr>
    <w:rPr>
      <w:kern w:val="0"/>
    </w:rPr>
  </w:style>
  <w:style w:type="paragraph" w:styleId="4">
    <w:name w:val="annotation text"/>
    <w:basedOn w:val="1"/>
    <w:link w:val="21"/>
    <w:semiHidden/>
    <w:qFormat/>
    <w:locked/>
    <w:uiPriority w:val="99"/>
    <w:pPr>
      <w:jc w:val="left"/>
    </w:pPr>
  </w:style>
  <w:style w:type="paragraph" w:styleId="5">
    <w:name w:val="List 2"/>
    <w:basedOn w:val="1"/>
    <w:qFormat/>
    <w:locked/>
    <w:uiPriority w:val="99"/>
    <w:pPr>
      <w:autoSpaceDE w:val="0"/>
      <w:autoSpaceDN w:val="0"/>
      <w:ind w:left="100" w:leftChars="200" w:hanging="200" w:hangingChars="200"/>
      <w:jc w:val="left"/>
    </w:pPr>
    <w:rPr>
      <w:rFonts w:ascii="宋体" w:hAnsi="宋体" w:cs="宋体"/>
      <w:kern w:val="0"/>
      <w:sz w:val="22"/>
      <w:szCs w:val="22"/>
      <w:lang w:val="zh-CN"/>
    </w:rPr>
  </w:style>
  <w:style w:type="paragraph" w:styleId="6">
    <w:name w:val="Plain Text"/>
    <w:basedOn w:val="1"/>
    <w:link w:val="22"/>
    <w:qFormat/>
    <w:uiPriority w:val="99"/>
    <w:rPr>
      <w:rFonts w:ascii="宋体" w:hAnsi="Courier New" w:cs="宋体"/>
      <w:kern w:val="0"/>
      <w:sz w:val="20"/>
      <w:szCs w:val="20"/>
    </w:rPr>
  </w:style>
  <w:style w:type="paragraph" w:styleId="7">
    <w:name w:val="Date"/>
    <w:basedOn w:val="1"/>
    <w:next w:val="1"/>
    <w:link w:val="23"/>
    <w:semiHidden/>
    <w:qFormat/>
    <w:uiPriority w:val="99"/>
    <w:pPr>
      <w:ind w:left="100" w:leftChars="2500"/>
    </w:pPr>
    <w:rPr>
      <w:kern w:val="0"/>
      <w:sz w:val="20"/>
      <w:szCs w:val="20"/>
    </w:rPr>
  </w:style>
  <w:style w:type="paragraph" w:styleId="8">
    <w:name w:val="Balloon Text"/>
    <w:basedOn w:val="1"/>
    <w:link w:val="24"/>
    <w:semiHidden/>
    <w:qFormat/>
    <w:uiPriority w:val="99"/>
    <w:rPr>
      <w:kern w:val="0"/>
      <w:sz w:val="18"/>
      <w:szCs w:val="18"/>
    </w:rPr>
  </w:style>
  <w:style w:type="paragraph" w:styleId="9">
    <w:name w:val="footer"/>
    <w:basedOn w:val="1"/>
    <w:link w:val="25"/>
    <w:qFormat/>
    <w:uiPriority w:val="99"/>
    <w:pPr>
      <w:tabs>
        <w:tab w:val="center" w:pos="4153"/>
        <w:tab w:val="right" w:pos="8306"/>
      </w:tabs>
      <w:snapToGrid w:val="0"/>
      <w:jc w:val="left"/>
    </w:pPr>
    <w:rPr>
      <w:kern w:val="0"/>
      <w:sz w:val="18"/>
      <w:szCs w:val="18"/>
    </w:rPr>
  </w:style>
  <w:style w:type="paragraph" w:styleId="10">
    <w:name w:val="header"/>
    <w:basedOn w:val="1"/>
    <w:link w:val="26"/>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Body Text Indent 3"/>
    <w:basedOn w:val="1"/>
    <w:link w:val="27"/>
    <w:qFormat/>
    <w:uiPriority w:val="99"/>
    <w:pPr>
      <w:spacing w:after="120"/>
      <w:ind w:left="420" w:leftChars="200"/>
    </w:pPr>
    <w:rPr>
      <w:kern w:val="0"/>
      <w:sz w:val="16"/>
      <w:szCs w:val="16"/>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3">
    <w:name w:val="annotation subject"/>
    <w:basedOn w:val="4"/>
    <w:next w:val="4"/>
    <w:link w:val="33"/>
    <w:semiHidden/>
    <w:unhideWhenUsed/>
    <w:qFormat/>
    <w:locked/>
    <w:uiPriority w:val="99"/>
    <w:rPr>
      <w:b/>
      <w:bCs/>
    </w:rPr>
  </w:style>
  <w:style w:type="table" w:styleId="15">
    <w:name w:val="Table Grid"/>
    <w:basedOn w:val="1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qFormat/>
    <w:uiPriority w:val="99"/>
    <w:rPr>
      <w:color w:val="0000FF"/>
      <w:u w:val="single"/>
    </w:rPr>
  </w:style>
  <w:style w:type="character" w:styleId="18">
    <w:name w:val="annotation reference"/>
    <w:semiHidden/>
    <w:qFormat/>
    <w:uiPriority w:val="99"/>
    <w:rPr>
      <w:sz w:val="21"/>
      <w:szCs w:val="21"/>
    </w:rPr>
  </w:style>
  <w:style w:type="paragraph" w:customStyle="1" w:styleId="19">
    <w:name w:val="UserStyle_0"/>
    <w:basedOn w:val="1"/>
    <w:qFormat/>
    <w:uiPriority w:val="0"/>
    <w:pPr>
      <w:spacing w:after="0"/>
      <w:jc w:val="both"/>
      <w:textAlignment w:val="baseline"/>
    </w:pPr>
    <w:rPr>
      <w:rFonts w:ascii="Calibri" w:hAnsi="Calibri" w:eastAsia="宋体"/>
      <w:color w:val="000000"/>
      <w:kern w:val="2"/>
      <w:sz w:val="24"/>
      <w:szCs w:val="24"/>
      <w:lang w:val="en-US" w:eastAsia="zh-CN" w:bidi="ar-SA"/>
    </w:rPr>
  </w:style>
  <w:style w:type="character" w:customStyle="1" w:styleId="20">
    <w:name w:val="标题 1 Char"/>
    <w:link w:val="3"/>
    <w:qFormat/>
    <w:locked/>
    <w:uiPriority w:val="99"/>
    <w:rPr>
      <w:rFonts w:ascii="宋体" w:hAnsi="宋体" w:eastAsia="宋体" w:cs="宋体"/>
      <w:b/>
      <w:bCs/>
      <w:kern w:val="44"/>
      <w:sz w:val="48"/>
      <w:szCs w:val="48"/>
    </w:rPr>
  </w:style>
  <w:style w:type="character" w:customStyle="1" w:styleId="21">
    <w:name w:val="批注文字 Char"/>
    <w:link w:val="4"/>
    <w:semiHidden/>
    <w:qFormat/>
    <w:uiPriority w:val="99"/>
    <w:rPr>
      <w:rFonts w:ascii="Calibri" w:hAnsi="Calibri" w:cs="Calibri"/>
      <w:szCs w:val="21"/>
    </w:rPr>
  </w:style>
  <w:style w:type="character" w:customStyle="1" w:styleId="22">
    <w:name w:val="纯文本 Char"/>
    <w:link w:val="6"/>
    <w:qFormat/>
    <w:locked/>
    <w:uiPriority w:val="99"/>
    <w:rPr>
      <w:rFonts w:ascii="宋体" w:hAnsi="Courier New" w:eastAsia="宋体" w:cs="宋体"/>
    </w:rPr>
  </w:style>
  <w:style w:type="character" w:customStyle="1" w:styleId="23">
    <w:name w:val="日期 Char"/>
    <w:link w:val="7"/>
    <w:semiHidden/>
    <w:qFormat/>
    <w:locked/>
    <w:uiPriority w:val="99"/>
    <w:rPr>
      <w:rFonts w:ascii="Calibri" w:hAnsi="Calibri" w:eastAsia="宋体" w:cs="Calibri"/>
    </w:rPr>
  </w:style>
  <w:style w:type="character" w:customStyle="1" w:styleId="24">
    <w:name w:val="批注框文本 Char"/>
    <w:link w:val="8"/>
    <w:semiHidden/>
    <w:qFormat/>
    <w:locked/>
    <w:uiPriority w:val="99"/>
    <w:rPr>
      <w:rFonts w:ascii="Calibri" w:hAnsi="Calibri" w:eastAsia="宋体" w:cs="Calibri"/>
      <w:sz w:val="18"/>
      <w:szCs w:val="18"/>
    </w:rPr>
  </w:style>
  <w:style w:type="character" w:customStyle="1" w:styleId="25">
    <w:name w:val="页脚 Char"/>
    <w:link w:val="9"/>
    <w:qFormat/>
    <w:locked/>
    <w:uiPriority w:val="99"/>
    <w:rPr>
      <w:rFonts w:ascii="Calibri" w:hAnsi="Calibri" w:eastAsia="宋体" w:cs="Calibri"/>
      <w:sz w:val="18"/>
      <w:szCs w:val="18"/>
    </w:rPr>
  </w:style>
  <w:style w:type="character" w:customStyle="1" w:styleId="26">
    <w:name w:val="页眉 Char"/>
    <w:link w:val="10"/>
    <w:qFormat/>
    <w:locked/>
    <w:uiPriority w:val="99"/>
    <w:rPr>
      <w:rFonts w:ascii="Calibri" w:hAnsi="Calibri" w:eastAsia="宋体" w:cs="Calibri"/>
      <w:sz w:val="18"/>
      <w:szCs w:val="18"/>
    </w:rPr>
  </w:style>
  <w:style w:type="character" w:customStyle="1" w:styleId="27">
    <w:name w:val="正文文本缩进 3 Char"/>
    <w:link w:val="11"/>
    <w:qFormat/>
    <w:locked/>
    <w:uiPriority w:val="99"/>
    <w:rPr>
      <w:rFonts w:ascii="Calibri" w:hAnsi="Calibri" w:cs="Calibri"/>
      <w:sz w:val="16"/>
      <w:szCs w:val="16"/>
    </w:rPr>
  </w:style>
  <w:style w:type="paragraph" w:customStyle="1" w:styleId="28">
    <w:name w:val="肥料正文"/>
    <w:basedOn w:val="1"/>
    <w:qFormat/>
    <w:uiPriority w:val="99"/>
    <w:pPr>
      <w:adjustRightInd w:val="0"/>
      <w:snapToGrid w:val="0"/>
      <w:spacing w:line="316" w:lineRule="auto"/>
      <w:ind w:firstLine="200" w:firstLineChars="200"/>
    </w:pPr>
    <w:rPr>
      <w:rFonts w:ascii="Times New Roman" w:hAnsi="Times New Roman" w:eastAsia="汉鼎简书宋二" w:cs="Times New Roman"/>
      <w:spacing w:val="2"/>
      <w:kern w:val="0"/>
      <w:sz w:val="22"/>
      <w:szCs w:val="22"/>
    </w:rPr>
  </w:style>
  <w:style w:type="paragraph" w:customStyle="1" w:styleId="29">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30">
    <w:name w:val="正文文本缩进 3 Char1"/>
    <w:semiHidden/>
    <w:qFormat/>
    <w:uiPriority w:val="99"/>
    <w:rPr>
      <w:rFonts w:ascii="Calibri" w:hAnsi="Calibri" w:eastAsia="宋体" w:cs="Calibri"/>
      <w:sz w:val="16"/>
      <w:szCs w:val="16"/>
    </w:rPr>
  </w:style>
  <w:style w:type="character" w:customStyle="1" w:styleId="31">
    <w:name w:val="纯文本 Char1"/>
    <w:semiHidden/>
    <w:qFormat/>
    <w:uiPriority w:val="99"/>
    <w:rPr>
      <w:rFonts w:ascii="宋体" w:hAnsi="Courier New" w:eastAsia="宋体" w:cs="宋体"/>
      <w:sz w:val="21"/>
      <w:szCs w:val="21"/>
    </w:rPr>
  </w:style>
  <w:style w:type="paragraph" w:customStyle="1" w:styleId="32">
    <w:name w:val="纯文本1"/>
    <w:basedOn w:val="1"/>
    <w:qFormat/>
    <w:uiPriority w:val="99"/>
    <w:pPr>
      <w:adjustRightInd w:val="0"/>
      <w:textAlignment w:val="baseline"/>
    </w:pPr>
    <w:rPr>
      <w:rFonts w:ascii="宋体" w:hAnsi="Courier New" w:cs="宋体"/>
    </w:rPr>
  </w:style>
  <w:style w:type="character" w:customStyle="1" w:styleId="33">
    <w:name w:val="批注主题 Char"/>
    <w:link w:val="13"/>
    <w:semiHidden/>
    <w:qFormat/>
    <w:uiPriority w:val="99"/>
    <w:rPr>
      <w:rFonts w:ascii="Calibri" w:hAnsi="Calibri" w:cs="Calibri"/>
      <w:b/>
      <w:bCs/>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2005</Words>
  <Characters>2173</Characters>
  <Lines>42</Lines>
  <Paragraphs>11</Paragraphs>
  <TotalTime>0</TotalTime>
  <ScaleCrop>false</ScaleCrop>
  <LinksUpToDate>false</LinksUpToDate>
  <CharactersWithSpaces>2199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2021-04-01T02:03:00Z</dcterms:created>
  <dc:creator>jiangdw</dc:creator>
  <cp:lastModifiedBy>dell</cp:lastModifiedBy>
  <dcterms:modified xsi:type="dcterms:W3CDTF">2022-07-18T00:40:45Z</dcterms:modified>
  <dc:title>辽宁省阀门、水嘴产品质量监督抽查</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94B1B9FBB82742B6AFFE34A4C61C3456</vt:lpwstr>
  </property>
</Properties>
</file>