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color w:val="000000"/>
          <w:sz w:val="36"/>
          <w:szCs w:val="36"/>
          <w:lang w:eastAsia="zh-CN"/>
        </w:rPr>
      </w:pPr>
      <w:r>
        <w:rPr>
          <w:rFonts w:hint="eastAsia" w:ascii="仿宋" w:hAnsi="仿宋" w:eastAsia="仿宋" w:cs="仿宋"/>
          <w:b/>
          <w:bCs/>
          <w:color w:val="000000"/>
          <w:sz w:val="36"/>
          <w:szCs w:val="36"/>
          <w:lang w:val="en-US" w:eastAsia="zh-CN"/>
        </w:rPr>
        <w:t>2022年</w:t>
      </w:r>
      <w:r>
        <w:rPr>
          <w:rFonts w:hint="eastAsia" w:ascii="仿宋" w:hAnsi="仿宋" w:eastAsia="仿宋" w:cs="仿宋"/>
          <w:b/>
          <w:bCs/>
          <w:color w:val="000000"/>
          <w:sz w:val="36"/>
          <w:szCs w:val="36"/>
          <w:lang w:eastAsia="zh-CN"/>
        </w:rPr>
        <w:t>盘锦市卫生洁具（坐便器）</w:t>
      </w:r>
    </w:p>
    <w:p>
      <w:pPr>
        <w:jc w:val="center"/>
        <w:rPr>
          <w:rFonts w:hint="eastAsia" w:ascii="仿宋" w:hAnsi="仿宋" w:eastAsia="仿宋" w:cs="仿宋"/>
          <w:b/>
          <w:bCs/>
          <w:sz w:val="36"/>
          <w:szCs w:val="36"/>
        </w:rPr>
      </w:pPr>
      <w:r>
        <w:rPr>
          <w:rFonts w:hint="eastAsia" w:ascii="仿宋" w:hAnsi="仿宋" w:eastAsia="仿宋" w:cs="仿宋"/>
          <w:b/>
          <w:bCs/>
          <w:spacing w:val="20"/>
          <w:w w:val="105"/>
          <w:sz w:val="36"/>
          <w:szCs w:val="36"/>
        </w:rPr>
        <w:t>产品质量监督抽查实施细则</w:t>
      </w:r>
    </w:p>
    <w:p>
      <w:pPr>
        <w:jc w:val="center"/>
        <w:rPr>
          <w:rFonts w:ascii="仿宋_GB2312" w:hAnsi="宋体" w:eastAsia="仿宋_GB231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ascii="仿宋_GB2312" w:eastAsia="仿宋_GB2312"/>
          <w:sz w:val="28"/>
          <w:szCs w:val="28"/>
        </w:rPr>
      </w:pPr>
      <w:r>
        <w:rPr>
          <w:rFonts w:hint="eastAsia" w:ascii="仿宋_GB2312" w:eastAsia="仿宋_GB2312"/>
          <w:sz w:val="28"/>
          <w:szCs w:val="28"/>
        </w:rPr>
        <w:t>1适用范围</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ascii="仿宋_GB2312" w:eastAsia="仿宋_GB2312"/>
          <w:sz w:val="28"/>
          <w:szCs w:val="28"/>
        </w:rPr>
      </w:pPr>
      <w:r>
        <w:rPr>
          <w:rFonts w:hint="eastAsia" w:ascii="仿宋_GB2312" w:eastAsia="仿宋_GB2312"/>
          <w:sz w:val="28"/>
          <w:szCs w:val="28"/>
        </w:rPr>
        <w:t>本细则适用于</w:t>
      </w:r>
      <w:r>
        <w:rPr>
          <w:rFonts w:hint="eastAsia" w:ascii="仿宋_GB2312" w:eastAsia="仿宋_GB2312"/>
          <w:sz w:val="28"/>
          <w:szCs w:val="28"/>
          <w:lang w:eastAsia="zh-CN"/>
        </w:rPr>
        <w:t>盘锦市卫生洁具（</w:t>
      </w:r>
      <w:r>
        <w:rPr>
          <w:rFonts w:hint="eastAsia" w:ascii="仿宋_GB2312" w:eastAsia="仿宋_GB2312"/>
          <w:sz w:val="28"/>
          <w:szCs w:val="28"/>
        </w:rPr>
        <w:t>坐便器</w:t>
      </w:r>
      <w:r>
        <w:rPr>
          <w:rFonts w:hint="eastAsia" w:ascii="仿宋_GB2312" w:eastAsia="仿宋_GB2312"/>
          <w:sz w:val="28"/>
          <w:szCs w:val="28"/>
          <w:lang w:eastAsia="zh-CN"/>
        </w:rPr>
        <w:t>）</w:t>
      </w:r>
      <w:r>
        <w:rPr>
          <w:rFonts w:hint="eastAsia" w:ascii="仿宋_GB2312" w:eastAsia="仿宋_GB2312"/>
          <w:sz w:val="28"/>
          <w:szCs w:val="28"/>
        </w:rPr>
        <w:t>产品质量监督抽查，针对特殊情况的专项抽查、</w:t>
      </w:r>
      <w:r>
        <w:rPr>
          <w:rFonts w:hint="eastAsia" w:ascii="仿宋_GB2312" w:eastAsia="仿宋_GB2312"/>
          <w:sz w:val="28"/>
          <w:szCs w:val="28"/>
          <w:lang w:eastAsia="zh-CN"/>
        </w:rPr>
        <w:t>盘锦市</w:t>
      </w:r>
      <w:r>
        <w:rPr>
          <w:rFonts w:hint="eastAsia" w:ascii="仿宋_GB2312" w:eastAsia="仿宋_GB2312"/>
          <w:sz w:val="28"/>
          <w:szCs w:val="28"/>
        </w:rPr>
        <w:t>内县级以上市场监督管理部门组织的地方监督抽查可参照执行。本细则内容包括产品分类、术语和定义、生产企业规模划分、检验依据、抽样、检验要求、判定原则、异议处理。</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ascii="仿宋_GB2312" w:eastAsia="仿宋_GB2312"/>
          <w:sz w:val="28"/>
          <w:szCs w:val="28"/>
        </w:rPr>
      </w:pPr>
      <w:r>
        <w:rPr>
          <w:rFonts w:hint="eastAsia" w:ascii="仿宋_GB2312" w:eastAsia="仿宋_GB2312"/>
          <w:sz w:val="28"/>
          <w:szCs w:val="28"/>
        </w:rPr>
        <w:t>2产品分类</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2.1 产品分类</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5"/>
        <w:gridCol w:w="2013"/>
        <w:gridCol w:w="2013"/>
        <w:gridCol w:w="1609"/>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48"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产品分类</w:t>
            </w:r>
          </w:p>
        </w:tc>
        <w:tc>
          <w:tcPr>
            <w:tcW w:w="1181"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一级分类</w:t>
            </w:r>
          </w:p>
        </w:tc>
        <w:tc>
          <w:tcPr>
            <w:tcW w:w="1181"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二级分类</w:t>
            </w:r>
          </w:p>
        </w:tc>
        <w:tc>
          <w:tcPr>
            <w:tcW w:w="944" w:type="pct"/>
            <w:noWrap w:val="0"/>
            <w:vAlign w:val="center"/>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c>
          <w:tcPr>
            <w:tcW w:w="944" w:type="pct"/>
            <w:noWrap w:val="0"/>
            <w:vAlign w:val="center"/>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rPr>
              <w:t>属性编码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8"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181"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w:t>
            </w:r>
            <w:r>
              <w:rPr>
                <w:rFonts w:hint="eastAsia" w:ascii="仿宋" w:hAnsi="仿宋" w:eastAsia="仿宋" w:cs="仿宋"/>
                <w:sz w:val="24"/>
                <w:szCs w:val="24"/>
              </w:rPr>
              <w:t>4</w:t>
            </w:r>
          </w:p>
        </w:tc>
        <w:tc>
          <w:tcPr>
            <w:tcW w:w="1181" w:type="pct"/>
            <w:noWrap w:val="0"/>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944" w:type="pct"/>
            <w:noWrap w:val="0"/>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944" w:type="pct"/>
            <w:noWrap w:val="0"/>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48"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181"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建筑和装饰装修材料</w:t>
            </w:r>
          </w:p>
        </w:tc>
        <w:tc>
          <w:tcPr>
            <w:tcW w:w="1181"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装饰装修材料</w:t>
            </w:r>
          </w:p>
        </w:tc>
        <w:tc>
          <w:tcPr>
            <w:tcW w:w="944"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卫生陶瓷</w:t>
            </w:r>
          </w:p>
        </w:tc>
        <w:tc>
          <w:tcPr>
            <w:tcW w:w="944" w:type="pct"/>
            <w:noWrap w:val="0"/>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陶瓷坐便器</w:t>
            </w:r>
          </w:p>
        </w:tc>
      </w:tr>
    </w:tbl>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2.2产品种类</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陶瓷坐便器按类型分为：挂箱式、坐箱式（常称分体式）、连体式（常称单体式）、冲洗阀式。</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陶瓷坐便器按用水量分为：普通型和节水型。</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3术语和定义</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下列术语和定义适用于本细则。</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3.1节水型便器：名义和实际用水量不大于5.0L的坐便器；名义和实际用水量不大于6.0L的蹲便器；名义和实际用水量不大于3.0L的小便器。</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4生产企业规模划分</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根据国家统计局印发的相关管理办法，确定企业规模。</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5检验依据</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GB/T 6952《卫生陶瓷》</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相关的法律、行政法规、部门规章、规范性文件</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现行有效的企业标准、团体标准、地方标准及产品明示质量要求</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6抽样</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6.1抽样型号或规格</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抽取样品应为同一型号规格、同一批次的产品。</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6.2抽样基数、抽样数量</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6.2.1 在企业的成品库内或市场待销产品中随机抽取有产品质量检验合格证明或者以其他形式表明合格的、近期生产的产品。</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6.2.2抽样基数</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在生产领域抽样时，抽样基数不少于20件；流通领域抽样时，抽样基数满足抽样数量即可。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6.2.3抽样方法及数量</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每家企业优先抽取具有代表性的规格型号的产品，每种产品共抽取样品2件，其中1件作为备用样品。每件样品均应包括与之相配套的冲水装置一套。</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随机抽样工具选择扑克牌或骰子，随机数一般可使用随机数表、骰子或扑克牌等方法产生。</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6.3样品处置</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6.3.1封样</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抽取的样品应包装好，将封样单展开粘贴于已包装样品的封口处，由抽样人员和被抽查企业有关人员在封样单上签名，样品抽取后封样时应当有防拆封措施，以保证样品的真实性。检验用样品及备用样品应分别封样。</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6.3.2样品确认和保存</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样品到达检验机构后，接收人负责检查、记录样品的外观、状态、封样单有无破损及其他可能对检测结果或者综合判定产生影响的情况，并确认样品与抽样单的记录是否相符，对检验和备用样品分别加贴标识后保存，保存环境应符合标准要求。</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6.3.3盲样处置</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样品到达检验机构后，接收人负责将样品生产企业信息覆盖后，标记编号，样品转交至检验人员时，样品应不体现生产企业信息，仅体现样品编号及产品信息。</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6.3.4运送时应防止剧烈碰撞损坏样品。</w:t>
      </w:r>
    </w:p>
    <w:p>
      <w:pPr>
        <w:adjustRightInd w:val="0"/>
        <w:snapToGrid w:val="0"/>
        <w:spacing w:line="360" w:lineRule="auto"/>
        <w:ind w:firstLine="560" w:firstLineChars="200"/>
        <w:rPr>
          <w:rFonts w:hint="eastAsia" w:ascii="仿宋_GB2312" w:eastAsia="仿宋_GB2312"/>
          <w:sz w:val="28"/>
          <w:szCs w:val="28"/>
          <w:highlight w:val="none"/>
        </w:rPr>
      </w:pPr>
      <w:r>
        <w:rPr>
          <w:rFonts w:hint="eastAsia" w:ascii="仿宋_GB2312" w:eastAsia="仿宋_GB2312"/>
          <w:sz w:val="28"/>
          <w:szCs w:val="28"/>
          <w:highlight w:val="none"/>
        </w:rPr>
        <w:t>6.4抽样单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6.5</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6.5</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lang w:val="en-US" w:eastAsia="zh-CN"/>
        </w:rPr>
        <w:t>6.5</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6.6抽样注意事项</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抽样时，抽样人员应当认真核实营业执照等被抽查企业的相关信息，确认企业不存在不得抽样的情形。遇有下列情况之一且能提供有效证明的，不得抽样：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（1）被抽查企业无监督抽查通知书或者相关文件复印件所列产品的；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（2）有充分证据证明拟抽查的产品是不用于销售的；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（3）产品不涉及强制性标准要求，仅按双方约定的技术要求加工生产，且未执行任何标准的；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（4）有充分证据证明拟抽查的产品为企业用于出口，并且出口合同对产品质量另有规定的；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（5）产品或者标签、包装、说明书标有“试制”、“处理”或者“样品”等字样的；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（6）企业提供上级市场监管部门6个月内该种产品的监督抽查抽样单或者合格检验报告的。</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7检验要求</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7.1检验项目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 xml:space="preserve">7.1.1坐便器检验项目   </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rPr>
        <w:t>表2  坐便器检验项目</w:t>
      </w:r>
    </w:p>
    <w:tbl>
      <w:tblPr>
        <w:tblStyle w:val="8"/>
        <w:tblW w:w="8037" w:type="dxa"/>
        <w:jc w:val="center"/>
        <w:tblLayout w:type="fixed"/>
        <w:tblCellMar>
          <w:top w:w="0" w:type="dxa"/>
          <w:left w:w="108" w:type="dxa"/>
          <w:bottom w:w="0" w:type="dxa"/>
          <w:right w:w="108" w:type="dxa"/>
        </w:tblCellMar>
      </w:tblPr>
      <w:tblGrid>
        <w:gridCol w:w="1150"/>
        <w:gridCol w:w="3494"/>
        <w:gridCol w:w="3393"/>
      </w:tblGrid>
      <w:tr>
        <w:tblPrEx>
          <w:tblCellMar>
            <w:top w:w="0" w:type="dxa"/>
            <w:left w:w="108" w:type="dxa"/>
            <w:bottom w:w="0" w:type="dxa"/>
            <w:right w:w="108" w:type="dxa"/>
          </w:tblCellMar>
        </w:tblPrEx>
        <w:trPr>
          <w:trHeight w:val="270" w:hRule="atLeast"/>
          <w:jc w:val="center"/>
        </w:trPr>
        <w:tc>
          <w:tcPr>
            <w:tcW w:w="1150" w:type="dxa"/>
            <w:tcBorders>
              <w:top w:val="single" w:color="auto" w:sz="4" w:space="0"/>
              <w:left w:val="single" w:color="000000" w:sz="4" w:space="0"/>
              <w:bottom w:val="single" w:color="000000" w:sz="4" w:space="0"/>
              <w:right w:val="single" w:color="auto" w:sz="4" w:space="0"/>
            </w:tcBorders>
            <w:noWrap w:val="0"/>
            <w:vAlign w:val="top"/>
          </w:tcPr>
          <w:p>
            <w:pPr>
              <w:snapToGrid w:val="0"/>
              <w:spacing w:line="440" w:lineRule="exact"/>
              <w:jc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序号</w:t>
            </w:r>
          </w:p>
        </w:tc>
        <w:tc>
          <w:tcPr>
            <w:tcW w:w="3494" w:type="dxa"/>
            <w:tcBorders>
              <w:top w:val="single" w:color="auto" w:sz="4" w:space="0"/>
              <w:left w:val="single" w:color="auto" w:sz="4" w:space="0"/>
              <w:bottom w:val="single" w:color="000000" w:sz="4" w:space="0"/>
              <w:right w:val="single" w:color="auto" w:sz="4" w:space="0"/>
            </w:tcBorders>
            <w:noWrap w:val="0"/>
            <w:vAlign w:val="top"/>
          </w:tcPr>
          <w:p>
            <w:pPr>
              <w:snapToGrid w:val="0"/>
              <w:spacing w:line="4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检验项目</w:t>
            </w:r>
          </w:p>
        </w:tc>
        <w:tc>
          <w:tcPr>
            <w:tcW w:w="3393" w:type="dxa"/>
            <w:tcBorders>
              <w:top w:val="single" w:color="auto" w:sz="4" w:space="0"/>
              <w:left w:val="single" w:color="auto" w:sz="4" w:space="0"/>
              <w:bottom w:val="single" w:color="000000" w:sz="4" w:space="0"/>
              <w:right w:val="single" w:color="000000" w:sz="4" w:space="0"/>
            </w:tcBorders>
            <w:noWrap w:val="0"/>
            <w:vAlign w:val="top"/>
          </w:tcPr>
          <w:p>
            <w:pPr>
              <w:snapToGrid w:val="0"/>
              <w:spacing w:line="440" w:lineRule="exact"/>
              <w:jc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检验方法</w:t>
            </w:r>
          </w:p>
        </w:tc>
      </w:tr>
      <w:tr>
        <w:tblPrEx>
          <w:tblCellMar>
            <w:top w:w="0" w:type="dxa"/>
            <w:left w:w="108" w:type="dxa"/>
            <w:bottom w:w="0" w:type="dxa"/>
            <w:right w:w="108" w:type="dxa"/>
          </w:tblCellMar>
        </w:tblPrEx>
        <w:trPr>
          <w:trHeight w:val="270" w:hRule="atLeast"/>
          <w:jc w:val="center"/>
        </w:trPr>
        <w:tc>
          <w:tcPr>
            <w:tcW w:w="115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w:t>
            </w:r>
          </w:p>
        </w:tc>
        <w:tc>
          <w:tcPr>
            <w:tcW w:w="3494" w:type="dxa"/>
            <w:tcBorders>
              <w:top w:val="single" w:color="auto" w:sz="4" w:space="0"/>
              <w:left w:val="single" w:color="auto" w:sz="4" w:space="0"/>
              <w:bottom w:val="single" w:color="000000"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产品标记</w:t>
            </w:r>
          </w:p>
        </w:tc>
        <w:tc>
          <w:tcPr>
            <w:tcW w:w="3393" w:type="dxa"/>
            <w:tcBorders>
              <w:top w:val="single" w:color="auto" w:sz="4" w:space="0"/>
              <w:left w:val="single" w:color="auto"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w:t>
            </w:r>
          </w:p>
        </w:tc>
        <w:tc>
          <w:tcPr>
            <w:tcW w:w="3494" w:type="dxa"/>
            <w:tcBorders>
              <w:top w:val="single" w:color="auto" w:sz="4" w:space="0"/>
              <w:left w:val="single" w:color="auto" w:sz="4" w:space="0"/>
              <w:bottom w:val="single" w:color="000000"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釉面</w:t>
            </w:r>
          </w:p>
        </w:tc>
        <w:tc>
          <w:tcPr>
            <w:tcW w:w="3393" w:type="dxa"/>
            <w:tcBorders>
              <w:top w:val="single" w:color="auto" w:sz="4" w:space="0"/>
              <w:left w:val="single" w:color="auto"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3</w:t>
            </w:r>
          </w:p>
        </w:tc>
        <w:tc>
          <w:tcPr>
            <w:tcW w:w="3494" w:type="dxa"/>
            <w:tcBorders>
              <w:top w:val="single" w:color="auto"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安全水位</w:t>
            </w:r>
          </w:p>
        </w:tc>
        <w:tc>
          <w:tcPr>
            <w:tcW w:w="3393" w:type="dxa"/>
            <w:tcBorders>
              <w:top w:val="single" w:color="auto"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w:t>
            </w:r>
          </w:p>
        </w:tc>
        <w:tc>
          <w:tcPr>
            <w:tcW w:w="3494" w:type="dxa"/>
            <w:tcBorders>
              <w:top w:val="single" w:color="auto"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便器坐圈和盖</w:t>
            </w:r>
          </w:p>
        </w:tc>
        <w:tc>
          <w:tcPr>
            <w:tcW w:w="3393" w:type="dxa"/>
            <w:tcBorders>
              <w:top w:val="single" w:color="auto"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5</w:t>
            </w:r>
          </w:p>
        </w:tc>
        <w:tc>
          <w:tcPr>
            <w:tcW w:w="3494" w:type="dxa"/>
            <w:tcBorders>
              <w:top w:val="single" w:color="auto"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冲水装置</w:t>
            </w:r>
          </w:p>
        </w:tc>
        <w:tc>
          <w:tcPr>
            <w:tcW w:w="3393" w:type="dxa"/>
            <w:tcBorders>
              <w:top w:val="single" w:color="auto"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w:t>
            </w:r>
          </w:p>
        </w:tc>
        <w:tc>
          <w:tcPr>
            <w:tcW w:w="3494"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水封回复功能</w:t>
            </w:r>
          </w:p>
        </w:tc>
        <w:tc>
          <w:tcPr>
            <w:tcW w:w="3393"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w:t>
            </w:r>
          </w:p>
        </w:tc>
        <w:tc>
          <w:tcPr>
            <w:tcW w:w="3494"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洗净功能</w:t>
            </w:r>
          </w:p>
        </w:tc>
        <w:tc>
          <w:tcPr>
            <w:tcW w:w="3393"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8</w:t>
            </w:r>
          </w:p>
        </w:tc>
        <w:tc>
          <w:tcPr>
            <w:tcW w:w="3494"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排放功能试验</w:t>
            </w:r>
          </w:p>
        </w:tc>
        <w:tc>
          <w:tcPr>
            <w:tcW w:w="3393"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9</w:t>
            </w:r>
          </w:p>
        </w:tc>
        <w:tc>
          <w:tcPr>
            <w:tcW w:w="3494" w:type="dxa"/>
            <w:tcBorders>
              <w:top w:val="single" w:color="000000" w:sz="4" w:space="0"/>
              <w:left w:val="single" w:color="auto" w:sz="4" w:space="0"/>
              <w:bottom w:val="single" w:color="000000"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排水管道输送特性</w:t>
            </w:r>
          </w:p>
        </w:tc>
        <w:tc>
          <w:tcPr>
            <w:tcW w:w="3393"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270" w:hRule="atLeast"/>
          <w:jc w:val="center"/>
        </w:trPr>
        <w:tc>
          <w:tcPr>
            <w:tcW w:w="115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10</w:t>
            </w:r>
          </w:p>
        </w:tc>
        <w:tc>
          <w:tcPr>
            <w:tcW w:w="3494" w:type="dxa"/>
            <w:tcBorders>
              <w:top w:val="single" w:color="000000" w:sz="4" w:space="0"/>
              <w:left w:val="single" w:color="auto" w:sz="4" w:space="0"/>
              <w:bottom w:val="single" w:color="000000"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便器用水量</w:t>
            </w:r>
          </w:p>
        </w:tc>
        <w:tc>
          <w:tcPr>
            <w:tcW w:w="3393" w:type="dxa"/>
            <w:tcBorders>
              <w:top w:val="single" w:color="000000" w:sz="4" w:space="0"/>
              <w:left w:val="single" w:color="auto"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bottom"/>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GB/T 6952-2015</w:t>
            </w:r>
          </w:p>
        </w:tc>
      </w:tr>
      <w:tr>
        <w:tblPrEx>
          <w:tblCellMar>
            <w:top w:w="0" w:type="dxa"/>
            <w:left w:w="108" w:type="dxa"/>
            <w:bottom w:w="0" w:type="dxa"/>
            <w:right w:w="108" w:type="dxa"/>
          </w:tblCellMar>
        </w:tblPrEx>
        <w:trPr>
          <w:trHeight w:val="390" w:hRule="atLeast"/>
          <w:jc w:val="center"/>
        </w:trPr>
        <w:tc>
          <w:tcPr>
            <w:tcW w:w="1150"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40" w:lineRule="exact"/>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11</w:t>
            </w:r>
          </w:p>
        </w:tc>
        <w:tc>
          <w:tcPr>
            <w:tcW w:w="3494" w:type="dxa"/>
            <w:tcBorders>
              <w:top w:val="single" w:color="000000"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240" w:lineRule="auto"/>
              <w:jc w:val="center"/>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坐便器水效限定值及水效等级</w:t>
            </w:r>
          </w:p>
        </w:tc>
        <w:tc>
          <w:tcPr>
            <w:tcW w:w="3393" w:type="dxa"/>
            <w:tcBorders>
              <w:top w:val="single" w:color="000000" w:sz="4" w:space="0"/>
              <w:left w:val="single" w:color="auto" w:sz="4" w:space="0"/>
              <w:bottom w:val="single" w:color="auto"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auto"/>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color w:val="000000"/>
                <w:sz w:val="24"/>
                <w:szCs w:val="24"/>
              </w:rPr>
              <w:t>GB 25502-2017</w:t>
            </w:r>
          </w:p>
        </w:tc>
      </w:tr>
      <w:tr>
        <w:tblPrEx>
          <w:tblCellMar>
            <w:top w:w="0" w:type="dxa"/>
            <w:left w:w="108" w:type="dxa"/>
            <w:bottom w:w="0" w:type="dxa"/>
            <w:right w:w="108" w:type="dxa"/>
          </w:tblCellMar>
        </w:tblPrEx>
        <w:trPr>
          <w:trHeight w:val="270" w:hRule="atLeast"/>
          <w:jc w:val="center"/>
        </w:trPr>
        <w:tc>
          <w:tcPr>
            <w:tcW w:w="8037" w:type="dxa"/>
            <w:gridSpan w:val="3"/>
            <w:tcBorders>
              <w:top w:val="single" w:color="auto"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注：检验项目以实际样品适用项为准</w:t>
            </w:r>
          </w:p>
        </w:tc>
      </w:tr>
    </w:tbl>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7.2检验应注意的问题</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8判定原则</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9异议处理</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对被判定不合格企业进行异议处理时，按以下方式进行：</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9.1核查不合格项目相关证据，能够以记录（纸质记录或电子记录或影像记录）或与不合格项目相关联的其它质量数据等检验证据证明。</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9.2对需要复检并具备检验条件的，处理企业异议的市场监督管理部门或者指定检验机构应当按原监督抽查方案对抽取的备用样品组织复检，并出具检验报告。复检结论为最终结论。</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9附则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keepNext w:val="0"/>
        <w:keepLines w:val="0"/>
        <w:pageBreakBefore w:val="0"/>
        <w:widowControl w:val="0"/>
        <w:kinsoku/>
        <w:wordWrap/>
        <w:overflowPunct/>
        <w:topLinePunct w:val="0"/>
        <w:autoSpaceDE/>
        <w:autoSpaceDN/>
        <w:bidi w:val="0"/>
        <w:adjustRightInd/>
        <w:snapToGrid/>
        <w:spacing w:line="594" w:lineRule="exact"/>
        <w:ind w:firstLine="560" w:firstLineChars="200"/>
        <w:textAlignment w:val="auto"/>
        <w:rPr>
          <w:rFonts w:hint="eastAsia" w:ascii="仿宋_GB2312" w:eastAsia="仿宋_GB2312"/>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hyphenationZone w:val="360"/>
  <w:drawingGridHorizontalSpacing w:val="1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906F0C"/>
    <w:rsid w:val="000312AC"/>
    <w:rsid w:val="00031D45"/>
    <w:rsid w:val="0004197B"/>
    <w:rsid w:val="00043B95"/>
    <w:rsid w:val="00050A06"/>
    <w:rsid w:val="00051333"/>
    <w:rsid w:val="00063B86"/>
    <w:rsid w:val="00077BBD"/>
    <w:rsid w:val="000802DB"/>
    <w:rsid w:val="000813B7"/>
    <w:rsid w:val="00083F50"/>
    <w:rsid w:val="000C2BC5"/>
    <w:rsid w:val="000C4836"/>
    <w:rsid w:val="000D04DA"/>
    <w:rsid w:val="000D75B9"/>
    <w:rsid w:val="000E28A4"/>
    <w:rsid w:val="000E439F"/>
    <w:rsid w:val="000F0AC9"/>
    <w:rsid w:val="000F2D87"/>
    <w:rsid w:val="001314E2"/>
    <w:rsid w:val="0013196F"/>
    <w:rsid w:val="0016044C"/>
    <w:rsid w:val="00173B61"/>
    <w:rsid w:val="00184C11"/>
    <w:rsid w:val="001A4934"/>
    <w:rsid w:val="001A781A"/>
    <w:rsid w:val="001B4D80"/>
    <w:rsid w:val="001B4FB5"/>
    <w:rsid w:val="001C17BD"/>
    <w:rsid w:val="001C2B10"/>
    <w:rsid w:val="001C7A41"/>
    <w:rsid w:val="001D00DE"/>
    <w:rsid w:val="001D4FCB"/>
    <w:rsid w:val="001E201F"/>
    <w:rsid w:val="001E4252"/>
    <w:rsid w:val="001F3267"/>
    <w:rsid w:val="002208EE"/>
    <w:rsid w:val="0022465F"/>
    <w:rsid w:val="00232CCF"/>
    <w:rsid w:val="0025039C"/>
    <w:rsid w:val="002702A5"/>
    <w:rsid w:val="00297EB1"/>
    <w:rsid w:val="002D7A6B"/>
    <w:rsid w:val="003019AF"/>
    <w:rsid w:val="00307151"/>
    <w:rsid w:val="003135FD"/>
    <w:rsid w:val="00352CAE"/>
    <w:rsid w:val="003602D0"/>
    <w:rsid w:val="0037493C"/>
    <w:rsid w:val="00391CF3"/>
    <w:rsid w:val="003D4A31"/>
    <w:rsid w:val="003D4BD4"/>
    <w:rsid w:val="003E5D71"/>
    <w:rsid w:val="00401964"/>
    <w:rsid w:val="00411124"/>
    <w:rsid w:val="004207B0"/>
    <w:rsid w:val="0045778E"/>
    <w:rsid w:val="00477FAD"/>
    <w:rsid w:val="0048397A"/>
    <w:rsid w:val="0048573B"/>
    <w:rsid w:val="004C66CF"/>
    <w:rsid w:val="004F2F67"/>
    <w:rsid w:val="00505F83"/>
    <w:rsid w:val="00513440"/>
    <w:rsid w:val="00520BC6"/>
    <w:rsid w:val="005302C3"/>
    <w:rsid w:val="00535DFB"/>
    <w:rsid w:val="0054288A"/>
    <w:rsid w:val="005475D3"/>
    <w:rsid w:val="00563F91"/>
    <w:rsid w:val="0059325C"/>
    <w:rsid w:val="005C7C7D"/>
    <w:rsid w:val="005F6A2D"/>
    <w:rsid w:val="00600744"/>
    <w:rsid w:val="00611203"/>
    <w:rsid w:val="006229B4"/>
    <w:rsid w:val="0063048C"/>
    <w:rsid w:val="00657E8D"/>
    <w:rsid w:val="00681C69"/>
    <w:rsid w:val="0068336A"/>
    <w:rsid w:val="006853FF"/>
    <w:rsid w:val="00691D6D"/>
    <w:rsid w:val="006B046D"/>
    <w:rsid w:val="006C31E0"/>
    <w:rsid w:val="006C3E17"/>
    <w:rsid w:val="006C442F"/>
    <w:rsid w:val="006C619F"/>
    <w:rsid w:val="006D00E7"/>
    <w:rsid w:val="00723C19"/>
    <w:rsid w:val="00737E9E"/>
    <w:rsid w:val="00746563"/>
    <w:rsid w:val="007553A6"/>
    <w:rsid w:val="00771CC8"/>
    <w:rsid w:val="00773753"/>
    <w:rsid w:val="00776986"/>
    <w:rsid w:val="007C0A61"/>
    <w:rsid w:val="007C3E23"/>
    <w:rsid w:val="007F3494"/>
    <w:rsid w:val="00816BE3"/>
    <w:rsid w:val="008448AC"/>
    <w:rsid w:val="00870402"/>
    <w:rsid w:val="00881DD4"/>
    <w:rsid w:val="008B2C1F"/>
    <w:rsid w:val="008B62FA"/>
    <w:rsid w:val="008C2A4A"/>
    <w:rsid w:val="008D0B60"/>
    <w:rsid w:val="008D7A84"/>
    <w:rsid w:val="00906F0C"/>
    <w:rsid w:val="00913DC1"/>
    <w:rsid w:val="00914F6A"/>
    <w:rsid w:val="009158BE"/>
    <w:rsid w:val="00926F50"/>
    <w:rsid w:val="009325CD"/>
    <w:rsid w:val="00933B31"/>
    <w:rsid w:val="00937FF7"/>
    <w:rsid w:val="00940111"/>
    <w:rsid w:val="00941E9D"/>
    <w:rsid w:val="00960E3B"/>
    <w:rsid w:val="0098488D"/>
    <w:rsid w:val="00993CC3"/>
    <w:rsid w:val="009962D5"/>
    <w:rsid w:val="009A7CFC"/>
    <w:rsid w:val="009B7F30"/>
    <w:rsid w:val="009F69DF"/>
    <w:rsid w:val="00A1148D"/>
    <w:rsid w:val="00A14D97"/>
    <w:rsid w:val="00A2230A"/>
    <w:rsid w:val="00A46456"/>
    <w:rsid w:val="00A56066"/>
    <w:rsid w:val="00A577F3"/>
    <w:rsid w:val="00A57FB2"/>
    <w:rsid w:val="00A623BE"/>
    <w:rsid w:val="00A824E7"/>
    <w:rsid w:val="00A87C1B"/>
    <w:rsid w:val="00A94E36"/>
    <w:rsid w:val="00AA2AAC"/>
    <w:rsid w:val="00AB28B5"/>
    <w:rsid w:val="00AD710C"/>
    <w:rsid w:val="00AE7816"/>
    <w:rsid w:val="00B026F4"/>
    <w:rsid w:val="00B31E14"/>
    <w:rsid w:val="00B33346"/>
    <w:rsid w:val="00B47493"/>
    <w:rsid w:val="00B57D47"/>
    <w:rsid w:val="00B711D0"/>
    <w:rsid w:val="00B948E9"/>
    <w:rsid w:val="00BC3A6D"/>
    <w:rsid w:val="00BE667A"/>
    <w:rsid w:val="00C112A2"/>
    <w:rsid w:val="00C17CB7"/>
    <w:rsid w:val="00C218AE"/>
    <w:rsid w:val="00C4270C"/>
    <w:rsid w:val="00C7113C"/>
    <w:rsid w:val="00C71421"/>
    <w:rsid w:val="00C828FD"/>
    <w:rsid w:val="00C83545"/>
    <w:rsid w:val="00C875AA"/>
    <w:rsid w:val="00CA0D52"/>
    <w:rsid w:val="00CA3381"/>
    <w:rsid w:val="00CB4431"/>
    <w:rsid w:val="00CC3964"/>
    <w:rsid w:val="00CC671E"/>
    <w:rsid w:val="00CF32A5"/>
    <w:rsid w:val="00CF5B6A"/>
    <w:rsid w:val="00D00C20"/>
    <w:rsid w:val="00D20C5A"/>
    <w:rsid w:val="00D25A2E"/>
    <w:rsid w:val="00D37294"/>
    <w:rsid w:val="00D46FC7"/>
    <w:rsid w:val="00D512FD"/>
    <w:rsid w:val="00D55AA5"/>
    <w:rsid w:val="00D707F0"/>
    <w:rsid w:val="00DA04E1"/>
    <w:rsid w:val="00DA1917"/>
    <w:rsid w:val="00DA5C6A"/>
    <w:rsid w:val="00DA6627"/>
    <w:rsid w:val="00DB66B7"/>
    <w:rsid w:val="00DF2A14"/>
    <w:rsid w:val="00DF7725"/>
    <w:rsid w:val="00E55270"/>
    <w:rsid w:val="00E63454"/>
    <w:rsid w:val="00E816A7"/>
    <w:rsid w:val="00EA6979"/>
    <w:rsid w:val="00EB3FF1"/>
    <w:rsid w:val="00ED51EA"/>
    <w:rsid w:val="00EF529A"/>
    <w:rsid w:val="00F0154C"/>
    <w:rsid w:val="00F25A90"/>
    <w:rsid w:val="00F578F0"/>
    <w:rsid w:val="00F8246E"/>
    <w:rsid w:val="00F923A3"/>
    <w:rsid w:val="00F94362"/>
    <w:rsid w:val="00FD2307"/>
    <w:rsid w:val="00FF0F9F"/>
    <w:rsid w:val="02B97FF4"/>
    <w:rsid w:val="08025081"/>
    <w:rsid w:val="0CF728DD"/>
    <w:rsid w:val="16154BB4"/>
    <w:rsid w:val="18D4653A"/>
    <w:rsid w:val="2E95347B"/>
    <w:rsid w:val="35793836"/>
    <w:rsid w:val="36511623"/>
    <w:rsid w:val="3F05138A"/>
    <w:rsid w:val="3F377CF9"/>
    <w:rsid w:val="4B895FDD"/>
    <w:rsid w:val="4E144F9D"/>
    <w:rsid w:val="566B5BEA"/>
    <w:rsid w:val="601C70A9"/>
    <w:rsid w:val="676C2E72"/>
    <w:rsid w:val="6DD5159A"/>
    <w:rsid w:val="77E70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Body Text Indent"/>
    <w:basedOn w:val="1"/>
    <w:link w:val="12"/>
    <w:qFormat/>
    <w:uiPriority w:val="0"/>
    <w:pPr>
      <w:spacing w:line="360" w:lineRule="auto"/>
      <w:ind w:firstLine="480" w:firstLineChars="200"/>
    </w:pPr>
    <w:rPr>
      <w:rFonts w:ascii="宋体" w:hAnsi="宋体"/>
      <w:kern w:val="0"/>
      <w:szCs w:val="20"/>
    </w:rPr>
  </w:style>
  <w:style w:type="paragraph" w:styleId="4">
    <w:name w:val="List 2"/>
    <w:basedOn w:val="1"/>
    <w:semiHidden/>
    <w:unhideWhenUsed/>
    <w:qFormat/>
    <w:uiPriority w:val="99"/>
    <w:pPr>
      <w:ind w:left="100" w:leftChars="200" w:hanging="200" w:hangingChars="200"/>
      <w:contextualSpacing/>
    </w:pPr>
    <w:rPr>
      <w:rFonts w:eastAsia="仿宋_GB2312"/>
      <w:sz w:val="21"/>
    </w:rPr>
  </w:style>
  <w:style w:type="paragraph" w:styleId="5">
    <w:name w:val="Balloon Text"/>
    <w:basedOn w:val="1"/>
    <w:link w:val="13"/>
    <w:unhideWhenUsed/>
    <w:qFormat/>
    <w:uiPriority w:val="99"/>
    <w:rPr>
      <w:kern w:val="0"/>
      <w:sz w:val="18"/>
      <w:szCs w:val="18"/>
    </w:rPr>
  </w:style>
  <w:style w:type="paragraph" w:styleId="6">
    <w:name w:val="footer"/>
    <w:basedOn w:val="1"/>
    <w:link w:val="15"/>
    <w:unhideWhenUsed/>
    <w:qFormat/>
    <w:uiPriority w:val="99"/>
    <w:pPr>
      <w:tabs>
        <w:tab w:val="center" w:pos="4153"/>
        <w:tab w:val="right" w:pos="8306"/>
      </w:tabs>
      <w:snapToGrid w:val="0"/>
      <w:jc w:val="left"/>
    </w:pPr>
    <w:rPr>
      <w:kern w:val="0"/>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9">
    <w:name w:val="Table Grid"/>
    <w:basedOn w:val="8"/>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UserStyle_0"/>
    <w:basedOn w:val="1"/>
    <w:qFormat/>
    <w:uiPriority w:val="0"/>
    <w:pPr>
      <w:spacing w:after="0"/>
      <w:jc w:val="both"/>
      <w:textAlignment w:val="baseline"/>
    </w:pPr>
    <w:rPr>
      <w:rFonts w:ascii="Calibri" w:hAnsi="Calibri" w:eastAsia="宋体"/>
      <w:color w:val="000000"/>
      <w:kern w:val="2"/>
      <w:sz w:val="24"/>
      <w:szCs w:val="24"/>
      <w:lang w:val="en-US" w:eastAsia="zh-CN" w:bidi="ar-SA"/>
    </w:rPr>
  </w:style>
  <w:style w:type="character" w:customStyle="1" w:styleId="12">
    <w:name w:val="正文文本缩进 Char"/>
    <w:link w:val="3"/>
    <w:qFormat/>
    <w:uiPriority w:val="0"/>
    <w:rPr>
      <w:rFonts w:ascii="宋体" w:hAnsi="宋体" w:eastAsia="宋体" w:cs="Times New Roman"/>
      <w:sz w:val="24"/>
      <w:szCs w:val="20"/>
    </w:rPr>
  </w:style>
  <w:style w:type="character" w:customStyle="1" w:styleId="13">
    <w:name w:val="批注框文本 Char"/>
    <w:link w:val="5"/>
    <w:semiHidden/>
    <w:qFormat/>
    <w:uiPriority w:val="99"/>
    <w:rPr>
      <w:rFonts w:ascii="Times New Roman" w:hAnsi="Times New Roman" w:eastAsia="宋体" w:cs="Times New Roman"/>
      <w:sz w:val="18"/>
      <w:szCs w:val="18"/>
    </w:rPr>
  </w:style>
  <w:style w:type="character" w:customStyle="1" w:styleId="14">
    <w:name w:val="页眉 Char"/>
    <w:link w:val="7"/>
    <w:semiHidden/>
    <w:qFormat/>
    <w:uiPriority w:val="99"/>
    <w:rPr>
      <w:rFonts w:ascii="Times New Roman" w:hAnsi="Times New Roman" w:eastAsia="宋体" w:cs="Times New Roman"/>
      <w:sz w:val="18"/>
      <w:szCs w:val="18"/>
    </w:rPr>
  </w:style>
  <w:style w:type="character" w:customStyle="1" w:styleId="15">
    <w:name w:val="页脚 Char"/>
    <w:link w:val="6"/>
    <w:qFormat/>
    <w:uiPriority w:val="99"/>
    <w:rPr>
      <w:rFonts w:ascii="Times New Roman" w:hAnsi="Times New Roman" w:eastAsia="宋体" w:cs="Times New Roman"/>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2181</Words>
  <Characters>2392</Characters>
  <Lines>18</Lines>
  <Paragraphs>5</Paragraphs>
  <TotalTime>0</TotalTime>
  <ScaleCrop>false</ScaleCrop>
  <LinksUpToDate>false</LinksUpToDate>
  <CharactersWithSpaces>2415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2022-06-02T08:36:00Z</dcterms:created>
  <dc:creator>微软用户</dc:creator>
  <cp:lastModifiedBy>dell</cp:lastModifiedBy>
  <cp:lastPrinted>2016-12-15T05:42:00Z</cp:lastPrinted>
  <dcterms:modified xsi:type="dcterms:W3CDTF">2022-07-18T00:40:11Z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6D8E963AE5C3468585492CCA043985F5</vt:lpwstr>
  </property>
</Properties>
</file>