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仿宋" w:hAnsi="仿宋" w:eastAsia="仿宋" w:cs="仿宋"/>
          <w:b/>
          <w:bCs w:val="0"/>
          <w:sz w:val="32"/>
          <w:szCs w:val="32"/>
        </w:rPr>
      </w:pPr>
      <w:r>
        <w:rPr>
          <w:rFonts w:hint="eastAsia" w:ascii="仿宋_GB2312" w:hAnsi="宋体" w:eastAsia="仿宋_GB2312" w:cs="黑体"/>
          <w:b/>
          <w:bCs w:val="0"/>
          <w:spacing w:val="20"/>
          <w:w w:val="105"/>
          <w:sz w:val="32"/>
          <w:szCs w:val="32"/>
          <w:lang w:val="en-US" w:eastAsia="zh-CN"/>
        </w:rPr>
        <w:t>2022年盘锦市</w:t>
      </w:r>
      <w:r>
        <w:rPr>
          <w:rFonts w:hint="eastAsia" w:ascii="仿宋" w:hAnsi="仿宋" w:eastAsia="仿宋" w:cs="仿宋"/>
          <w:b/>
          <w:bCs w:val="0"/>
          <w:sz w:val="32"/>
          <w:szCs w:val="32"/>
        </w:rPr>
        <w:t>机动车辆制动液产品质量监督抽查实施细则</w:t>
      </w:r>
    </w:p>
    <w:p>
      <w:pPr>
        <w:spacing w:line="594" w:lineRule="exact"/>
        <w:ind w:firstLine="400" w:firstLineChars="200"/>
        <w:rPr>
          <w:rFonts w:ascii="仿宋" w:hAnsi="仿宋" w:eastAsia="仿宋" w:cs="Arial"/>
          <w:sz w:val="20"/>
          <w:szCs w:val="20"/>
        </w:rPr>
      </w:pP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适用范围</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本细则适用于</w:t>
      </w:r>
      <w:r>
        <w:rPr>
          <w:rFonts w:hint="eastAsia" w:ascii="仿宋" w:hAnsi="仿宋" w:eastAsia="仿宋" w:cs="仿宋"/>
          <w:sz w:val="28"/>
          <w:szCs w:val="28"/>
          <w:lang w:eastAsia="zh-CN"/>
        </w:rPr>
        <w:t>盘锦市</w:t>
      </w:r>
      <w:r>
        <w:rPr>
          <w:rFonts w:hint="eastAsia" w:ascii="仿宋" w:hAnsi="仿宋" w:eastAsia="仿宋" w:cs="仿宋"/>
          <w:sz w:val="28"/>
          <w:szCs w:val="28"/>
        </w:rPr>
        <w:t>机动车辆制动液产品质量监督抽查，针对特殊情况的专项抽查、</w:t>
      </w:r>
      <w:r>
        <w:rPr>
          <w:rFonts w:hint="eastAsia" w:ascii="仿宋" w:hAnsi="仿宋" w:eastAsia="仿宋" w:cs="仿宋"/>
          <w:sz w:val="28"/>
          <w:szCs w:val="28"/>
          <w:lang w:eastAsia="zh-CN"/>
        </w:rPr>
        <w:t>盘锦市</w:t>
      </w:r>
      <w:r>
        <w:rPr>
          <w:rFonts w:hint="eastAsia" w:ascii="仿宋" w:hAnsi="仿宋" w:eastAsia="仿宋" w:cs="仿宋"/>
          <w:sz w:val="28"/>
          <w:szCs w:val="28"/>
        </w:rPr>
        <w:t>内县级及以上市场监督管理部门组织的地方监督抽查可参照执行。抽查范围为</w:t>
      </w:r>
      <w:r>
        <w:rPr>
          <w:rFonts w:hint="eastAsia" w:ascii="仿宋" w:hAnsi="仿宋" w:eastAsia="仿宋" w:cs="仿宋"/>
          <w:sz w:val="28"/>
          <w:szCs w:val="28"/>
          <w:lang w:eastAsia="zh-CN"/>
        </w:rPr>
        <w:t>盘锦市</w:t>
      </w:r>
      <w:r>
        <w:rPr>
          <w:rFonts w:hint="eastAsia" w:ascii="仿宋" w:hAnsi="仿宋" w:eastAsia="仿宋" w:cs="仿宋"/>
          <w:sz w:val="28"/>
          <w:szCs w:val="28"/>
        </w:rPr>
        <w:t>内机动车辆制动液</w:t>
      </w:r>
      <w:r>
        <w:rPr>
          <w:rFonts w:hint="eastAsia" w:ascii="仿宋" w:hAnsi="仿宋" w:eastAsia="仿宋" w:cs="仿宋"/>
          <w:sz w:val="28"/>
          <w:szCs w:val="28"/>
          <w:lang w:eastAsia="zh-CN"/>
        </w:rPr>
        <w:t>生产企业及</w:t>
      </w:r>
      <w:r>
        <w:rPr>
          <w:rFonts w:hint="eastAsia" w:ascii="仿宋" w:hAnsi="仿宋" w:eastAsia="仿宋" w:cs="仿宋"/>
          <w:sz w:val="28"/>
          <w:szCs w:val="28"/>
        </w:rPr>
        <w:t>销售单位。本实施细则内容包括产品分类、术语和定义、</w:t>
      </w:r>
      <w:r>
        <w:rPr>
          <w:rFonts w:hint="eastAsia" w:ascii="仿宋" w:hAnsi="仿宋" w:eastAsia="仿宋" w:cs="仿宋"/>
          <w:sz w:val="28"/>
          <w:szCs w:val="28"/>
          <w:lang w:val="en-US" w:eastAsia="zh-CN"/>
        </w:rPr>
        <w:t>生产</w:t>
      </w:r>
      <w:r>
        <w:rPr>
          <w:rFonts w:hint="eastAsia" w:ascii="仿宋" w:hAnsi="仿宋" w:eastAsia="仿宋" w:cs="仿宋"/>
          <w:sz w:val="28"/>
          <w:szCs w:val="28"/>
        </w:rPr>
        <w:t>企业规模划分、检验依据、抽样、检验要求、判定原则、异议处理。</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产品分类、术语和定义</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2.1 产品分类</w:t>
      </w:r>
    </w:p>
    <w:p>
      <w:pPr>
        <w:keepNext w:val="0"/>
        <w:keepLines w:val="0"/>
        <w:pageBreakBefore w:val="0"/>
        <w:widowControl w:val="0"/>
        <w:kinsoku/>
        <w:wordWrap/>
        <w:overflowPunct/>
        <w:topLinePunct w:val="0"/>
        <w:autoSpaceDE/>
        <w:autoSpaceDN/>
        <w:bidi w:val="0"/>
        <w:adjustRightInd/>
        <w:spacing w:line="594" w:lineRule="atLeast"/>
        <w:jc w:val="center"/>
        <w:textAlignment w:val="auto"/>
        <w:rPr>
          <w:rFonts w:hint="eastAsia" w:ascii="仿宋" w:hAnsi="仿宋" w:eastAsia="仿宋" w:cs="仿宋"/>
          <w:sz w:val="21"/>
          <w:szCs w:val="21"/>
        </w:rPr>
      </w:pPr>
      <w:r>
        <w:rPr>
          <w:rFonts w:hint="eastAsia" w:ascii="仿宋" w:hAnsi="仿宋" w:eastAsia="仿宋" w:cs="仿宋"/>
          <w:sz w:val="21"/>
          <w:szCs w:val="21"/>
        </w:rPr>
        <w:t>表1  机动车辆制动液产品分类及代码</w:t>
      </w:r>
    </w:p>
    <w:tbl>
      <w:tblPr>
        <w:tblStyle w:val="6"/>
        <w:tblW w:w="49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97"/>
        <w:gridCol w:w="1899"/>
        <w:gridCol w:w="2220"/>
        <w:gridCol w:w="2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95"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产品分类</w:t>
            </w:r>
          </w:p>
        </w:tc>
        <w:tc>
          <w:tcPr>
            <w:tcW w:w="1897" w:type="dxa"/>
            <w:vAlign w:val="center"/>
          </w:tcPr>
          <w:p>
            <w:pPr>
              <w:keepNext w:val="0"/>
              <w:keepLines w:val="0"/>
              <w:pageBreakBefore w:val="0"/>
              <w:widowControl w:val="0"/>
              <w:kinsoku/>
              <w:wordWrap/>
              <w:overflowPunct/>
              <w:topLinePunct w:val="0"/>
              <w:autoSpaceDE/>
              <w:autoSpaceDN/>
              <w:bidi w:val="0"/>
              <w:adjustRightInd/>
              <w:spacing w:line="240" w:lineRule="auto"/>
              <w:ind w:firstLine="23" w:firstLineChars="11"/>
              <w:jc w:val="center"/>
              <w:textAlignment w:val="auto"/>
              <w:rPr>
                <w:rFonts w:hint="eastAsia" w:ascii="仿宋" w:hAnsi="仿宋" w:eastAsia="仿宋" w:cs="仿宋"/>
                <w:sz w:val="21"/>
                <w:szCs w:val="21"/>
              </w:rPr>
            </w:pPr>
            <w:r>
              <w:rPr>
                <w:rFonts w:hint="eastAsia" w:ascii="仿宋" w:hAnsi="仿宋" w:eastAsia="仿宋" w:cs="仿宋"/>
                <w:sz w:val="21"/>
                <w:szCs w:val="21"/>
              </w:rPr>
              <w:t>一级分类</w:t>
            </w:r>
          </w:p>
        </w:tc>
        <w:tc>
          <w:tcPr>
            <w:tcW w:w="2218"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二级分类</w:t>
            </w:r>
          </w:p>
        </w:tc>
        <w:tc>
          <w:tcPr>
            <w:tcW w:w="2910" w:type="dxa"/>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仿宋" w:hAnsi="仿宋" w:eastAsia="仿宋" w:cs="仿宋"/>
                <w:sz w:val="21"/>
                <w:szCs w:val="21"/>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95"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分类代码</w:t>
            </w:r>
          </w:p>
        </w:tc>
        <w:tc>
          <w:tcPr>
            <w:tcW w:w="1897"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0</w:t>
            </w:r>
            <w:r>
              <w:rPr>
                <w:rFonts w:hint="eastAsia" w:ascii="仿宋" w:hAnsi="仿宋" w:eastAsia="仿宋" w:cs="仿宋"/>
                <w:sz w:val="21"/>
                <w:szCs w:val="21"/>
              </w:rPr>
              <w:t>6</w:t>
            </w:r>
          </w:p>
        </w:tc>
        <w:tc>
          <w:tcPr>
            <w:tcW w:w="2218"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12</w:t>
            </w:r>
          </w:p>
        </w:tc>
        <w:tc>
          <w:tcPr>
            <w:tcW w:w="2910"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895"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分类名称</w:t>
            </w:r>
          </w:p>
        </w:tc>
        <w:tc>
          <w:tcPr>
            <w:tcW w:w="1897"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机械及安防</w:t>
            </w:r>
          </w:p>
        </w:tc>
        <w:tc>
          <w:tcPr>
            <w:tcW w:w="2218"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车辆及相关产品</w:t>
            </w:r>
          </w:p>
        </w:tc>
        <w:tc>
          <w:tcPr>
            <w:tcW w:w="2910" w:type="dxa"/>
            <w:vAlign w:val="center"/>
          </w:tcPr>
          <w:p>
            <w:pPr>
              <w:keepNext w:val="0"/>
              <w:keepLines w:val="0"/>
              <w:pageBreakBefore w:val="0"/>
              <w:widowControl w:val="0"/>
              <w:kinsoku/>
              <w:wordWrap/>
              <w:overflowPunct/>
              <w:topLinePunct w:val="0"/>
              <w:autoSpaceDE/>
              <w:autoSpaceDN/>
              <w:bidi w:val="0"/>
              <w:adjustRightInd/>
              <w:spacing w:line="240" w:lineRule="auto"/>
              <w:ind w:firstLine="18" w:firstLineChars="9"/>
              <w:jc w:val="center"/>
              <w:textAlignment w:val="auto"/>
              <w:rPr>
                <w:rFonts w:hint="eastAsia" w:ascii="仿宋" w:hAnsi="仿宋" w:eastAsia="仿宋" w:cs="仿宋"/>
                <w:sz w:val="21"/>
                <w:szCs w:val="21"/>
              </w:rPr>
            </w:pPr>
            <w:r>
              <w:rPr>
                <w:rFonts w:hint="eastAsia" w:ascii="仿宋" w:hAnsi="仿宋" w:eastAsia="仿宋" w:cs="仿宋"/>
                <w:sz w:val="21"/>
                <w:szCs w:val="21"/>
              </w:rPr>
              <w:t>机动车辆制动液</w:t>
            </w:r>
          </w:p>
        </w:tc>
      </w:tr>
    </w:tbl>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 产品种类</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机动车辆制动液按工况温度和黏度要求分为HZY3、HZY4、HZY5、HZY6四种级别；经公示现行有效的企业标准、地方标准及产品明示质量要求中规定的特殊牌号。</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2.3 术语和定义</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本细则中所使用的术语和定义同相关引用标准。</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 </w:t>
      </w:r>
      <w:r>
        <w:rPr>
          <w:rFonts w:hint="eastAsia" w:ascii="仿宋" w:hAnsi="仿宋" w:eastAsia="仿宋" w:cs="仿宋"/>
          <w:sz w:val="28"/>
          <w:szCs w:val="28"/>
          <w:lang w:val="en-US" w:eastAsia="zh-CN"/>
        </w:rPr>
        <w:t>生产</w:t>
      </w:r>
      <w:r>
        <w:rPr>
          <w:rFonts w:hint="eastAsia" w:ascii="仿宋" w:hAnsi="仿宋" w:eastAsia="仿宋" w:cs="仿宋"/>
          <w:sz w:val="28"/>
          <w:szCs w:val="28"/>
        </w:rPr>
        <w:t>企业规模划分</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根据国家统计局印发的相关管理办法，确定</w:t>
      </w:r>
      <w:r>
        <w:rPr>
          <w:rFonts w:hint="eastAsia" w:ascii="仿宋" w:hAnsi="仿宋" w:eastAsia="仿宋" w:cs="仿宋"/>
          <w:sz w:val="28"/>
          <w:szCs w:val="28"/>
          <w:lang w:val="en-US" w:eastAsia="zh-CN"/>
        </w:rPr>
        <w:t>生产</w:t>
      </w:r>
      <w:r>
        <w:rPr>
          <w:rFonts w:hint="eastAsia" w:ascii="仿宋" w:hAnsi="仿宋" w:eastAsia="仿宋" w:cs="仿宋"/>
          <w:sz w:val="28"/>
          <w:szCs w:val="28"/>
        </w:rPr>
        <w:t>企业规模。</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检验依据</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GB 12981     机动车辆制动液</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相关的法律法规、部门规章和规范</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经公示现行有效的企业标准、地方标准及产品明示质量要求</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抽样</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5.1 抽样型号或规格</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抽取样品应为同一型号规格、同一批次的产品，优先抽取企业的主导产品。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5.2 抽样基数及数量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在企业的成品区或市场待销产品中随机抽取有产品质量检验合格证明或者以其它形式表明合格（合格证、合格报告、企业相关人员确认等方式均可）的产品。</w:t>
      </w:r>
      <w:bookmarkStart w:id="0" w:name="_Hlk104125003"/>
      <w:bookmarkStart w:id="1" w:name="_Hlk104125440"/>
      <w:r>
        <w:rPr>
          <w:rFonts w:hint="eastAsia" w:ascii="仿宋" w:hAnsi="仿宋" w:eastAsia="仿宋" w:cs="仿宋"/>
          <w:sz w:val="28"/>
          <w:szCs w:val="28"/>
        </w:rPr>
        <w:t>随机数一般可使用随机数表、骰子或扑克牌等方法产生。</w:t>
      </w:r>
      <w:bookmarkEnd w:id="0"/>
      <w:r>
        <w:rPr>
          <w:rFonts w:hint="eastAsia" w:ascii="仿宋" w:hAnsi="仿宋" w:eastAsia="仿宋" w:cs="仿宋"/>
          <w:sz w:val="28"/>
          <w:szCs w:val="28"/>
        </w:rPr>
        <w:t>所抽取产品的保质期（未注明保质期的按尚在保质期内处理）应能确保整个监督抽查（包含异议处理）工作的完成。</w:t>
      </w:r>
      <w:bookmarkEnd w:id="1"/>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在生产企业成品罐抽样时，同一批次产品抽样基数应不少于100kg，取样方法执行GB/T 4756，取2.8kg为样本，平均分作两份</w:t>
      </w:r>
      <w:bookmarkStart w:id="2" w:name="_Hlk72595210"/>
      <w:r>
        <w:rPr>
          <w:rFonts w:hint="eastAsia" w:ascii="仿宋" w:hAnsi="仿宋" w:eastAsia="仿宋" w:cs="仿宋"/>
          <w:sz w:val="28"/>
          <w:szCs w:val="28"/>
        </w:rPr>
        <w:t>盛装在合适的容器中</w:t>
      </w:r>
      <w:bookmarkEnd w:id="2"/>
      <w:r>
        <w:rPr>
          <w:rFonts w:hint="eastAsia" w:ascii="仿宋" w:hAnsi="仿宋" w:eastAsia="仿宋" w:cs="仿宋"/>
          <w:sz w:val="28"/>
          <w:szCs w:val="28"/>
        </w:rPr>
        <w:t>，一份作为检验样品，一份作为备用样品。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在生产企业成品库抽样时，同一批次产品抽样基数应不少于100kg，取样方法执行GB/T 10111，取不小于2个最小独立包装，总量不少于2.8kg的样品，1/2作为检验样品，1/2作为备用样品。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在流通领域抽样时，取样方法与生产领域相同，抽样基数应不少于抽取样品量。抽取不小于2个最小独立包装，总量不少于2.8kg的样品，1/2作为检验样品，1/2作为备用样品。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 样品处置</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5.3.1 对抽取的样品，应分别注明“检验样品”与“备用样品”或类似字样。当场对样品的瓶口或桶口密封，为保证样品的真实性，要有相应的防拆封措施，并保证封条在运输过程中不会破损。封条上至少要有抽样日期、抽样人签字、被抽查企业代表签字及抽样单位公章等相关信息。</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5.3.2 抽取的样品应按运输条件包装好，由抽样人员通过合适的途径运送至样品检验机构。运输时严防雨淋、日晒、受潮。装卸时轻搬轻放，严禁掷抛。</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5.3.3 备用样品及检验结束后的样品应该贮存在阴凉、干燥、避免阳光直射的安全处。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5.3.4 备用样品由被抽样生产者、销售者先行无偿提供并保存，在整个保存期间被抽样生产者、销售者应当妥善保管封存的样品，保证备用样品签封及包装完整无损，不得隐匿、转移、变卖、损毁。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5.4 抽样单</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应按有关规定填写抽样单，记录被抽查产品及企业相关信息。</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5.5 其他要求</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应对抽样的关键过程留下影像资料。在进入企业、取样、双方签字确认等环节时，影像资料要能清晰记录企业名称、营业执照名称、被抽样的产品、取样部位、抽样状态、抽样人员和企业陪同人员等。</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5.6 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5.6.1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5.6.2 当被抽样生产者、销售者对检验结论有异议需要复检时，应当向被抽样生产者、销售者支付备用样品费用。</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5.7 抽样时应注意的问题</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5.7.1 应由抽样技术人员在现场进行抽取，不得由企业自行抽样。抽取的样品应当是有产品质量检验合格证明或者以其他形式表明合格的产品。</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5.7.2 抽样时，抽样人员应当认真核实营业执照等被抽查企业的相关信息，确认企业不存在不得抽样的情形。遇有下列情况之一且能提供有效证明的，不得抽样：</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（1）被抽查企业无监督抽查通知书或者相关文件复印件所列产品的；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（2）有充分证据证明拟抽查的产品是不用于销售的；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（3）产品不涉及强制性标准要求，仅按双方约定的技术要求加工生产，且未执行任何标准的；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（4）有充分证据证明拟抽查的产品为企业用于出口，并且出口合同对产品质量另有规定的；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（5）产品或者标签、包装、说明书标有“试制”、“处理”或者“样品”等字样的；</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（6）企业提供上级市场监管部门6个月内同一规格型号的该种产品的监督抽查抽样单或者合格检验报告的。（专项抽查除外）</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 检验要求</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6.1 检验项目</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机动车辆制动液产品检验项目见表2。</w:t>
      </w:r>
    </w:p>
    <w:p>
      <w:pPr>
        <w:keepNext w:val="0"/>
        <w:keepLines w:val="0"/>
        <w:pageBreakBefore w:val="0"/>
        <w:widowControl w:val="0"/>
        <w:kinsoku/>
        <w:wordWrap/>
        <w:overflowPunct/>
        <w:topLinePunct w:val="0"/>
        <w:autoSpaceDE/>
        <w:autoSpaceDN/>
        <w:bidi w:val="0"/>
        <w:adjustRightInd/>
        <w:spacing w:line="594" w:lineRule="atLeast"/>
        <w:jc w:val="center"/>
        <w:textAlignment w:val="auto"/>
        <w:rPr>
          <w:rFonts w:hint="eastAsia" w:ascii="仿宋" w:hAnsi="仿宋" w:eastAsia="仿宋" w:cs="仿宋"/>
          <w:sz w:val="21"/>
          <w:szCs w:val="21"/>
        </w:rPr>
      </w:pPr>
      <w:r>
        <w:rPr>
          <w:rFonts w:hint="eastAsia" w:ascii="仿宋" w:hAnsi="仿宋" w:eastAsia="仿宋" w:cs="仿宋"/>
          <w:sz w:val="21"/>
          <w:szCs w:val="21"/>
        </w:rPr>
        <w:t>表2  机动车辆制动液产品检验项目</w:t>
      </w:r>
    </w:p>
    <w:tbl>
      <w:tblPr>
        <w:tblStyle w:val="6"/>
        <w:tblW w:w="48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81"/>
        <w:gridCol w:w="1797"/>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序号</w:t>
            </w:r>
          </w:p>
        </w:tc>
        <w:tc>
          <w:tcPr>
            <w:tcW w:w="2083"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检验项目</w:t>
            </w:r>
          </w:p>
        </w:tc>
        <w:tc>
          <w:tcPr>
            <w:tcW w:w="1017"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依据标准</w:t>
            </w:r>
          </w:p>
        </w:tc>
        <w:tc>
          <w:tcPr>
            <w:tcW w:w="1499"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1</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外观</w:t>
            </w:r>
          </w:p>
        </w:tc>
        <w:tc>
          <w:tcPr>
            <w:tcW w:w="1017" w:type="pct"/>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r>
              <w:rPr>
                <w:rFonts w:hint="eastAsia" w:ascii="仿宋" w:hAnsi="仿宋" w:eastAsia="仿宋" w:cs="仿宋"/>
                <w:sz w:val="21"/>
                <w:szCs w:val="21"/>
              </w:rPr>
              <w:t>GB 12981-2012</w:t>
            </w: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2</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运动黏度</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GB/T 265-1988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3</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PH值</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12981-2012附录D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4</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液体稳定性</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12981-2012附录E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5</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液体相容性</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12981-2012附录I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6</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平衡回流沸点</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NB/SH/T 0430-2019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7</w:t>
            </w:r>
          </w:p>
        </w:tc>
        <w:tc>
          <w:tcPr>
            <w:tcW w:w="2083"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湿平衡回流沸点</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99" w:type="pct"/>
            <w:tcBorders>
              <w:lef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w:t>
            </w:r>
          </w:p>
        </w:tc>
        <w:tc>
          <w:tcPr>
            <w:tcW w:w="2083" w:type="pct"/>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蒸发性能</w:t>
            </w:r>
          </w:p>
        </w:tc>
        <w:tc>
          <w:tcPr>
            <w:tcW w:w="1017" w:type="pct"/>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 w:hAnsi="仿宋" w:eastAsia="仿宋" w:cs="仿宋"/>
                <w:sz w:val="21"/>
                <w:szCs w:val="21"/>
              </w:rPr>
            </w:pPr>
          </w:p>
        </w:tc>
        <w:tc>
          <w:tcPr>
            <w:tcW w:w="1499" w:type="pct"/>
            <w:vAlign w:val="center"/>
          </w:tcPr>
          <w:p>
            <w:pPr>
              <w:keepNext w:val="0"/>
              <w:keepLines w:val="0"/>
              <w:widowControl/>
              <w:suppressLineNumbers w:val="0"/>
              <w:jc w:val="center"/>
              <w:textAlignment w:val="center"/>
              <w:rPr>
                <w:rFonts w:hint="eastAsia" w:ascii="仿宋" w:hAnsi="仿宋" w:eastAsia="仿宋" w:cs="仿宋"/>
                <w:sz w:val="21"/>
                <w:szCs w:val="21"/>
              </w:rPr>
            </w:pPr>
            <w:r>
              <w:rPr>
                <w:rFonts w:hint="eastAsia" w:ascii="仿宋" w:hAnsi="仿宋" w:eastAsia="仿宋" w:cs="仿宋"/>
                <w:i w:val="0"/>
                <w:iCs w:val="0"/>
                <w:color w:val="000000"/>
                <w:kern w:val="0"/>
                <w:sz w:val="21"/>
                <w:szCs w:val="21"/>
                <w:u w:val="none"/>
                <w:lang w:val="en-US" w:eastAsia="zh-CN" w:bidi="ar"/>
              </w:rPr>
              <w:t>GB 12981-2012附录H</w:t>
            </w:r>
          </w:p>
        </w:tc>
      </w:tr>
    </w:tbl>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6.2 检验应注意的问题</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若被检产品明示的质量要求高于本细则中的检验项目依据的标准要求时，应按被检产品明示的质量要求判定。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若被检产品明示的质量要求低于本细则中的检验项目依据的强制性标准要求时，应按强制性标准要求判定。</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若被检产品明示的质量要求低于或包含细则中检验项目依据的推荐性标准要求时，应以被检产品明示的质量要求判定。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若被检产品明示的质量要求缺少本细则中检验项目依据的推荐性标准要求时，该项目不参与判定，但应在检验报告备注中进行说明。</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检验过程中遇到有样品失效或者其它情况致使检验无法进行时，必须如实记录即时情况，并有充分的证实材料。</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当一个检验项目有多个检测方法时，出现可疑结果或不合格结果（即在有异议）时，应以产品标准中规定方法的测定结果为准。</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 判定原则</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 异议处理</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对被判定为不合格产品进行异议处理时，按以下方式进行：</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8.1 核查不合格项目相关证据，能够以记录（纸质记录或电子记录或影像记录）或与不合格项目相关联的其它质量数据等检验证据证明。</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8.2 对需要复检并具备检验条件的，处理企业异议的市场监督管理部门或者指定检验机构应当按原监督抽查方案对抽取的备用样品组织复检，并出具检验报告。复检结论为最终结论。</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9附则</w:t>
      </w:r>
    </w:p>
    <w:p>
      <w:pPr>
        <w:adjustRightInd w:val="0"/>
        <w:snapToGrid w:val="0"/>
        <w:spacing w:line="360" w:lineRule="auto"/>
        <w:ind w:firstLine="548" w:firstLineChars="196"/>
        <w:rPr>
          <w:rFonts w:hint="eastAsia" w:ascii="仿宋_GB2312" w:eastAsia="仿宋_GB2312"/>
          <w:sz w:val="28"/>
          <w:szCs w:val="28"/>
          <w:lang w:eastAsia="zh-CN"/>
        </w:rPr>
      </w:pPr>
      <w:r>
        <w:rPr>
          <w:rFonts w:hint="eastAsia" w:ascii="仿宋_GB2312" w:eastAsia="仿宋_GB2312"/>
          <w:sz w:val="28"/>
          <w:szCs w:val="28"/>
        </w:rPr>
        <w:t>本细则编写单位:</w:t>
      </w:r>
      <w:r>
        <w:rPr>
          <w:rFonts w:hint="eastAsia" w:ascii="仿宋" w:hAnsi="仿宋" w:eastAsia="仿宋" w:cs="仿宋"/>
          <w:sz w:val="28"/>
          <w:szCs w:val="28"/>
          <w:u w:val="none"/>
        </w:rPr>
        <w:t>山东腾翔产品质量检测有限公司</w:t>
      </w:r>
      <w:r>
        <w:rPr>
          <w:rFonts w:hint="eastAsia" w:ascii="仿宋_GB2312" w:eastAsia="仿宋_GB2312"/>
          <w:sz w:val="28"/>
          <w:szCs w:val="28"/>
          <w:lang w:eastAsia="zh-CN"/>
        </w:rPr>
        <w:t>。</w:t>
      </w:r>
    </w:p>
    <w:p>
      <w:pPr>
        <w:pStyle w:val="2"/>
        <w:ind w:left="0" w:leftChars="0" w:firstLine="560" w:firstLineChars="200"/>
        <w:rPr>
          <w:rFonts w:hint="eastAsia" w:eastAsia="仿宋_GB2312"/>
          <w:lang w:eastAsia="zh-CN"/>
        </w:rPr>
      </w:pPr>
      <w:bookmarkStart w:id="3" w:name="_GoBack"/>
      <w:bookmarkEnd w:id="3"/>
      <w:r>
        <w:rPr>
          <w:rFonts w:hint="eastAsia" w:ascii="仿宋_GB2312" w:eastAsia="仿宋_GB2312"/>
          <w:sz w:val="28"/>
          <w:szCs w:val="28"/>
        </w:rPr>
        <w:t>本细则由</w:t>
      </w:r>
      <w:r>
        <w:rPr>
          <w:rFonts w:hint="eastAsia" w:ascii="仿宋_GB2312" w:eastAsia="仿宋_GB2312"/>
          <w:sz w:val="28"/>
          <w:szCs w:val="28"/>
          <w:lang w:eastAsia="zh-CN"/>
        </w:rPr>
        <w:t>盘锦市</w:t>
      </w:r>
      <w:r>
        <w:rPr>
          <w:rFonts w:hint="eastAsia" w:ascii="仿宋_GB2312" w:eastAsia="仿宋_GB2312"/>
          <w:sz w:val="28"/>
          <w:szCs w:val="28"/>
        </w:rPr>
        <w:t>市场监督管理局</w:t>
      </w:r>
      <w:r>
        <w:rPr>
          <w:rFonts w:hint="eastAsia" w:ascii="仿宋_GB2312" w:eastAsia="仿宋_GB2312"/>
          <w:sz w:val="28"/>
          <w:szCs w:val="28"/>
          <w:lang w:eastAsia="zh-CN"/>
        </w:rPr>
        <w:t>管理</w:t>
      </w:r>
      <w:r>
        <w:rPr>
          <w:rFonts w:hint="eastAsia" w:ascii="仿宋_GB2312" w:eastAsia="仿宋_GB2312"/>
          <w:sz w:val="28"/>
          <w:szCs w:val="28"/>
        </w:rPr>
        <w:t>。</w:t>
      </w:r>
      <w:r>
        <w:rPr>
          <w:rFonts w:ascii="仿宋_GB2312" w:eastAsia="仿宋_GB2312"/>
          <w:sz w:val="28"/>
          <w:szCs w:val="28"/>
        </w:rPr>
        <w:t xml:space="preserve"> </w:t>
      </w:r>
    </w:p>
    <w:sectPr>
      <w:footerReference r:id="rId3" w:type="default"/>
      <w:pgSz w:w="11906" w:h="16838"/>
      <w:pgMar w:top="1985"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1"/>
                              <w:szCs w:val="21"/>
                              <w:lang w:val="en-US" w:eastAsia="zh-CN"/>
                            </w:rPr>
                          </w:pPr>
                          <w:r>
                            <w:rPr>
                              <w:rFonts w:hint="eastAsia" w:ascii="宋体" w:hAnsi="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宋体" w:hAnsi="宋体" w:eastAsia="宋体" w:cs="宋体"/>
                        <w:sz w:val="21"/>
                        <w:szCs w:val="21"/>
                        <w:lang w:val="en-US" w:eastAsia="zh-CN"/>
                      </w:rPr>
                    </w:pPr>
                    <w:r>
                      <w:rPr>
                        <w:rFonts w:hint="eastAsia" w:ascii="宋体" w:hAnsi="宋体" w:cs="宋体"/>
                        <w:sz w:val="21"/>
                        <w:szCs w:val="21"/>
                        <w:lang w:val="en-US" w:eastAsia="zh-CN"/>
                      </w:rPr>
                      <w:t>-</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AA25FE"/>
    <w:rsid w:val="0004310D"/>
    <w:rsid w:val="00124F22"/>
    <w:rsid w:val="00142D34"/>
    <w:rsid w:val="001C377A"/>
    <w:rsid w:val="001F7060"/>
    <w:rsid w:val="0020358E"/>
    <w:rsid w:val="0022318E"/>
    <w:rsid w:val="00261E3F"/>
    <w:rsid w:val="00263F1D"/>
    <w:rsid w:val="002C00FE"/>
    <w:rsid w:val="002F16F7"/>
    <w:rsid w:val="00341E5E"/>
    <w:rsid w:val="003C514A"/>
    <w:rsid w:val="003E7702"/>
    <w:rsid w:val="00425734"/>
    <w:rsid w:val="00482CED"/>
    <w:rsid w:val="004F76D4"/>
    <w:rsid w:val="00507537"/>
    <w:rsid w:val="00547445"/>
    <w:rsid w:val="005669F9"/>
    <w:rsid w:val="00576AD2"/>
    <w:rsid w:val="005B7799"/>
    <w:rsid w:val="005D48F1"/>
    <w:rsid w:val="005E0A5B"/>
    <w:rsid w:val="005E7ED9"/>
    <w:rsid w:val="006A1CAF"/>
    <w:rsid w:val="006A61F4"/>
    <w:rsid w:val="006B1EED"/>
    <w:rsid w:val="006D24C6"/>
    <w:rsid w:val="006D424B"/>
    <w:rsid w:val="0070358A"/>
    <w:rsid w:val="00775D33"/>
    <w:rsid w:val="007A087B"/>
    <w:rsid w:val="007D7671"/>
    <w:rsid w:val="00813DE0"/>
    <w:rsid w:val="00827665"/>
    <w:rsid w:val="008305D2"/>
    <w:rsid w:val="00840040"/>
    <w:rsid w:val="0084605C"/>
    <w:rsid w:val="00864DC3"/>
    <w:rsid w:val="0089068B"/>
    <w:rsid w:val="00894D80"/>
    <w:rsid w:val="009042BD"/>
    <w:rsid w:val="00964758"/>
    <w:rsid w:val="009C41C1"/>
    <w:rsid w:val="009D3214"/>
    <w:rsid w:val="00A7449B"/>
    <w:rsid w:val="00AA25FE"/>
    <w:rsid w:val="00AA50E6"/>
    <w:rsid w:val="00AC670C"/>
    <w:rsid w:val="00B02B8C"/>
    <w:rsid w:val="00B056B8"/>
    <w:rsid w:val="00B24764"/>
    <w:rsid w:val="00B37983"/>
    <w:rsid w:val="00B775F5"/>
    <w:rsid w:val="00B90AC8"/>
    <w:rsid w:val="00C103DF"/>
    <w:rsid w:val="00C57D7C"/>
    <w:rsid w:val="00C9390A"/>
    <w:rsid w:val="00CA213A"/>
    <w:rsid w:val="00CB0497"/>
    <w:rsid w:val="00CC40CC"/>
    <w:rsid w:val="00CF6A1F"/>
    <w:rsid w:val="00D303A0"/>
    <w:rsid w:val="00D56533"/>
    <w:rsid w:val="00D701AD"/>
    <w:rsid w:val="00DA4BD8"/>
    <w:rsid w:val="00DD4F89"/>
    <w:rsid w:val="00DF2243"/>
    <w:rsid w:val="00E25122"/>
    <w:rsid w:val="00E72671"/>
    <w:rsid w:val="00EB5A5D"/>
    <w:rsid w:val="00EC58C7"/>
    <w:rsid w:val="00EF71E5"/>
    <w:rsid w:val="00F002DD"/>
    <w:rsid w:val="00F043B2"/>
    <w:rsid w:val="00F32874"/>
    <w:rsid w:val="00F43AB0"/>
    <w:rsid w:val="00FB5B48"/>
    <w:rsid w:val="225338D5"/>
    <w:rsid w:val="31124B34"/>
    <w:rsid w:val="3B0744B3"/>
    <w:rsid w:val="3D621D6D"/>
    <w:rsid w:val="42537138"/>
    <w:rsid w:val="5379360B"/>
    <w:rsid w:val="59504201"/>
    <w:rsid w:val="5D0A31EE"/>
    <w:rsid w:val="5E7646B6"/>
    <w:rsid w:val="66263F25"/>
    <w:rsid w:val="6FB7FE1C"/>
    <w:rsid w:val="75DED80C"/>
    <w:rsid w:val="DAFDA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Normal Indent"/>
    <w:basedOn w:val="1"/>
    <w:unhideWhenUsed/>
    <w:qFormat/>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rFonts w:ascii="Calibri" w:hAnsi="Calibri" w:eastAsia="宋体" w:cs="Times New Roman"/>
      <w:sz w:val="18"/>
      <w:szCs w:val="18"/>
    </w:rPr>
  </w:style>
  <w:style w:type="character" w:customStyle="1" w:styleId="9">
    <w:name w:val="页脚 字符"/>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2582</Words>
  <Characters>2801</Characters>
  <Lines>21</Lines>
  <Paragraphs>5</Paragraphs>
  <TotalTime>0</TotalTime>
  <ScaleCrop>false</ScaleCrop>
  <LinksUpToDate>false</LinksUpToDate>
  <CharactersWithSpaces>2852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2021-05-19T03:49:00Z</dcterms:created>
  <dc:creator>admin</dc:creator>
  <cp:lastModifiedBy>dell</cp:lastModifiedBy>
  <dcterms:modified xsi:type="dcterms:W3CDTF">2022-07-18T00:39:28Z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43F90836BB2048278CD7CB71CE3D4A18</vt:lpwstr>
  </property>
</Properties>
</file>